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14D77" w14:textId="43AFC7E1" w:rsidR="00D30463" w:rsidRPr="00381F61" w:rsidRDefault="00BE67F7" w:rsidP="00E71CEB">
      <w:pPr>
        <w:jc w:val="both"/>
        <w:outlineLvl w:val="0"/>
        <w:rPr>
          <w:rFonts w:ascii="Garamond" w:hAnsi="Garamond"/>
          <w:b/>
          <w:sz w:val="28"/>
          <w:szCs w:val="28"/>
        </w:rPr>
      </w:pPr>
      <w:r>
        <w:rPr>
          <w:rFonts w:ascii="Garamond" w:hAnsi="Garamond"/>
          <w:sz w:val="22"/>
          <w:szCs w:val="22"/>
        </w:rPr>
        <w:t>1</w:t>
      </w:r>
      <w:r w:rsidR="003C628E">
        <w:rPr>
          <w:rFonts w:ascii="Garamond" w:hAnsi="Garamond"/>
          <w:sz w:val="22"/>
          <w:szCs w:val="22"/>
        </w:rPr>
        <w:t xml:space="preserve"> July</w:t>
      </w:r>
      <w:bookmarkStart w:id="0" w:name="_GoBack"/>
      <w:bookmarkEnd w:id="0"/>
      <w:r w:rsidR="0052329C" w:rsidRPr="00381F61">
        <w:rPr>
          <w:rFonts w:ascii="Garamond" w:hAnsi="Garamond"/>
          <w:sz w:val="22"/>
          <w:szCs w:val="22"/>
        </w:rPr>
        <w:t xml:space="preserve"> 2019</w:t>
      </w:r>
    </w:p>
    <w:p w14:paraId="69E61868" w14:textId="77777777" w:rsidR="00EA01F5" w:rsidRPr="00381F61" w:rsidRDefault="00EA01F5" w:rsidP="00E71CEB">
      <w:pPr>
        <w:jc w:val="both"/>
        <w:outlineLvl w:val="0"/>
        <w:rPr>
          <w:rFonts w:ascii="Garamond" w:hAnsi="Garamond"/>
          <w:b/>
          <w:sz w:val="28"/>
          <w:szCs w:val="28"/>
        </w:rPr>
      </w:pPr>
    </w:p>
    <w:p w14:paraId="3D2C05E7" w14:textId="77777777" w:rsidR="009E078B" w:rsidRPr="00381F61" w:rsidRDefault="009E078B" w:rsidP="00E71CEB">
      <w:pPr>
        <w:jc w:val="both"/>
        <w:outlineLvl w:val="0"/>
        <w:rPr>
          <w:rFonts w:ascii="Garamond" w:hAnsi="Garamond"/>
          <w:b/>
          <w:sz w:val="28"/>
          <w:szCs w:val="28"/>
        </w:rPr>
      </w:pPr>
    </w:p>
    <w:p w14:paraId="5CEB3ECA" w14:textId="77777777" w:rsidR="009E078B" w:rsidRPr="00381F61" w:rsidRDefault="009E078B" w:rsidP="00E71CEB">
      <w:pPr>
        <w:jc w:val="both"/>
        <w:outlineLvl w:val="0"/>
        <w:rPr>
          <w:rFonts w:ascii="Garamond" w:hAnsi="Garamond"/>
          <w:b/>
          <w:sz w:val="28"/>
          <w:szCs w:val="28"/>
        </w:rPr>
      </w:pPr>
    </w:p>
    <w:p w14:paraId="1A376DB5" w14:textId="571DAEBD" w:rsidR="00B92C8D" w:rsidRPr="00381F61" w:rsidRDefault="00012B97" w:rsidP="00E71CEB">
      <w:pPr>
        <w:jc w:val="both"/>
        <w:outlineLvl w:val="0"/>
        <w:rPr>
          <w:rFonts w:ascii="Garamond" w:hAnsi="Garamond"/>
          <w:b/>
          <w:sz w:val="32"/>
          <w:szCs w:val="32"/>
        </w:rPr>
      </w:pPr>
      <w:r w:rsidRPr="00381F61">
        <w:rPr>
          <w:rFonts w:ascii="Garamond" w:hAnsi="Garamond"/>
          <w:b/>
          <w:sz w:val="32"/>
          <w:szCs w:val="32"/>
        </w:rPr>
        <w:t>Informing the 2019</w:t>
      </w:r>
      <w:r w:rsidR="00040837" w:rsidRPr="00381F61">
        <w:rPr>
          <w:rFonts w:ascii="Garamond" w:hAnsi="Garamond"/>
          <w:b/>
          <w:sz w:val="32"/>
          <w:szCs w:val="32"/>
        </w:rPr>
        <w:t xml:space="preserve"> Review</w:t>
      </w:r>
    </w:p>
    <w:p w14:paraId="7465E7D5" w14:textId="023217BA" w:rsidR="00DF3FD1" w:rsidRPr="00381F61" w:rsidRDefault="00AB534B" w:rsidP="00E71CEB">
      <w:pPr>
        <w:pStyle w:val="ListParagraph"/>
        <w:numPr>
          <w:ilvl w:val="0"/>
          <w:numId w:val="1"/>
        </w:numPr>
        <w:jc w:val="both"/>
        <w:rPr>
          <w:rFonts w:ascii="Garamond" w:hAnsi="Garamond"/>
          <w:sz w:val="28"/>
          <w:szCs w:val="28"/>
        </w:rPr>
      </w:pPr>
      <w:r w:rsidRPr="00381F61">
        <w:rPr>
          <w:rFonts w:ascii="Garamond" w:hAnsi="Garamond"/>
          <w:sz w:val="28"/>
          <w:szCs w:val="28"/>
        </w:rPr>
        <w:t xml:space="preserve"> </w:t>
      </w:r>
      <w:r w:rsidR="001B1B68" w:rsidRPr="00381F61">
        <w:rPr>
          <w:rFonts w:ascii="Garamond" w:hAnsi="Garamond"/>
          <w:sz w:val="28"/>
          <w:szCs w:val="28"/>
        </w:rPr>
        <w:t>13</w:t>
      </w:r>
      <w:r w:rsidR="00885A2B" w:rsidRPr="00381F61">
        <w:rPr>
          <w:rFonts w:ascii="Garamond" w:hAnsi="Garamond"/>
          <w:sz w:val="28"/>
          <w:szCs w:val="28"/>
        </w:rPr>
        <w:t>3</w:t>
      </w:r>
      <w:r w:rsidR="00012B97" w:rsidRPr="00381F61">
        <w:rPr>
          <w:rFonts w:ascii="Garamond" w:hAnsi="Garamond"/>
          <w:sz w:val="28"/>
          <w:szCs w:val="28"/>
        </w:rPr>
        <w:t xml:space="preserve"> questions </w:t>
      </w:r>
      <w:r w:rsidR="0052329C" w:rsidRPr="00381F61">
        <w:rPr>
          <w:rFonts w:ascii="Garamond" w:hAnsi="Garamond"/>
          <w:sz w:val="28"/>
          <w:szCs w:val="28"/>
        </w:rPr>
        <w:t xml:space="preserve">that </w:t>
      </w:r>
      <w:r w:rsidR="00012B97" w:rsidRPr="00381F61">
        <w:rPr>
          <w:rFonts w:ascii="Garamond" w:hAnsi="Garamond"/>
          <w:sz w:val="28"/>
          <w:szCs w:val="28"/>
        </w:rPr>
        <w:t>New Zealand needs answered</w:t>
      </w:r>
    </w:p>
    <w:p w14:paraId="3B43401F" w14:textId="77777777" w:rsidR="00EA01F5" w:rsidRPr="00381F61" w:rsidRDefault="00EA01F5" w:rsidP="00E71CEB">
      <w:pPr>
        <w:jc w:val="both"/>
        <w:rPr>
          <w:rFonts w:ascii="Garamond" w:hAnsi="Garamond"/>
          <w:sz w:val="22"/>
          <w:szCs w:val="22"/>
        </w:rPr>
      </w:pPr>
    </w:p>
    <w:p w14:paraId="47D4BD59" w14:textId="5A03A05C" w:rsidR="009E078B" w:rsidRPr="00381F61" w:rsidRDefault="009C0F7D" w:rsidP="00E71CEB">
      <w:pPr>
        <w:jc w:val="both"/>
        <w:rPr>
          <w:rFonts w:ascii="Garamond" w:hAnsi="Garamond"/>
          <w:sz w:val="22"/>
          <w:szCs w:val="22"/>
        </w:rPr>
      </w:pPr>
      <w:r w:rsidRPr="00381F61">
        <w:rPr>
          <w:rFonts w:ascii="Garamond" w:hAnsi="Garamond"/>
          <w:sz w:val="22"/>
          <w:szCs w:val="22"/>
        </w:rPr>
        <w:t>by</w:t>
      </w:r>
    </w:p>
    <w:p w14:paraId="2AA2C056" w14:textId="77777777" w:rsidR="009C0F7D" w:rsidRPr="00381F61" w:rsidRDefault="009C0F7D" w:rsidP="00E71CEB">
      <w:pPr>
        <w:jc w:val="both"/>
        <w:rPr>
          <w:rFonts w:ascii="Garamond" w:hAnsi="Garamond"/>
          <w:sz w:val="28"/>
          <w:szCs w:val="28"/>
        </w:rPr>
      </w:pPr>
    </w:p>
    <w:p w14:paraId="4770E3BC" w14:textId="5E60DF01" w:rsidR="009E078B" w:rsidRPr="00381F61" w:rsidRDefault="009E078B" w:rsidP="00E71CEB">
      <w:pPr>
        <w:jc w:val="both"/>
        <w:rPr>
          <w:rFonts w:ascii="Garamond" w:hAnsi="Garamond"/>
          <w:b/>
        </w:rPr>
      </w:pPr>
      <w:r w:rsidRPr="00381F61">
        <w:rPr>
          <w:rFonts w:ascii="Garamond" w:hAnsi="Garamond"/>
          <w:b/>
        </w:rPr>
        <w:t>Michael Chamberlain</w:t>
      </w:r>
    </w:p>
    <w:p w14:paraId="4E503A4D" w14:textId="1DF3315C" w:rsidR="009E078B" w:rsidRPr="00381F61" w:rsidRDefault="00F72592" w:rsidP="00E71CEB">
      <w:pPr>
        <w:jc w:val="both"/>
        <w:rPr>
          <w:rFonts w:ascii="Garamond" w:hAnsi="Garamond"/>
        </w:rPr>
      </w:pPr>
      <w:r w:rsidRPr="00381F61">
        <w:rPr>
          <w:rFonts w:ascii="Garamond" w:hAnsi="Garamond"/>
          <w:sz w:val="22"/>
          <w:szCs w:val="22"/>
        </w:rPr>
        <w:t>Michael is an actuary and is the principal of MCA NZ Limited.  MCA is an actuarial and strategic investment consulting firm.  Before forming MCA in 1998, Michael was the senior consultant at what was Watson Wyatt when it was in New Zealand and is now Willis Towers Watson globally.  Michael has over 35 years’ superannuation and investment consulting experience and currently advises a range of charities, community trusts and institutions on strategic investment policy matters to help them achieve their goals.  Michael was a founder of the SuperLife superannuation and KiwiSaver schemes.  SuperLife is now part of the NZX Group and was sold by Michael and his business partner to NZX in 2015.</w:t>
      </w:r>
    </w:p>
    <w:p w14:paraId="76D980E6" w14:textId="77777777" w:rsidR="009E078B" w:rsidRPr="00381F61" w:rsidRDefault="009E078B" w:rsidP="00E71CEB">
      <w:pPr>
        <w:jc w:val="both"/>
        <w:rPr>
          <w:rFonts w:ascii="Garamond" w:hAnsi="Garamond"/>
        </w:rPr>
      </w:pPr>
    </w:p>
    <w:p w14:paraId="1DFFC625" w14:textId="77777777" w:rsidR="00EA01F5" w:rsidRPr="00381F61" w:rsidRDefault="00EA01F5" w:rsidP="00E71CEB">
      <w:pPr>
        <w:jc w:val="both"/>
        <w:rPr>
          <w:rFonts w:ascii="Garamond" w:hAnsi="Garamond"/>
        </w:rPr>
      </w:pPr>
    </w:p>
    <w:p w14:paraId="4558060D" w14:textId="088C2C8D" w:rsidR="009E078B" w:rsidRPr="00381F61" w:rsidRDefault="009E078B" w:rsidP="00E71CEB">
      <w:pPr>
        <w:jc w:val="both"/>
        <w:rPr>
          <w:rFonts w:ascii="Garamond" w:hAnsi="Garamond"/>
          <w:b/>
        </w:rPr>
      </w:pPr>
      <w:r w:rsidRPr="00381F61">
        <w:rPr>
          <w:rFonts w:ascii="Garamond" w:hAnsi="Garamond"/>
          <w:b/>
        </w:rPr>
        <w:t>Michael Littlewood</w:t>
      </w:r>
    </w:p>
    <w:p w14:paraId="5CECEEA6" w14:textId="715BF565" w:rsidR="009E078B" w:rsidRPr="00381F61" w:rsidRDefault="00D67527" w:rsidP="00E71CEB">
      <w:pPr>
        <w:jc w:val="both"/>
        <w:rPr>
          <w:rFonts w:ascii="Garamond" w:hAnsi="Garamond"/>
          <w:sz w:val="22"/>
          <w:szCs w:val="22"/>
        </w:rPr>
      </w:pPr>
      <w:r w:rsidRPr="00381F61">
        <w:rPr>
          <w:rFonts w:ascii="Garamond" w:hAnsi="Garamond"/>
          <w:sz w:val="22"/>
          <w:szCs w:val="22"/>
        </w:rPr>
        <w:t xml:space="preserve">Michael was a </w:t>
      </w:r>
      <w:r w:rsidR="00336172" w:rsidRPr="00381F61">
        <w:rPr>
          <w:rFonts w:ascii="Garamond" w:hAnsi="Garamond"/>
          <w:sz w:val="22"/>
          <w:szCs w:val="22"/>
        </w:rPr>
        <w:t xml:space="preserve">pension </w:t>
      </w:r>
      <w:r w:rsidRPr="00381F61">
        <w:rPr>
          <w:rFonts w:ascii="Garamond" w:hAnsi="Garamond"/>
          <w:sz w:val="22"/>
          <w:szCs w:val="22"/>
        </w:rPr>
        <w:t>consultant</w:t>
      </w:r>
      <w:r w:rsidR="00FA70EA" w:rsidRPr="00381F61">
        <w:rPr>
          <w:rFonts w:ascii="Garamond" w:hAnsi="Garamond"/>
          <w:sz w:val="22"/>
          <w:szCs w:val="22"/>
        </w:rPr>
        <w:t xml:space="preserve"> for </w:t>
      </w:r>
      <w:r w:rsidR="00F1589A" w:rsidRPr="00381F61">
        <w:rPr>
          <w:rFonts w:ascii="Garamond" w:hAnsi="Garamond"/>
          <w:sz w:val="22"/>
          <w:szCs w:val="22"/>
        </w:rPr>
        <w:t>1</w:t>
      </w:r>
      <w:r w:rsidR="00FA70EA" w:rsidRPr="00381F61">
        <w:rPr>
          <w:rFonts w:ascii="Garamond" w:hAnsi="Garamond"/>
          <w:sz w:val="22"/>
          <w:szCs w:val="22"/>
        </w:rPr>
        <w:t>5 years</w:t>
      </w:r>
      <w:r w:rsidRPr="00381F61">
        <w:rPr>
          <w:rFonts w:ascii="Garamond" w:hAnsi="Garamond"/>
          <w:sz w:val="22"/>
          <w:szCs w:val="22"/>
        </w:rPr>
        <w:t xml:space="preserve"> in London and Auckland for what is now </w:t>
      </w:r>
      <w:r w:rsidR="00F72592" w:rsidRPr="00381F61">
        <w:rPr>
          <w:rFonts w:ascii="Garamond" w:hAnsi="Garamond"/>
          <w:sz w:val="22"/>
          <w:szCs w:val="22"/>
        </w:rPr>
        <w:t xml:space="preserve">Willis </w:t>
      </w:r>
      <w:r w:rsidRPr="00381F61">
        <w:rPr>
          <w:rFonts w:ascii="Garamond" w:hAnsi="Garamond"/>
          <w:sz w:val="22"/>
          <w:szCs w:val="22"/>
        </w:rPr>
        <w:t xml:space="preserve">Towers Watson.  He was then Employee Benefits Director at Fletcher Challenge Limited, founder-director of what is now SuperLife and, in 2006, helped start the Retirement Policy and Research Centre.  He was a member of the government’s 1991-92 Task Force on Private Provision for Retirement, is the author of </w:t>
      </w:r>
      <w:r w:rsidRPr="00381F61">
        <w:rPr>
          <w:rFonts w:ascii="Garamond" w:hAnsi="Garamond"/>
          <w:i/>
          <w:sz w:val="22"/>
          <w:szCs w:val="22"/>
        </w:rPr>
        <w:t xml:space="preserve">How to create a competitive market in pensions – the international lessons </w:t>
      </w:r>
      <w:r w:rsidRPr="00381F61">
        <w:rPr>
          <w:rFonts w:ascii="Garamond" w:hAnsi="Garamond"/>
          <w:sz w:val="22"/>
          <w:szCs w:val="22"/>
        </w:rPr>
        <w:t xml:space="preserve">(IEA, 1998) and is the principal editor of </w:t>
      </w:r>
      <w:hyperlink r:id="rId8" w:history="1">
        <w:r w:rsidRPr="00381F61">
          <w:rPr>
            <w:rStyle w:val="Hyperlink"/>
            <w:rFonts w:ascii="Garamond" w:hAnsi="Garamond"/>
            <w:sz w:val="22"/>
            <w:szCs w:val="22"/>
          </w:rPr>
          <w:t>www.PensionReforms.com</w:t>
        </w:r>
      </w:hyperlink>
      <w:r w:rsidRPr="00381F61">
        <w:rPr>
          <w:rFonts w:ascii="Garamond" w:hAnsi="Garamond"/>
          <w:sz w:val="22"/>
          <w:szCs w:val="22"/>
        </w:rPr>
        <w:t>.  Michael retired as co-director of the RPRC in June 2015.</w:t>
      </w:r>
    </w:p>
    <w:p w14:paraId="0495D353" w14:textId="77777777" w:rsidR="009E078B" w:rsidRPr="00381F61" w:rsidRDefault="009E078B" w:rsidP="00E71CEB">
      <w:pPr>
        <w:jc w:val="both"/>
        <w:rPr>
          <w:rFonts w:ascii="Garamond" w:hAnsi="Garamond"/>
        </w:rPr>
      </w:pPr>
    </w:p>
    <w:p w14:paraId="02D8D02D" w14:textId="77777777" w:rsidR="009E078B" w:rsidRPr="00381F61" w:rsidRDefault="009E078B" w:rsidP="00E71CEB">
      <w:pPr>
        <w:jc w:val="both"/>
        <w:rPr>
          <w:rFonts w:ascii="Garamond" w:hAnsi="Garamond"/>
        </w:rPr>
      </w:pPr>
    </w:p>
    <w:p w14:paraId="52B70A97" w14:textId="77777777" w:rsidR="009E078B" w:rsidRPr="00381F61" w:rsidRDefault="009E078B" w:rsidP="00E71CEB">
      <w:pPr>
        <w:jc w:val="both"/>
        <w:rPr>
          <w:rFonts w:ascii="Garamond" w:hAnsi="Garamond"/>
        </w:rPr>
      </w:pPr>
    </w:p>
    <w:p w14:paraId="531E1E32" w14:textId="77777777" w:rsidR="009E078B" w:rsidRPr="00381F61" w:rsidRDefault="009E078B" w:rsidP="00E71CEB">
      <w:pPr>
        <w:jc w:val="both"/>
        <w:rPr>
          <w:rFonts w:ascii="Garamond" w:hAnsi="Garamond"/>
        </w:rPr>
      </w:pPr>
    </w:p>
    <w:p w14:paraId="45793EC1" w14:textId="77777777" w:rsidR="009E078B" w:rsidRPr="00381F61" w:rsidRDefault="009E078B" w:rsidP="00E71CEB">
      <w:pPr>
        <w:jc w:val="both"/>
        <w:rPr>
          <w:rFonts w:ascii="Garamond" w:hAnsi="Garamond"/>
        </w:rPr>
      </w:pPr>
    </w:p>
    <w:p w14:paraId="6FD30FAD" w14:textId="5EA64183" w:rsidR="00AB534B" w:rsidRPr="00381F61" w:rsidRDefault="00632EA2" w:rsidP="00E71CEB">
      <w:pPr>
        <w:jc w:val="both"/>
        <w:rPr>
          <w:rFonts w:ascii="Garamond" w:hAnsi="Garamond"/>
        </w:rPr>
      </w:pPr>
      <w:r w:rsidRPr="00381F61">
        <w:rPr>
          <w:rFonts w:ascii="Garamond" w:hAnsi="Garamond"/>
          <w:b/>
        </w:rPr>
        <w:t>Note:</w:t>
      </w:r>
      <w:r w:rsidRPr="00381F61">
        <w:rPr>
          <w:rFonts w:ascii="Garamond" w:hAnsi="Garamond"/>
        </w:rPr>
        <w:t xml:space="preserve"> We released </w:t>
      </w:r>
      <w:r w:rsidR="00AB534B" w:rsidRPr="00381F61">
        <w:rPr>
          <w:rFonts w:ascii="Garamond" w:hAnsi="Garamond"/>
        </w:rPr>
        <w:t xml:space="preserve">the first version </w:t>
      </w:r>
      <w:r w:rsidRPr="00381F61">
        <w:rPr>
          <w:rFonts w:ascii="Garamond" w:hAnsi="Garamond"/>
        </w:rPr>
        <w:t>of this report</w:t>
      </w:r>
      <w:r w:rsidR="00AB534B" w:rsidRPr="00381F61">
        <w:rPr>
          <w:rFonts w:ascii="Garamond" w:hAnsi="Garamond"/>
        </w:rPr>
        <w:t xml:space="preserve">, </w:t>
      </w:r>
      <w:r w:rsidR="00AB534B" w:rsidRPr="00381F61">
        <w:rPr>
          <w:rFonts w:ascii="Garamond" w:hAnsi="Garamond"/>
          <w:i/>
        </w:rPr>
        <w:t>The Missing 2016 Review – building trust for life beyond work</w:t>
      </w:r>
      <w:r w:rsidR="00AB534B" w:rsidRPr="00381F61">
        <w:rPr>
          <w:rFonts w:ascii="Garamond" w:hAnsi="Garamond"/>
        </w:rPr>
        <w:t>,</w:t>
      </w:r>
      <w:r w:rsidRPr="00381F61">
        <w:rPr>
          <w:rFonts w:ascii="Garamond" w:hAnsi="Garamond"/>
        </w:rPr>
        <w:t xml:space="preserve"> on 27 July 2017.</w:t>
      </w:r>
      <w:r w:rsidR="00012B97" w:rsidRPr="00381F61">
        <w:rPr>
          <w:rFonts w:ascii="Garamond" w:hAnsi="Garamond"/>
        </w:rPr>
        <w:t xml:space="preserve">  That is accessible </w:t>
      </w:r>
      <w:hyperlink r:id="rId9" w:history="1">
        <w:r w:rsidR="00012B97" w:rsidRPr="00BE67F7">
          <w:rPr>
            <w:rStyle w:val="Hyperlink"/>
            <w:rFonts w:ascii="Garamond" w:hAnsi="Garamond"/>
          </w:rPr>
          <w:t>here</w:t>
        </w:r>
      </w:hyperlink>
      <w:r w:rsidR="00012B97" w:rsidRPr="00BE67F7">
        <w:rPr>
          <w:rFonts w:ascii="Garamond" w:hAnsi="Garamond"/>
        </w:rPr>
        <w:t>.</w:t>
      </w:r>
    </w:p>
    <w:p w14:paraId="0C0E685F" w14:textId="77777777" w:rsidR="00AB534B" w:rsidRPr="00381F61" w:rsidRDefault="00AB534B" w:rsidP="00E71CEB">
      <w:pPr>
        <w:jc w:val="both"/>
        <w:rPr>
          <w:rFonts w:ascii="Garamond" w:hAnsi="Garamond"/>
        </w:rPr>
      </w:pPr>
    </w:p>
    <w:p w14:paraId="57693CBE" w14:textId="6318342A" w:rsidR="009E078B" w:rsidRPr="00381F61" w:rsidRDefault="00632EA2" w:rsidP="00E71CEB">
      <w:pPr>
        <w:jc w:val="both"/>
        <w:rPr>
          <w:rFonts w:ascii="Garamond" w:hAnsi="Garamond"/>
        </w:rPr>
      </w:pPr>
      <w:r w:rsidRPr="00381F61">
        <w:rPr>
          <w:rFonts w:ascii="Garamond" w:hAnsi="Garamond"/>
        </w:rPr>
        <w:t xml:space="preserve">We </w:t>
      </w:r>
      <w:r w:rsidR="00AB534B" w:rsidRPr="00381F61">
        <w:rPr>
          <w:rFonts w:ascii="Garamond" w:hAnsi="Garamond"/>
        </w:rPr>
        <w:t>will continue to</w:t>
      </w:r>
      <w:r w:rsidRPr="00381F61">
        <w:rPr>
          <w:rFonts w:ascii="Garamond" w:hAnsi="Garamond"/>
        </w:rPr>
        <w:t xml:space="preserve"> updat</w:t>
      </w:r>
      <w:r w:rsidR="00AB534B" w:rsidRPr="00381F61">
        <w:rPr>
          <w:rFonts w:ascii="Garamond" w:hAnsi="Garamond"/>
        </w:rPr>
        <w:t>e</w:t>
      </w:r>
      <w:r w:rsidRPr="00381F61">
        <w:rPr>
          <w:rFonts w:ascii="Garamond" w:hAnsi="Garamond"/>
        </w:rPr>
        <w:t xml:space="preserve"> </w:t>
      </w:r>
      <w:r w:rsidR="00AB534B" w:rsidRPr="00381F61">
        <w:rPr>
          <w:rFonts w:ascii="Garamond" w:hAnsi="Garamond"/>
        </w:rPr>
        <w:t>this latest version</w:t>
      </w:r>
      <w:r w:rsidRPr="00381F61">
        <w:rPr>
          <w:rFonts w:ascii="Garamond" w:hAnsi="Garamond"/>
        </w:rPr>
        <w:t xml:space="preserve"> as new information emerges.</w:t>
      </w:r>
    </w:p>
    <w:p w14:paraId="7B4C1B90" w14:textId="77777777" w:rsidR="009E078B" w:rsidRPr="00381F61" w:rsidRDefault="009E078B" w:rsidP="00E71CEB">
      <w:pPr>
        <w:jc w:val="both"/>
        <w:rPr>
          <w:rFonts w:ascii="Garamond" w:hAnsi="Garamond"/>
        </w:rPr>
      </w:pPr>
    </w:p>
    <w:p w14:paraId="31CA5BA6" w14:textId="77777777" w:rsidR="009E078B" w:rsidRPr="00381F61" w:rsidRDefault="009E078B" w:rsidP="00E71CEB">
      <w:pPr>
        <w:jc w:val="both"/>
        <w:rPr>
          <w:rFonts w:ascii="Garamond" w:hAnsi="Garamond"/>
        </w:rPr>
      </w:pPr>
    </w:p>
    <w:p w14:paraId="3B2ABE5B" w14:textId="77777777" w:rsidR="009E078B" w:rsidRPr="00381F61" w:rsidRDefault="009E078B" w:rsidP="00E71CEB">
      <w:pPr>
        <w:jc w:val="both"/>
        <w:rPr>
          <w:rFonts w:ascii="Garamond" w:hAnsi="Garamond"/>
        </w:rPr>
      </w:pPr>
    </w:p>
    <w:p w14:paraId="71D574BC" w14:textId="77777777" w:rsidR="009E078B" w:rsidRPr="00381F61" w:rsidRDefault="009E078B" w:rsidP="00E71CEB">
      <w:pPr>
        <w:jc w:val="both"/>
        <w:rPr>
          <w:rFonts w:ascii="Garamond" w:hAnsi="Garamond"/>
        </w:rPr>
      </w:pPr>
    </w:p>
    <w:p w14:paraId="19DA23A5" w14:textId="77777777" w:rsidR="009E078B" w:rsidRPr="00381F61" w:rsidRDefault="009E078B" w:rsidP="00E71CEB">
      <w:pPr>
        <w:jc w:val="both"/>
        <w:rPr>
          <w:rFonts w:ascii="Garamond" w:hAnsi="Garamond"/>
        </w:rPr>
      </w:pPr>
    </w:p>
    <w:p w14:paraId="063C1F50" w14:textId="77777777" w:rsidR="009E078B" w:rsidRPr="00381F61" w:rsidRDefault="009E078B" w:rsidP="00E71CEB">
      <w:pPr>
        <w:jc w:val="both"/>
        <w:rPr>
          <w:rFonts w:ascii="Garamond" w:hAnsi="Garamond"/>
        </w:rPr>
      </w:pPr>
    </w:p>
    <w:p w14:paraId="34FBF391" w14:textId="1D06C452" w:rsidR="00FA70EA" w:rsidRPr="00381F61" w:rsidRDefault="00FA70EA" w:rsidP="00FA70EA">
      <w:pPr>
        <w:jc w:val="both"/>
        <w:rPr>
          <w:rFonts w:ascii="Garamond" w:hAnsi="Garamond"/>
          <w:b/>
          <w:sz w:val="20"/>
          <w:szCs w:val="20"/>
        </w:rPr>
      </w:pPr>
      <w:r w:rsidRPr="00381F61">
        <w:rPr>
          <w:rFonts w:ascii="Garamond" w:hAnsi="Garamond"/>
          <w:b/>
          <w:sz w:val="20"/>
          <w:szCs w:val="20"/>
        </w:rPr>
        <w:t>Disclaimer</w:t>
      </w:r>
      <w:r w:rsidR="009C0F7D" w:rsidRPr="00381F61">
        <w:rPr>
          <w:rFonts w:ascii="Garamond" w:hAnsi="Garamond"/>
          <w:b/>
          <w:sz w:val="20"/>
          <w:szCs w:val="20"/>
        </w:rPr>
        <w:t>s</w:t>
      </w:r>
    </w:p>
    <w:p w14:paraId="05C6CD04" w14:textId="79B01281" w:rsidR="009E078B" w:rsidRPr="00381F61" w:rsidRDefault="00FA70EA" w:rsidP="00E71CEB">
      <w:pPr>
        <w:jc w:val="both"/>
        <w:rPr>
          <w:rFonts w:ascii="Garamond" w:hAnsi="Garamond"/>
        </w:rPr>
      </w:pPr>
      <w:r w:rsidRPr="00381F61">
        <w:rPr>
          <w:rFonts w:ascii="Garamond" w:hAnsi="Garamond"/>
          <w:b/>
          <w:sz w:val="20"/>
          <w:szCs w:val="20"/>
        </w:rPr>
        <w:t>This report is entirely the work of the authors in their personal capacities and has nothing to do with their present or former employers.  Although this report draws on work done by the Retirement Policy and Research Centre at the University of Auckland, the RPRC has made no direct contribution to the report.</w:t>
      </w:r>
    </w:p>
    <w:p w14:paraId="36B3CB79" w14:textId="77777777" w:rsidR="009E078B" w:rsidRPr="00381F61" w:rsidRDefault="009E078B" w:rsidP="00E71CEB">
      <w:pPr>
        <w:jc w:val="both"/>
        <w:rPr>
          <w:rFonts w:ascii="Garamond" w:hAnsi="Garamond"/>
          <w:sz w:val="22"/>
          <w:szCs w:val="22"/>
        </w:rPr>
      </w:pPr>
    </w:p>
    <w:p w14:paraId="198B3842" w14:textId="27A65049" w:rsidR="009E078B" w:rsidRPr="00381F61" w:rsidRDefault="009C0F7D" w:rsidP="00E71CEB">
      <w:pPr>
        <w:jc w:val="both"/>
        <w:rPr>
          <w:rFonts w:ascii="Garamond" w:hAnsi="Garamond"/>
          <w:b/>
          <w:sz w:val="20"/>
          <w:szCs w:val="20"/>
        </w:rPr>
      </w:pPr>
      <w:r w:rsidRPr="00381F61">
        <w:rPr>
          <w:rFonts w:ascii="Garamond" w:hAnsi="Garamond"/>
          <w:b/>
          <w:sz w:val="20"/>
          <w:szCs w:val="20"/>
        </w:rPr>
        <w:t xml:space="preserve">The authors have given their time </w:t>
      </w:r>
      <w:r w:rsidRPr="00381F61">
        <w:rPr>
          <w:rFonts w:ascii="Garamond" w:hAnsi="Garamond"/>
          <w:b/>
          <w:i/>
          <w:sz w:val="20"/>
          <w:szCs w:val="20"/>
        </w:rPr>
        <w:t>pro bono publico</w:t>
      </w:r>
      <w:r w:rsidRPr="00381F61">
        <w:rPr>
          <w:rFonts w:ascii="Garamond" w:hAnsi="Garamond"/>
          <w:b/>
          <w:sz w:val="20"/>
          <w:szCs w:val="20"/>
        </w:rPr>
        <w:t>.  No-one has asked them to produce the report and no-one has paid them for their time.</w:t>
      </w:r>
    </w:p>
    <w:p w14:paraId="30B37C25" w14:textId="77777777" w:rsidR="009E078B" w:rsidRPr="00381F61" w:rsidRDefault="009E078B" w:rsidP="00E71CEB">
      <w:pPr>
        <w:jc w:val="both"/>
        <w:rPr>
          <w:rFonts w:ascii="Garamond" w:hAnsi="Garamond"/>
        </w:rPr>
      </w:pPr>
    </w:p>
    <w:p w14:paraId="1BE8B453" w14:textId="569D2A64" w:rsidR="00695EF3" w:rsidRPr="00381F61" w:rsidRDefault="009E078B" w:rsidP="00E71CEB">
      <w:pPr>
        <w:jc w:val="both"/>
        <w:rPr>
          <w:rFonts w:ascii="Garamond" w:hAnsi="Garamond"/>
          <w:b/>
        </w:rPr>
      </w:pPr>
      <w:r w:rsidRPr="00381F61">
        <w:rPr>
          <w:rFonts w:ascii="Garamond" w:hAnsi="Garamond"/>
          <w:b/>
        </w:rPr>
        <w:br w:type="page"/>
      </w:r>
    </w:p>
    <w:p w14:paraId="41E26D48" w14:textId="0B21C3D7" w:rsidR="00040837" w:rsidRPr="00381F61" w:rsidRDefault="00A97583" w:rsidP="00E71CEB">
      <w:pPr>
        <w:jc w:val="both"/>
        <w:rPr>
          <w:rFonts w:ascii="Garamond" w:hAnsi="Garamond"/>
          <w:b/>
        </w:rPr>
      </w:pPr>
      <w:r w:rsidRPr="00381F61">
        <w:rPr>
          <w:rFonts w:ascii="Garamond" w:hAnsi="Garamond"/>
          <w:b/>
        </w:rPr>
        <w:lastRenderedPageBreak/>
        <w:t>Introduction</w:t>
      </w:r>
      <w:r w:rsidR="00012B97" w:rsidRPr="00381F61">
        <w:rPr>
          <w:rFonts w:ascii="Garamond" w:hAnsi="Garamond"/>
          <w:b/>
        </w:rPr>
        <w:t xml:space="preserve"> and the 2019 Review’s Terms of Reference</w:t>
      </w:r>
    </w:p>
    <w:p w14:paraId="5EB8D308" w14:textId="77777777" w:rsidR="00A97583" w:rsidRPr="00381F61" w:rsidRDefault="00A97583" w:rsidP="00E71CEB">
      <w:pPr>
        <w:jc w:val="both"/>
        <w:rPr>
          <w:rFonts w:ascii="Garamond" w:hAnsi="Garamond"/>
        </w:rPr>
      </w:pPr>
      <w:bookmarkStart w:id="1" w:name="_Hlk10207314"/>
    </w:p>
    <w:bookmarkEnd w:id="1"/>
    <w:p w14:paraId="5E36F74F" w14:textId="1612BC8A" w:rsidR="00891E0F" w:rsidRPr="00381F61" w:rsidRDefault="00891E0F" w:rsidP="00891E0F">
      <w:pPr>
        <w:jc w:val="both"/>
        <w:rPr>
          <w:rFonts w:ascii="Garamond" w:hAnsi="Garamond"/>
        </w:rPr>
      </w:pPr>
      <w:r w:rsidRPr="00381F61">
        <w:rPr>
          <w:rFonts w:ascii="Garamond" w:hAnsi="Garamond"/>
        </w:rPr>
        <w:t xml:space="preserve">Every </w:t>
      </w:r>
      <w:r w:rsidR="009E7B71" w:rsidRPr="00381F61">
        <w:rPr>
          <w:rFonts w:ascii="Garamond" w:hAnsi="Garamond"/>
        </w:rPr>
        <w:t>three</w:t>
      </w:r>
      <w:r w:rsidRPr="00381F61">
        <w:rPr>
          <w:rFonts w:ascii="Garamond" w:hAnsi="Garamond"/>
        </w:rPr>
        <w:t xml:space="preserve"> years, legislation requires the Retirement Commissioner to undertake a review of New Zealand’s retirement income policies.  The last review was undertaken in 2016 and the next review is scheduled for </w:t>
      </w:r>
      <w:r w:rsidR="009E7B71" w:rsidRPr="00381F61">
        <w:rPr>
          <w:rFonts w:ascii="Garamond" w:hAnsi="Garamond"/>
        </w:rPr>
        <w:t xml:space="preserve">release in </w:t>
      </w:r>
      <w:r w:rsidRPr="00381F61">
        <w:rPr>
          <w:rFonts w:ascii="Garamond" w:hAnsi="Garamond"/>
        </w:rPr>
        <w:t>late 2019.</w:t>
      </w:r>
    </w:p>
    <w:p w14:paraId="73A27FF7" w14:textId="77777777" w:rsidR="00891E0F" w:rsidRPr="00381F61" w:rsidRDefault="00891E0F" w:rsidP="00E71CEB">
      <w:pPr>
        <w:jc w:val="both"/>
        <w:rPr>
          <w:rFonts w:ascii="Garamond" w:hAnsi="Garamond"/>
        </w:rPr>
      </w:pPr>
    </w:p>
    <w:p w14:paraId="318C9EA8" w14:textId="5C425C45" w:rsidR="00F66CFF" w:rsidRPr="00381F61" w:rsidRDefault="00012B97" w:rsidP="00E71CEB">
      <w:pPr>
        <w:jc w:val="both"/>
        <w:rPr>
          <w:rFonts w:ascii="Garamond" w:hAnsi="Garamond"/>
        </w:rPr>
      </w:pPr>
      <w:r w:rsidRPr="00381F61">
        <w:rPr>
          <w:rFonts w:ascii="Garamond" w:hAnsi="Garamond"/>
        </w:rPr>
        <w:t>T</w:t>
      </w:r>
      <w:r w:rsidR="00CF076E" w:rsidRPr="00381F61">
        <w:rPr>
          <w:rFonts w:ascii="Garamond" w:hAnsi="Garamond"/>
        </w:rPr>
        <w:t xml:space="preserve">he Retirement Commissioner’s </w:t>
      </w:r>
      <w:r w:rsidRPr="00381F61">
        <w:rPr>
          <w:rFonts w:ascii="Garamond" w:hAnsi="Garamond"/>
        </w:rPr>
        <w:t xml:space="preserve">disappointing </w:t>
      </w:r>
      <w:r w:rsidR="00CF076E" w:rsidRPr="00381F61">
        <w:rPr>
          <w:rFonts w:ascii="Garamond" w:hAnsi="Garamond"/>
        </w:rPr>
        <w:t xml:space="preserve">2016 </w:t>
      </w:r>
      <w:r w:rsidR="009E7B71" w:rsidRPr="00381F61">
        <w:rPr>
          <w:rFonts w:ascii="Garamond" w:hAnsi="Garamond"/>
        </w:rPr>
        <w:t>R</w:t>
      </w:r>
      <w:r w:rsidR="00CF076E" w:rsidRPr="00381F61">
        <w:rPr>
          <w:rFonts w:ascii="Garamond" w:hAnsi="Garamond"/>
        </w:rPr>
        <w:t>eview</w:t>
      </w:r>
      <w:r w:rsidRPr="00381F61">
        <w:rPr>
          <w:rFonts w:ascii="Garamond" w:hAnsi="Garamond"/>
        </w:rPr>
        <w:t xml:space="preserve"> prompted us</w:t>
      </w:r>
      <w:r w:rsidR="004455F1" w:rsidRPr="00381F61">
        <w:rPr>
          <w:rFonts w:ascii="Garamond" w:hAnsi="Garamond"/>
        </w:rPr>
        <w:t>, in 2017,</w:t>
      </w:r>
      <w:r w:rsidRPr="00381F61">
        <w:rPr>
          <w:rFonts w:ascii="Garamond" w:hAnsi="Garamond"/>
        </w:rPr>
        <w:t xml:space="preserve"> to publish </w:t>
      </w:r>
      <w:r w:rsidRPr="00381F61">
        <w:rPr>
          <w:rFonts w:ascii="Garamond" w:hAnsi="Garamond"/>
          <w:b/>
          <w:i/>
        </w:rPr>
        <w:t>The Missing 20</w:t>
      </w:r>
      <w:r w:rsidR="004455F1" w:rsidRPr="00381F61">
        <w:rPr>
          <w:rFonts w:ascii="Garamond" w:hAnsi="Garamond"/>
          <w:b/>
          <w:i/>
        </w:rPr>
        <w:t>1</w:t>
      </w:r>
      <w:r w:rsidRPr="00381F61">
        <w:rPr>
          <w:rFonts w:ascii="Garamond" w:hAnsi="Garamond"/>
          <w:b/>
          <w:i/>
        </w:rPr>
        <w:t>6 Review</w:t>
      </w:r>
      <w:r w:rsidR="00CF076E" w:rsidRPr="00381F61">
        <w:rPr>
          <w:rFonts w:ascii="Garamond" w:hAnsi="Garamond"/>
        </w:rPr>
        <w:t>.</w:t>
      </w:r>
      <w:r w:rsidR="00525FCE" w:rsidRPr="00381F61">
        <w:rPr>
          <w:rFonts w:ascii="Garamond" w:hAnsi="Garamond"/>
        </w:rPr>
        <w:t xml:space="preserve">  The </w:t>
      </w:r>
      <w:r w:rsidRPr="00381F61">
        <w:rPr>
          <w:rFonts w:ascii="Garamond" w:hAnsi="Garamond"/>
        </w:rPr>
        <w:t xml:space="preserve">2016 </w:t>
      </w:r>
      <w:r w:rsidR="00525FCE" w:rsidRPr="00381F61">
        <w:rPr>
          <w:rFonts w:ascii="Garamond" w:hAnsi="Garamond"/>
        </w:rPr>
        <w:t>findings, cloaked in a jokey</w:t>
      </w:r>
      <w:r w:rsidR="00623CBD" w:rsidRPr="00381F61">
        <w:rPr>
          <w:rFonts w:ascii="Garamond" w:hAnsi="Garamond"/>
        </w:rPr>
        <w:t>,</w:t>
      </w:r>
      <w:r w:rsidR="00525FCE" w:rsidRPr="00381F61">
        <w:rPr>
          <w:rFonts w:ascii="Garamond" w:hAnsi="Garamond"/>
        </w:rPr>
        <w:t xml:space="preserve"> cartoon-like presentation on the web site of the Commission</w:t>
      </w:r>
      <w:r w:rsidR="00B478A1" w:rsidRPr="00381F61">
        <w:rPr>
          <w:rFonts w:ascii="Garamond" w:hAnsi="Garamond"/>
        </w:rPr>
        <w:t xml:space="preserve"> for Financial Capability (CFFC - accessible </w:t>
      </w:r>
      <w:hyperlink r:id="rId10" w:history="1">
        <w:r w:rsidR="00B478A1" w:rsidRPr="00381F61">
          <w:rPr>
            <w:rStyle w:val="Hyperlink"/>
            <w:rFonts w:ascii="Garamond" w:hAnsi="Garamond"/>
          </w:rPr>
          <w:t>here</w:t>
        </w:r>
      </w:hyperlink>
      <w:r w:rsidR="00B478A1" w:rsidRPr="00381F61">
        <w:rPr>
          <w:rFonts w:ascii="Garamond" w:hAnsi="Garamond"/>
        </w:rPr>
        <w:t>),</w:t>
      </w:r>
      <w:r w:rsidR="00525FCE" w:rsidRPr="00381F61">
        <w:rPr>
          <w:rFonts w:ascii="Garamond" w:hAnsi="Garamond"/>
        </w:rPr>
        <w:t xml:space="preserve"> amounted to a series of </w:t>
      </w:r>
      <w:r w:rsidR="007520C1" w:rsidRPr="00381F61">
        <w:rPr>
          <w:rFonts w:ascii="Garamond" w:hAnsi="Garamond"/>
        </w:rPr>
        <w:t>3</w:t>
      </w:r>
      <w:r w:rsidR="00FA0277" w:rsidRPr="00381F61">
        <w:rPr>
          <w:rFonts w:ascii="Garamond" w:hAnsi="Garamond"/>
        </w:rPr>
        <w:t>4</w:t>
      </w:r>
      <w:r w:rsidR="007520C1" w:rsidRPr="00381F61">
        <w:rPr>
          <w:rFonts w:ascii="Garamond" w:hAnsi="Garamond"/>
        </w:rPr>
        <w:t xml:space="preserve"> </w:t>
      </w:r>
      <w:r w:rsidR="00525FCE" w:rsidRPr="00381F61">
        <w:rPr>
          <w:rFonts w:ascii="Garamond" w:hAnsi="Garamond"/>
        </w:rPr>
        <w:t xml:space="preserve">recommendations </w:t>
      </w:r>
      <w:r w:rsidR="007520C1" w:rsidRPr="00381F61">
        <w:rPr>
          <w:rFonts w:ascii="Garamond" w:hAnsi="Garamond"/>
        </w:rPr>
        <w:t>and observations with l</w:t>
      </w:r>
      <w:r w:rsidR="004D19F3" w:rsidRPr="00381F61">
        <w:rPr>
          <w:rFonts w:ascii="Garamond" w:hAnsi="Garamond"/>
        </w:rPr>
        <w:t>ittle to no supporting evidence for most of them</w:t>
      </w:r>
      <w:r w:rsidR="000B06AC" w:rsidRPr="00381F61">
        <w:rPr>
          <w:rStyle w:val="FootnoteReference"/>
          <w:rFonts w:ascii="Garamond" w:hAnsi="Garamond"/>
        </w:rPr>
        <w:footnoteReference w:id="1"/>
      </w:r>
      <w:r w:rsidR="004D19F3" w:rsidRPr="00381F61">
        <w:rPr>
          <w:rFonts w:ascii="Garamond" w:hAnsi="Garamond"/>
        </w:rPr>
        <w:t>.</w:t>
      </w:r>
    </w:p>
    <w:p w14:paraId="34D13121" w14:textId="77777777" w:rsidR="00F66CFF" w:rsidRPr="00381F61" w:rsidRDefault="00F66CFF" w:rsidP="00E71CEB">
      <w:pPr>
        <w:jc w:val="both"/>
        <w:rPr>
          <w:rFonts w:ascii="Garamond" w:hAnsi="Garamond"/>
        </w:rPr>
      </w:pPr>
    </w:p>
    <w:p w14:paraId="6AD497D4" w14:textId="1421487C" w:rsidR="00CF076E" w:rsidRPr="00381F61" w:rsidRDefault="00F66CFF" w:rsidP="00E71CEB">
      <w:pPr>
        <w:jc w:val="both"/>
        <w:rPr>
          <w:rFonts w:ascii="Garamond" w:hAnsi="Garamond"/>
        </w:rPr>
      </w:pPr>
      <w:r w:rsidRPr="00381F61">
        <w:rPr>
          <w:rFonts w:ascii="Garamond" w:hAnsi="Garamond"/>
        </w:rPr>
        <w:t xml:space="preserve">The terms of reference for the 2019 review are now out and the Retirement Commissioner is undertaking the research and work for that review.  We would like to think that the 2019 </w:t>
      </w:r>
      <w:r w:rsidR="009E7B71" w:rsidRPr="00381F61">
        <w:rPr>
          <w:rFonts w:ascii="Garamond" w:hAnsi="Garamond"/>
        </w:rPr>
        <w:t>R</w:t>
      </w:r>
      <w:r w:rsidRPr="00381F61">
        <w:rPr>
          <w:rFonts w:ascii="Garamond" w:hAnsi="Garamond"/>
        </w:rPr>
        <w:t xml:space="preserve">eview will address the questions raised in </w:t>
      </w:r>
      <w:r w:rsidRPr="00381F61">
        <w:rPr>
          <w:rFonts w:ascii="Garamond" w:hAnsi="Garamond"/>
          <w:i/>
        </w:rPr>
        <w:t>The Missing 2016 Review</w:t>
      </w:r>
      <w:r w:rsidRPr="00381F61">
        <w:rPr>
          <w:rFonts w:ascii="Garamond" w:hAnsi="Garamond"/>
        </w:rPr>
        <w:t xml:space="preserve">.  We are happy for them to be dismissed, if the evidence suggests that we were wrong, but let’s get the evidence.  To help formulate the 2019 </w:t>
      </w:r>
      <w:r w:rsidR="009E7B71" w:rsidRPr="00381F61">
        <w:rPr>
          <w:rFonts w:ascii="Garamond" w:hAnsi="Garamond"/>
        </w:rPr>
        <w:t>R</w:t>
      </w:r>
      <w:r w:rsidRPr="00381F61">
        <w:rPr>
          <w:rFonts w:ascii="Garamond" w:hAnsi="Garamond"/>
        </w:rPr>
        <w:t xml:space="preserve">eview, we have updated our original report with the latest evidence available.  We have called it </w:t>
      </w:r>
      <w:r w:rsidRPr="00381F61">
        <w:rPr>
          <w:rFonts w:ascii="Garamond" w:hAnsi="Garamond"/>
          <w:b/>
          <w:i/>
        </w:rPr>
        <w:t>Informing the 2019 Review</w:t>
      </w:r>
      <w:r w:rsidRPr="00381F61">
        <w:rPr>
          <w:rFonts w:ascii="Garamond" w:hAnsi="Garamond"/>
          <w:i/>
        </w:rPr>
        <w:t>.</w:t>
      </w:r>
    </w:p>
    <w:p w14:paraId="34F35E98" w14:textId="77777777" w:rsidR="007520C1" w:rsidRPr="00381F61" w:rsidRDefault="007520C1" w:rsidP="00E71CEB">
      <w:pPr>
        <w:jc w:val="both"/>
        <w:rPr>
          <w:rFonts w:ascii="Garamond" w:hAnsi="Garamond"/>
        </w:rPr>
      </w:pPr>
    </w:p>
    <w:p w14:paraId="248CB81B" w14:textId="3A9D0A03" w:rsidR="00623009" w:rsidRPr="00381F61" w:rsidRDefault="001271AE" w:rsidP="00E71CEB">
      <w:pPr>
        <w:jc w:val="both"/>
        <w:rPr>
          <w:rFonts w:ascii="Garamond" w:hAnsi="Garamond"/>
        </w:rPr>
      </w:pPr>
      <w:r w:rsidRPr="00381F61">
        <w:rPr>
          <w:rFonts w:ascii="Garamond" w:hAnsi="Garamond"/>
        </w:rPr>
        <w:t>T</w:t>
      </w:r>
      <w:r w:rsidR="00623009" w:rsidRPr="00381F61">
        <w:rPr>
          <w:rFonts w:ascii="Garamond" w:hAnsi="Garamond"/>
        </w:rPr>
        <w:t xml:space="preserve">he </w:t>
      </w:r>
      <w:r w:rsidRPr="00381F61">
        <w:rPr>
          <w:rFonts w:ascii="Garamond" w:hAnsi="Garamond"/>
        </w:rPr>
        <w:t xml:space="preserve">last </w:t>
      </w:r>
      <w:r w:rsidR="00623009" w:rsidRPr="00381F61">
        <w:rPr>
          <w:rFonts w:ascii="Garamond" w:hAnsi="Garamond"/>
        </w:rPr>
        <w:t xml:space="preserve">government announced two changes to New Zealand Superannuation – an increase in the state pension age from 65 to 67 and an increase in the qualifying number of years of residence from 10 to 20 – both changes </w:t>
      </w:r>
      <w:r w:rsidR="0004367A" w:rsidRPr="00381F61">
        <w:rPr>
          <w:rFonts w:ascii="Garamond" w:hAnsi="Garamond"/>
        </w:rPr>
        <w:t xml:space="preserve">were to become </w:t>
      </w:r>
      <w:r w:rsidR="00623009" w:rsidRPr="00381F61">
        <w:rPr>
          <w:rFonts w:ascii="Garamond" w:hAnsi="Garamond"/>
        </w:rPr>
        <w:t xml:space="preserve">effective in </w:t>
      </w:r>
      <w:r w:rsidR="0004367A" w:rsidRPr="00381F61">
        <w:rPr>
          <w:rFonts w:ascii="Garamond" w:hAnsi="Garamond"/>
        </w:rPr>
        <w:t xml:space="preserve">about </w:t>
      </w:r>
      <w:r w:rsidR="00623009" w:rsidRPr="00381F61">
        <w:rPr>
          <w:rFonts w:ascii="Garamond" w:hAnsi="Garamond"/>
        </w:rPr>
        <w:t>20 years.</w:t>
      </w:r>
    </w:p>
    <w:p w14:paraId="5274CC2F" w14:textId="65C9FA3E" w:rsidR="001271AE" w:rsidRPr="00381F61" w:rsidRDefault="001271AE" w:rsidP="00E71CEB">
      <w:pPr>
        <w:jc w:val="both"/>
        <w:rPr>
          <w:rFonts w:ascii="Garamond" w:hAnsi="Garamond"/>
        </w:rPr>
      </w:pPr>
    </w:p>
    <w:p w14:paraId="49B51208" w14:textId="77777777" w:rsidR="00F766D5" w:rsidRDefault="001271AE" w:rsidP="00E71CEB">
      <w:pPr>
        <w:jc w:val="both"/>
        <w:rPr>
          <w:rFonts w:ascii="Garamond" w:hAnsi="Garamond"/>
        </w:rPr>
      </w:pPr>
      <w:r w:rsidRPr="00381F61">
        <w:rPr>
          <w:rFonts w:ascii="Garamond" w:hAnsi="Garamond"/>
        </w:rPr>
        <w:t xml:space="preserve">Those decisions </w:t>
      </w:r>
      <w:r w:rsidR="00DE5A68" w:rsidRPr="00381F61">
        <w:rPr>
          <w:rFonts w:ascii="Garamond" w:hAnsi="Garamond"/>
        </w:rPr>
        <w:t>were</w:t>
      </w:r>
      <w:r w:rsidRPr="00381F61">
        <w:rPr>
          <w:rFonts w:ascii="Garamond" w:hAnsi="Garamond"/>
        </w:rPr>
        <w:t xml:space="preserve"> reversed by the current government</w:t>
      </w:r>
      <w:r w:rsidR="009965C9">
        <w:rPr>
          <w:rFonts w:ascii="Garamond" w:hAnsi="Garamond"/>
        </w:rPr>
        <w:t xml:space="preserve"> which has then gone on to make its own evidence-free decisions. </w:t>
      </w:r>
    </w:p>
    <w:p w14:paraId="030D71B5" w14:textId="77777777" w:rsidR="00F766D5" w:rsidRDefault="00F766D5" w:rsidP="00E71CEB">
      <w:pPr>
        <w:jc w:val="both"/>
        <w:rPr>
          <w:rFonts w:ascii="Garamond" w:hAnsi="Garamond"/>
        </w:rPr>
      </w:pPr>
    </w:p>
    <w:p w14:paraId="10920E31" w14:textId="4664B35A" w:rsidR="001271AE" w:rsidRPr="00381F61" w:rsidRDefault="009965C9" w:rsidP="00E71CEB">
      <w:pPr>
        <w:jc w:val="both"/>
        <w:rPr>
          <w:rFonts w:ascii="Garamond" w:hAnsi="Garamond"/>
        </w:rPr>
      </w:pPr>
      <w:r>
        <w:rPr>
          <w:rFonts w:ascii="Garamond" w:hAnsi="Garamond"/>
        </w:rPr>
        <w:t>The Ministry of Social Development in a 2019 Budget-related publication announced three changes to New Zealand Superannuation.  Two of those (ACC recipients and ‘non-qualifying partners</w:t>
      </w:r>
      <w:r w:rsidR="003B3D0E">
        <w:rPr>
          <w:rFonts w:ascii="Garamond" w:hAnsi="Garamond"/>
        </w:rPr>
        <w:t>’</w:t>
      </w:r>
      <w:r>
        <w:rPr>
          <w:rFonts w:ascii="Garamond" w:hAnsi="Garamond"/>
        </w:rPr>
        <w:t xml:space="preserve">) were based on evidence-free recommendations </w:t>
      </w:r>
      <w:r w:rsidR="003B3D0E">
        <w:rPr>
          <w:rFonts w:ascii="Garamond" w:hAnsi="Garamond"/>
        </w:rPr>
        <w:t>from</w:t>
      </w:r>
      <w:r>
        <w:rPr>
          <w:rFonts w:ascii="Garamond" w:hAnsi="Garamond"/>
        </w:rPr>
        <w:t xml:space="preserve"> the Retirement Commissioner.  The third (section 70 spousal deductions) was research-led but deals with only one of the many difficulties associated with section 70.  We have more to say on these in sections 6 (</w:t>
      </w:r>
      <w:r w:rsidRPr="00C80EB8">
        <w:rPr>
          <w:rFonts w:ascii="Garamond" w:hAnsi="Garamond"/>
        </w:rPr>
        <w:t>Framing the debate on New Zealand Superannuation</w:t>
      </w:r>
      <w:r>
        <w:rPr>
          <w:rFonts w:ascii="Garamond" w:hAnsi="Garamond"/>
        </w:rPr>
        <w:t>)</w:t>
      </w:r>
      <w:r w:rsidR="003B3D0E">
        <w:rPr>
          <w:rFonts w:ascii="Garamond" w:hAnsi="Garamond"/>
        </w:rPr>
        <w:t xml:space="preserve">, </w:t>
      </w:r>
      <w:r>
        <w:rPr>
          <w:rFonts w:ascii="Garamond" w:hAnsi="Garamond"/>
        </w:rPr>
        <w:t>7 (Wind-up the New Zealand Superannuation Fund)</w:t>
      </w:r>
      <w:r w:rsidR="003B3D0E">
        <w:rPr>
          <w:rFonts w:ascii="Garamond" w:hAnsi="Garamond"/>
        </w:rPr>
        <w:t xml:space="preserve"> and 8 (Overseas pensions and section 70)</w:t>
      </w:r>
      <w:r>
        <w:rPr>
          <w:rFonts w:ascii="Garamond" w:hAnsi="Garamond"/>
        </w:rPr>
        <w:t>.</w:t>
      </w:r>
    </w:p>
    <w:p w14:paraId="200CDC50" w14:textId="77777777" w:rsidR="00623009" w:rsidRPr="00381F61" w:rsidRDefault="00623009" w:rsidP="00E71CEB">
      <w:pPr>
        <w:jc w:val="both"/>
        <w:rPr>
          <w:rFonts w:ascii="Garamond" w:hAnsi="Garamond"/>
        </w:rPr>
      </w:pPr>
    </w:p>
    <w:p w14:paraId="69C6CB6A" w14:textId="4AF0FB74" w:rsidR="00623009" w:rsidRPr="00381F61" w:rsidRDefault="00802A83" w:rsidP="00E71CEB">
      <w:pPr>
        <w:jc w:val="both"/>
        <w:rPr>
          <w:rFonts w:ascii="Garamond" w:hAnsi="Garamond"/>
        </w:rPr>
      </w:pPr>
      <w:r w:rsidRPr="00381F61">
        <w:rPr>
          <w:rFonts w:ascii="Garamond" w:hAnsi="Garamond"/>
        </w:rPr>
        <w:t>Neither</w:t>
      </w:r>
      <w:r w:rsidR="00623009" w:rsidRPr="00381F61">
        <w:rPr>
          <w:rFonts w:ascii="Garamond" w:hAnsi="Garamond"/>
        </w:rPr>
        <w:t xml:space="preserve"> government</w:t>
      </w:r>
      <w:r w:rsidRPr="00381F61">
        <w:rPr>
          <w:rFonts w:ascii="Garamond" w:hAnsi="Garamond"/>
        </w:rPr>
        <w:t>’s</w:t>
      </w:r>
      <w:r w:rsidR="00623009" w:rsidRPr="00381F61">
        <w:rPr>
          <w:rFonts w:ascii="Garamond" w:hAnsi="Garamond"/>
        </w:rPr>
        <w:t xml:space="preserve"> decisions </w:t>
      </w:r>
      <w:r w:rsidR="009965C9">
        <w:rPr>
          <w:rFonts w:ascii="Garamond" w:hAnsi="Garamond"/>
        </w:rPr>
        <w:t xml:space="preserve">on the state pension age and residence period </w:t>
      </w:r>
      <w:r w:rsidR="001271AE" w:rsidRPr="00381F61">
        <w:rPr>
          <w:rFonts w:ascii="Garamond" w:hAnsi="Garamond"/>
        </w:rPr>
        <w:t xml:space="preserve">were </w:t>
      </w:r>
      <w:r w:rsidR="00623009" w:rsidRPr="00381F61">
        <w:rPr>
          <w:rFonts w:ascii="Garamond" w:hAnsi="Garamond"/>
        </w:rPr>
        <w:t>founded on a proper, evidence-led policy-making</w:t>
      </w:r>
      <w:r w:rsidR="00F66312" w:rsidRPr="00381F61">
        <w:rPr>
          <w:rFonts w:ascii="Garamond" w:hAnsi="Garamond"/>
        </w:rPr>
        <w:t xml:space="preserve"> process</w:t>
      </w:r>
      <w:r w:rsidR="00FC18C1" w:rsidRPr="00381F61">
        <w:rPr>
          <w:rFonts w:ascii="Garamond" w:hAnsi="Garamond"/>
        </w:rPr>
        <w:t xml:space="preserve">.  </w:t>
      </w:r>
      <w:r w:rsidR="001271AE" w:rsidRPr="00381F61">
        <w:rPr>
          <w:rFonts w:ascii="Garamond" w:hAnsi="Garamond"/>
        </w:rPr>
        <w:t>Both</w:t>
      </w:r>
      <w:r w:rsidR="00FC18C1" w:rsidRPr="00381F61">
        <w:rPr>
          <w:rFonts w:ascii="Garamond" w:hAnsi="Garamond"/>
        </w:rPr>
        <w:t xml:space="preserve"> </w:t>
      </w:r>
      <w:r w:rsidR="003B3D0E">
        <w:rPr>
          <w:rFonts w:ascii="Garamond" w:hAnsi="Garamond"/>
        </w:rPr>
        <w:t xml:space="preserve">governments </w:t>
      </w:r>
      <w:r w:rsidR="00FC18C1" w:rsidRPr="00381F61">
        <w:rPr>
          <w:rFonts w:ascii="Garamond" w:hAnsi="Garamond"/>
        </w:rPr>
        <w:t>chose just two of 13</w:t>
      </w:r>
      <w:r w:rsidR="00623009" w:rsidRPr="00381F61">
        <w:rPr>
          <w:rFonts w:ascii="Garamond" w:hAnsi="Garamond"/>
        </w:rPr>
        <w:t xml:space="preserve"> possible changes that could have been made to the state pension with little to no justification for ignoring different possible reforms</w:t>
      </w:r>
      <w:r w:rsidR="00AF50CC" w:rsidRPr="00381F61">
        <w:rPr>
          <w:rFonts w:ascii="Garamond" w:hAnsi="Garamond"/>
        </w:rPr>
        <w:t xml:space="preserve"> or even modelling the impact of the two reforms </w:t>
      </w:r>
      <w:r w:rsidR="001271AE" w:rsidRPr="00381F61">
        <w:rPr>
          <w:rFonts w:ascii="Garamond" w:hAnsi="Garamond"/>
        </w:rPr>
        <w:t>the</w:t>
      </w:r>
      <w:r w:rsidR="00186B92" w:rsidRPr="00381F61">
        <w:rPr>
          <w:rFonts w:ascii="Garamond" w:hAnsi="Garamond"/>
        </w:rPr>
        <w:t xml:space="preserve"> last government</w:t>
      </w:r>
      <w:r w:rsidR="001271AE" w:rsidRPr="00381F61">
        <w:rPr>
          <w:rFonts w:ascii="Garamond" w:hAnsi="Garamond"/>
        </w:rPr>
        <w:t xml:space="preserve"> </w:t>
      </w:r>
      <w:r w:rsidR="00AF50CC" w:rsidRPr="00381F61">
        <w:rPr>
          <w:rFonts w:ascii="Garamond" w:hAnsi="Garamond"/>
        </w:rPr>
        <w:t>chose</w:t>
      </w:r>
      <w:r w:rsidR="00623009" w:rsidRPr="00381F61">
        <w:rPr>
          <w:rFonts w:ascii="Garamond" w:hAnsi="Garamond"/>
        </w:rPr>
        <w:t xml:space="preserve">.  We explain in section </w:t>
      </w:r>
      <w:r w:rsidR="000856CF" w:rsidRPr="00381F61">
        <w:rPr>
          <w:rFonts w:ascii="Garamond" w:hAnsi="Garamond"/>
        </w:rPr>
        <w:t>6</w:t>
      </w:r>
      <w:r w:rsidR="00532EB3" w:rsidRPr="00381F61">
        <w:rPr>
          <w:rFonts w:ascii="Garamond" w:hAnsi="Garamond"/>
        </w:rPr>
        <w:t xml:space="preserve"> </w:t>
      </w:r>
      <w:r w:rsidR="00623009" w:rsidRPr="00381F61">
        <w:rPr>
          <w:rFonts w:ascii="Garamond" w:hAnsi="Garamond"/>
        </w:rPr>
        <w:t>what should have happened</w:t>
      </w:r>
      <w:r w:rsidR="00DE5A68" w:rsidRPr="00381F61">
        <w:rPr>
          <w:rFonts w:ascii="Garamond" w:hAnsi="Garamond"/>
        </w:rPr>
        <w:t xml:space="preserve"> – what best practice </w:t>
      </w:r>
      <w:r w:rsidR="009E7B71" w:rsidRPr="00381F61">
        <w:rPr>
          <w:rFonts w:ascii="Garamond" w:hAnsi="Garamond"/>
        </w:rPr>
        <w:t>sh</w:t>
      </w:r>
      <w:r w:rsidR="00DE5A68" w:rsidRPr="00381F61">
        <w:rPr>
          <w:rFonts w:ascii="Garamond" w:hAnsi="Garamond"/>
        </w:rPr>
        <w:t>ould look like</w:t>
      </w:r>
      <w:r w:rsidR="00623009" w:rsidRPr="00381F61">
        <w:rPr>
          <w:rFonts w:ascii="Garamond" w:hAnsi="Garamond"/>
        </w:rPr>
        <w:t>.</w:t>
      </w:r>
    </w:p>
    <w:p w14:paraId="25D6BEFF" w14:textId="77777777" w:rsidR="004A3332" w:rsidRPr="00381F61" w:rsidRDefault="004A3332" w:rsidP="004A3332">
      <w:pPr>
        <w:pStyle w:val="BodyText"/>
        <w:spacing w:after="0"/>
        <w:ind w:left="284" w:hanging="284"/>
        <w:rPr>
          <w:rFonts w:ascii="Garamond" w:hAnsi="Garamond"/>
          <w:b/>
          <w:color w:val="1A1A1A"/>
          <w:w w:val="105"/>
          <w:sz w:val="22"/>
          <w:szCs w:val="22"/>
        </w:rPr>
      </w:pPr>
    </w:p>
    <w:p w14:paraId="3A6A0C36" w14:textId="77777777" w:rsidR="004A3332" w:rsidRPr="00381F61" w:rsidRDefault="004A3332" w:rsidP="004A3332">
      <w:pPr>
        <w:pStyle w:val="BodyText"/>
        <w:spacing w:after="0"/>
        <w:ind w:left="284" w:hanging="284"/>
        <w:rPr>
          <w:rFonts w:ascii="Garamond" w:hAnsi="Garamond"/>
          <w:b/>
        </w:rPr>
      </w:pPr>
      <w:r w:rsidRPr="00381F61">
        <w:rPr>
          <w:rFonts w:ascii="Garamond" w:hAnsi="Garamond"/>
          <w:b/>
          <w:color w:val="1A1A1A"/>
          <w:w w:val="105"/>
        </w:rPr>
        <w:t>Terms of reference for the 2019 retirement income policy review</w:t>
      </w:r>
    </w:p>
    <w:p w14:paraId="6A1CED9A" w14:textId="77777777" w:rsidR="00CF076E" w:rsidRPr="00381F61" w:rsidRDefault="00CF076E" w:rsidP="00E71CEB">
      <w:pPr>
        <w:jc w:val="both"/>
        <w:rPr>
          <w:rFonts w:ascii="Garamond" w:hAnsi="Garamond"/>
        </w:rPr>
      </w:pPr>
    </w:p>
    <w:p w14:paraId="1C52F238" w14:textId="7EB54101" w:rsidR="001271AE" w:rsidRPr="00381F61" w:rsidRDefault="001271AE" w:rsidP="00E71CEB">
      <w:pPr>
        <w:widowControl w:val="0"/>
        <w:autoSpaceDE w:val="0"/>
        <w:autoSpaceDN w:val="0"/>
        <w:adjustRightInd w:val="0"/>
        <w:jc w:val="both"/>
        <w:rPr>
          <w:rFonts w:ascii="Garamond" w:hAnsi="Garamond"/>
        </w:rPr>
      </w:pPr>
      <w:r w:rsidRPr="00381F61">
        <w:rPr>
          <w:rFonts w:ascii="Garamond" w:hAnsi="Garamond"/>
        </w:rPr>
        <w:t>The government has announced the terms of reference for the 2019 Review of Retirement Income Policies, as required under the New Zealand Superannuation and Retirement Income Act 2001</w:t>
      </w:r>
      <w:r w:rsidRPr="00381F61">
        <w:rPr>
          <w:rStyle w:val="FootnoteReference"/>
          <w:rFonts w:ascii="Garamond" w:hAnsi="Garamond"/>
        </w:rPr>
        <w:footnoteReference w:id="2"/>
      </w:r>
      <w:r w:rsidRPr="00381F61">
        <w:rPr>
          <w:rFonts w:ascii="Garamond" w:hAnsi="Garamond"/>
        </w:rPr>
        <w:t>.</w:t>
      </w:r>
      <w:r w:rsidR="00186B92" w:rsidRPr="00381F61">
        <w:rPr>
          <w:rFonts w:ascii="Garamond" w:hAnsi="Garamond"/>
        </w:rPr>
        <w:t xml:space="preserve">  As explained in section 21</w:t>
      </w:r>
      <w:r w:rsidR="007306FB" w:rsidRPr="00381F61">
        <w:rPr>
          <w:rFonts w:ascii="Garamond" w:hAnsi="Garamond"/>
        </w:rPr>
        <w:t xml:space="preserve"> (The Review process)</w:t>
      </w:r>
      <w:r w:rsidR="00186B92" w:rsidRPr="00381F61">
        <w:rPr>
          <w:rFonts w:ascii="Garamond" w:hAnsi="Garamond"/>
        </w:rPr>
        <w:t>, we think the Retirement Commissioner</w:t>
      </w:r>
      <w:r w:rsidR="009E7B71" w:rsidRPr="00381F61">
        <w:rPr>
          <w:rFonts w:ascii="Garamond" w:hAnsi="Garamond"/>
        </w:rPr>
        <w:t xml:space="preserve"> (rather than the government)</w:t>
      </w:r>
      <w:r w:rsidR="00186B92" w:rsidRPr="00381F61">
        <w:rPr>
          <w:rFonts w:ascii="Garamond" w:hAnsi="Garamond"/>
        </w:rPr>
        <w:t xml:space="preserve"> should set the terms of reference of each review with the government, perhaps, identifying some areas of particular interest.</w:t>
      </w:r>
    </w:p>
    <w:p w14:paraId="25BDF4AB" w14:textId="1F9E8AF3" w:rsidR="008716D8" w:rsidRPr="00381F61" w:rsidRDefault="008716D8" w:rsidP="00E71CEB">
      <w:pPr>
        <w:widowControl w:val="0"/>
        <w:autoSpaceDE w:val="0"/>
        <w:autoSpaceDN w:val="0"/>
        <w:adjustRightInd w:val="0"/>
        <w:jc w:val="both"/>
        <w:rPr>
          <w:rFonts w:ascii="Garamond" w:hAnsi="Garamond"/>
        </w:rPr>
      </w:pPr>
    </w:p>
    <w:p w14:paraId="20454F31" w14:textId="38A02C68" w:rsidR="008716D8" w:rsidRPr="00381F61" w:rsidRDefault="008716D8" w:rsidP="00E71CEB">
      <w:pPr>
        <w:widowControl w:val="0"/>
        <w:autoSpaceDE w:val="0"/>
        <w:autoSpaceDN w:val="0"/>
        <w:adjustRightInd w:val="0"/>
        <w:jc w:val="both"/>
        <w:rPr>
          <w:rFonts w:ascii="Garamond" w:hAnsi="Garamond"/>
        </w:rPr>
      </w:pPr>
      <w:r w:rsidRPr="00381F61">
        <w:rPr>
          <w:rFonts w:ascii="Garamond" w:hAnsi="Garamond"/>
        </w:rPr>
        <w:t xml:space="preserve">The </w:t>
      </w:r>
      <w:r w:rsidR="00186B92" w:rsidRPr="00381F61">
        <w:rPr>
          <w:rFonts w:ascii="Garamond" w:hAnsi="Garamond"/>
        </w:rPr>
        <w:t xml:space="preserve">2019 </w:t>
      </w:r>
      <w:r w:rsidRPr="00381F61">
        <w:rPr>
          <w:rFonts w:ascii="Garamond" w:hAnsi="Garamond"/>
        </w:rPr>
        <w:t xml:space="preserve">terms of reference </w:t>
      </w:r>
      <w:r w:rsidR="004A3332" w:rsidRPr="00381F61">
        <w:rPr>
          <w:rFonts w:ascii="Garamond" w:hAnsi="Garamond"/>
        </w:rPr>
        <w:t xml:space="preserve">(accessible </w:t>
      </w:r>
      <w:hyperlink r:id="rId11" w:history="1">
        <w:r w:rsidR="004A3332" w:rsidRPr="00381F61">
          <w:rPr>
            <w:rStyle w:val="Hyperlink"/>
            <w:rFonts w:ascii="Garamond" w:hAnsi="Garamond"/>
          </w:rPr>
          <w:t>here</w:t>
        </w:r>
      </w:hyperlink>
      <w:r w:rsidR="004A3332" w:rsidRPr="00381F61">
        <w:rPr>
          <w:rFonts w:ascii="Garamond" w:hAnsi="Garamond"/>
        </w:rPr>
        <w:t xml:space="preserve">) </w:t>
      </w:r>
      <w:r w:rsidRPr="00381F61">
        <w:rPr>
          <w:rFonts w:ascii="Garamond" w:hAnsi="Garamond"/>
        </w:rPr>
        <w:t>follow</w:t>
      </w:r>
      <w:r w:rsidR="00012B97" w:rsidRPr="00381F61">
        <w:rPr>
          <w:rFonts w:ascii="Garamond" w:hAnsi="Garamond"/>
        </w:rPr>
        <w:t xml:space="preserve"> </w:t>
      </w:r>
      <w:r w:rsidR="007306FB" w:rsidRPr="00381F61">
        <w:rPr>
          <w:rFonts w:ascii="Garamond" w:hAnsi="Garamond"/>
        </w:rPr>
        <w:t xml:space="preserve">in this section </w:t>
      </w:r>
      <w:r w:rsidR="00012B97" w:rsidRPr="00381F61">
        <w:rPr>
          <w:rFonts w:ascii="Garamond" w:hAnsi="Garamond"/>
        </w:rPr>
        <w:t>with our initial comments.  W</w:t>
      </w:r>
      <w:r w:rsidRPr="00381F61">
        <w:rPr>
          <w:rFonts w:ascii="Garamond" w:hAnsi="Garamond"/>
        </w:rPr>
        <w:t xml:space="preserve">e </w:t>
      </w:r>
      <w:r w:rsidRPr="00381F61">
        <w:rPr>
          <w:rFonts w:ascii="Garamond" w:hAnsi="Garamond"/>
        </w:rPr>
        <w:lastRenderedPageBreak/>
        <w:t xml:space="preserve">will </w:t>
      </w:r>
      <w:r w:rsidR="004A3332" w:rsidRPr="00381F61">
        <w:rPr>
          <w:rFonts w:ascii="Garamond" w:hAnsi="Garamond"/>
        </w:rPr>
        <w:t xml:space="preserve">deal with </w:t>
      </w:r>
      <w:r w:rsidRPr="00381F61">
        <w:rPr>
          <w:rFonts w:ascii="Garamond" w:hAnsi="Garamond"/>
        </w:rPr>
        <w:t xml:space="preserve">each </w:t>
      </w:r>
      <w:r w:rsidR="007306FB" w:rsidRPr="00381F61">
        <w:rPr>
          <w:rFonts w:ascii="Garamond" w:hAnsi="Garamond"/>
        </w:rPr>
        <w:t xml:space="preserve">topic in more detail </w:t>
      </w:r>
      <w:r w:rsidRPr="00381F61">
        <w:rPr>
          <w:rFonts w:ascii="Garamond" w:hAnsi="Garamond"/>
        </w:rPr>
        <w:t>in the appropriate section below.  Suffice to say, at this stage, that the 2019 Review looks to be following the pattern established in the previous six triennial reviews.</w:t>
      </w:r>
      <w:r w:rsidR="0004367A" w:rsidRPr="00381F61">
        <w:rPr>
          <w:rFonts w:ascii="Garamond" w:hAnsi="Garamond"/>
        </w:rPr>
        <w:t xml:space="preserve">  We are not encouraged by that.</w:t>
      </w:r>
    </w:p>
    <w:p w14:paraId="1E0BD79D" w14:textId="77777777" w:rsidR="004A3332" w:rsidRPr="00381F61" w:rsidRDefault="004A3332" w:rsidP="004A3332">
      <w:pPr>
        <w:pStyle w:val="BodyText"/>
        <w:spacing w:after="0"/>
        <w:ind w:right="1044"/>
        <w:rPr>
          <w:rFonts w:ascii="Garamond" w:hAnsi="Garamond"/>
          <w:color w:val="1A1A1A"/>
        </w:rPr>
      </w:pPr>
    </w:p>
    <w:p w14:paraId="34CD24C3" w14:textId="2617F44C" w:rsidR="005E10F7" w:rsidRPr="00381F61" w:rsidRDefault="005E10F7">
      <w:pPr>
        <w:pStyle w:val="BodyText"/>
        <w:spacing w:after="0"/>
        <w:ind w:right="-52"/>
        <w:jc w:val="both"/>
        <w:rPr>
          <w:rFonts w:ascii="Garamond" w:hAnsi="Garamond"/>
          <w:color w:val="1A1A1A"/>
        </w:rPr>
      </w:pPr>
      <w:r w:rsidRPr="00381F61">
        <w:rPr>
          <w:rFonts w:ascii="Garamond" w:hAnsi="Garamond"/>
          <w:color w:val="1A1A1A"/>
        </w:rPr>
        <w:t xml:space="preserve">Here is how the </w:t>
      </w:r>
      <w:r w:rsidR="007306FB" w:rsidRPr="00381F61">
        <w:rPr>
          <w:rFonts w:ascii="Garamond" w:hAnsi="Garamond"/>
          <w:color w:val="1A1A1A"/>
        </w:rPr>
        <w:t xml:space="preserve">2019 </w:t>
      </w:r>
      <w:r w:rsidR="00696DB4" w:rsidRPr="00381F61">
        <w:rPr>
          <w:rFonts w:ascii="Garamond" w:hAnsi="Garamond"/>
          <w:color w:val="1A1A1A"/>
        </w:rPr>
        <w:t xml:space="preserve">Review </w:t>
      </w:r>
      <w:r w:rsidRPr="00381F61">
        <w:rPr>
          <w:rFonts w:ascii="Garamond" w:hAnsi="Garamond"/>
          <w:color w:val="1A1A1A"/>
        </w:rPr>
        <w:t>topics are introduced:</w:t>
      </w:r>
    </w:p>
    <w:p w14:paraId="7C3946C5" w14:textId="77777777" w:rsidR="005E10F7" w:rsidRPr="00381F61" w:rsidRDefault="005E10F7">
      <w:pPr>
        <w:pStyle w:val="BodyText"/>
        <w:spacing w:after="0"/>
        <w:ind w:right="-52"/>
        <w:jc w:val="both"/>
        <w:rPr>
          <w:rFonts w:ascii="Garamond" w:hAnsi="Garamond"/>
          <w:color w:val="1A1A1A"/>
          <w:sz w:val="8"/>
          <w:szCs w:val="8"/>
        </w:rPr>
      </w:pPr>
    </w:p>
    <w:p w14:paraId="475B7102" w14:textId="5DE77491" w:rsidR="004A3332" w:rsidRPr="00381F61" w:rsidRDefault="005E10F7" w:rsidP="00891E0F">
      <w:pPr>
        <w:pStyle w:val="BodyText"/>
        <w:spacing w:after="0"/>
        <w:ind w:left="426" w:right="-52"/>
        <w:jc w:val="both"/>
        <w:rPr>
          <w:rFonts w:ascii="Garamond" w:hAnsi="Garamond"/>
          <w:color w:val="1A1A1A"/>
          <w:sz w:val="22"/>
          <w:szCs w:val="22"/>
        </w:rPr>
      </w:pPr>
      <w:r w:rsidRPr="00381F61">
        <w:rPr>
          <w:rFonts w:ascii="Garamond" w:hAnsi="Garamond"/>
          <w:color w:val="1A1A1A"/>
          <w:sz w:val="22"/>
          <w:szCs w:val="22"/>
        </w:rPr>
        <w:t>“</w:t>
      </w:r>
      <w:r w:rsidR="004A3332" w:rsidRPr="00381F61">
        <w:rPr>
          <w:rFonts w:ascii="Garamond" w:hAnsi="Garamond"/>
          <w:color w:val="1A1A1A"/>
          <w:sz w:val="22"/>
          <w:szCs w:val="22"/>
        </w:rPr>
        <w:t>Aspects of retirement income policies the review must address and the topics to be discussed in the Retirement Commissioner's 2019 report:</w:t>
      </w:r>
      <w:r w:rsidRPr="00381F61">
        <w:rPr>
          <w:rFonts w:ascii="Garamond" w:hAnsi="Garamond"/>
          <w:color w:val="1A1A1A"/>
          <w:sz w:val="22"/>
          <w:szCs w:val="22"/>
        </w:rPr>
        <w:t>”</w:t>
      </w:r>
    </w:p>
    <w:p w14:paraId="136FD43E" w14:textId="77777777" w:rsidR="005E10F7" w:rsidRPr="00381F61" w:rsidRDefault="005E10F7" w:rsidP="00891E0F">
      <w:pPr>
        <w:pStyle w:val="BodyText"/>
        <w:spacing w:after="0"/>
        <w:ind w:left="426" w:right="-52"/>
        <w:jc w:val="both"/>
        <w:rPr>
          <w:rFonts w:ascii="Garamond" w:hAnsi="Garamond"/>
          <w:color w:val="1A1A1A"/>
          <w:sz w:val="8"/>
          <w:szCs w:val="8"/>
        </w:rPr>
      </w:pPr>
    </w:p>
    <w:p w14:paraId="52F9D45F" w14:textId="49305838" w:rsidR="005E10F7" w:rsidRPr="00381F61" w:rsidRDefault="005E10F7" w:rsidP="005E10F7">
      <w:pPr>
        <w:pStyle w:val="BodyText"/>
        <w:spacing w:after="0"/>
        <w:ind w:left="426" w:right="-52"/>
        <w:jc w:val="both"/>
        <w:rPr>
          <w:rFonts w:ascii="Garamond" w:hAnsi="Garamond"/>
          <w:color w:val="1A1A1A"/>
        </w:rPr>
      </w:pPr>
      <w:r w:rsidRPr="00381F61">
        <w:rPr>
          <w:rFonts w:ascii="Garamond" w:hAnsi="Garamond"/>
          <w:b/>
          <w:color w:val="1A1A1A"/>
        </w:rPr>
        <w:t xml:space="preserve">Our initial comments: </w:t>
      </w:r>
      <w:r w:rsidRPr="00381F61">
        <w:rPr>
          <w:rFonts w:ascii="Garamond" w:hAnsi="Garamond"/>
          <w:color w:val="1A1A1A"/>
        </w:rPr>
        <w:t>This intro</w:t>
      </w:r>
      <w:r w:rsidR="00696DB4" w:rsidRPr="00381F61">
        <w:rPr>
          <w:rFonts w:ascii="Garamond" w:hAnsi="Garamond"/>
          <w:color w:val="1A1A1A"/>
        </w:rPr>
        <w:t xml:space="preserve">duction (and some of the topics listed below) follow the same formula as the </w:t>
      </w:r>
      <w:r w:rsidR="00696DB4" w:rsidRPr="00381F61">
        <w:rPr>
          <w:rFonts w:ascii="Garamond" w:hAnsi="Garamond"/>
          <w:i/>
          <w:color w:val="1A1A1A"/>
        </w:rPr>
        <w:t>Terms of Reference for the 2016 Review</w:t>
      </w:r>
      <w:r w:rsidR="00696DB4" w:rsidRPr="00381F61">
        <w:rPr>
          <w:rFonts w:ascii="Garamond" w:hAnsi="Garamond"/>
          <w:color w:val="1A1A1A"/>
        </w:rPr>
        <w:t>.</w:t>
      </w:r>
      <w:r w:rsidR="00696DB4" w:rsidRPr="00381F61">
        <w:rPr>
          <w:rStyle w:val="FootnoteReference"/>
          <w:rFonts w:ascii="Garamond" w:hAnsi="Garamond"/>
          <w:color w:val="1A1A1A"/>
        </w:rPr>
        <w:footnoteReference w:id="3"/>
      </w:r>
      <w:r w:rsidR="00696DB4" w:rsidRPr="00381F61">
        <w:rPr>
          <w:rFonts w:ascii="Garamond" w:hAnsi="Garamond"/>
          <w:color w:val="1A1A1A"/>
        </w:rPr>
        <w:t xml:space="preserve">  That raises an obvious </w:t>
      </w:r>
      <w:r w:rsidR="00F66CFF" w:rsidRPr="00381F61">
        <w:rPr>
          <w:rFonts w:ascii="Garamond" w:hAnsi="Garamond"/>
          <w:color w:val="1A1A1A"/>
        </w:rPr>
        <w:t>point</w:t>
      </w:r>
      <w:r w:rsidR="00696DB4" w:rsidRPr="00381F61">
        <w:rPr>
          <w:rFonts w:ascii="Garamond" w:hAnsi="Garamond"/>
          <w:color w:val="1A1A1A"/>
        </w:rPr>
        <w:t xml:space="preserve">: </w:t>
      </w:r>
      <w:r w:rsidR="00DE5A68" w:rsidRPr="00381F61">
        <w:rPr>
          <w:rFonts w:ascii="Garamond" w:hAnsi="Garamond"/>
          <w:color w:val="1A1A1A"/>
        </w:rPr>
        <w:t xml:space="preserve"> </w:t>
      </w:r>
      <w:r w:rsidR="00696DB4" w:rsidRPr="00381F61">
        <w:rPr>
          <w:rFonts w:ascii="Garamond" w:hAnsi="Garamond"/>
          <w:color w:val="1A1A1A"/>
        </w:rPr>
        <w:t>The 2019 Review should address specifically the outcome of work done in previous reviews so that, amongst other things, we can assess that value of the triennial review process.  We have more to say on this in Section 21 (The review process).</w:t>
      </w:r>
    </w:p>
    <w:p w14:paraId="46F2AFF9" w14:textId="5053C7BD" w:rsidR="005E10F7" w:rsidRPr="00381F61" w:rsidRDefault="005E10F7" w:rsidP="00696DB4">
      <w:pPr>
        <w:pStyle w:val="BodyText"/>
        <w:spacing w:after="0"/>
        <w:ind w:right="-52"/>
        <w:jc w:val="both"/>
        <w:rPr>
          <w:rFonts w:ascii="Garamond" w:hAnsi="Garamond"/>
          <w:color w:val="1A1A1A"/>
        </w:rPr>
      </w:pPr>
    </w:p>
    <w:p w14:paraId="392279E6" w14:textId="3D18B758" w:rsidR="00696DB4" w:rsidRPr="00381F61" w:rsidRDefault="00696DB4" w:rsidP="00891E0F">
      <w:pPr>
        <w:pStyle w:val="BodyText"/>
        <w:spacing w:after="0"/>
        <w:ind w:right="-52"/>
        <w:jc w:val="both"/>
        <w:rPr>
          <w:rFonts w:ascii="Garamond" w:hAnsi="Garamond"/>
          <w:color w:val="1A1A1A"/>
        </w:rPr>
      </w:pPr>
      <w:r w:rsidRPr="00381F61">
        <w:rPr>
          <w:rFonts w:ascii="Garamond" w:hAnsi="Garamond"/>
          <w:color w:val="1A1A1A"/>
        </w:rPr>
        <w:t xml:space="preserve">What follows are the eight topic areas </w:t>
      </w:r>
      <w:r w:rsidR="003776F5" w:rsidRPr="00381F61">
        <w:rPr>
          <w:rFonts w:ascii="Garamond" w:hAnsi="Garamond"/>
          <w:color w:val="1A1A1A"/>
        </w:rPr>
        <w:t>described</w:t>
      </w:r>
      <w:r w:rsidRPr="00381F61">
        <w:rPr>
          <w:rFonts w:ascii="Garamond" w:hAnsi="Garamond"/>
          <w:color w:val="1A1A1A"/>
        </w:rPr>
        <w:t xml:space="preserve"> in the 2019 Terms of Reference and our initial comments.</w:t>
      </w:r>
    </w:p>
    <w:p w14:paraId="1A0B44CD" w14:textId="77777777" w:rsidR="004A3332" w:rsidRPr="00381F61" w:rsidRDefault="004A3332" w:rsidP="004A3332">
      <w:pPr>
        <w:pStyle w:val="BodyText"/>
        <w:spacing w:after="0"/>
        <w:ind w:right="1044"/>
        <w:rPr>
          <w:rFonts w:ascii="Garamond" w:hAnsi="Garamond"/>
          <w:sz w:val="8"/>
          <w:szCs w:val="8"/>
        </w:rPr>
      </w:pPr>
    </w:p>
    <w:p w14:paraId="184C2FD5" w14:textId="77777777" w:rsidR="00F66CFF" w:rsidRPr="00381F61" w:rsidRDefault="00802A83">
      <w:pPr>
        <w:pStyle w:val="ListParagraph"/>
        <w:widowControl w:val="0"/>
        <w:numPr>
          <w:ilvl w:val="0"/>
          <w:numId w:val="65"/>
        </w:numPr>
        <w:tabs>
          <w:tab w:val="left" w:pos="1187"/>
        </w:tabs>
        <w:autoSpaceDE w:val="0"/>
        <w:autoSpaceDN w:val="0"/>
        <w:ind w:left="709" w:right="-52" w:hanging="284"/>
        <w:contextualSpacing w:val="0"/>
        <w:jc w:val="both"/>
        <w:rPr>
          <w:rFonts w:ascii="Garamond" w:hAnsi="Garamond"/>
          <w:color w:val="1A1A1A"/>
          <w:sz w:val="22"/>
          <w:szCs w:val="22"/>
        </w:rPr>
      </w:pPr>
      <w:r w:rsidRPr="00381F61">
        <w:rPr>
          <w:rFonts w:ascii="Garamond" w:hAnsi="Garamond"/>
          <w:b/>
          <w:color w:val="1A1A1A"/>
        </w:rPr>
        <w:t>The request:</w:t>
      </w:r>
    </w:p>
    <w:p w14:paraId="01D01CE4" w14:textId="77777777" w:rsidR="00F66CFF" w:rsidRPr="00381F61" w:rsidRDefault="00F66CFF" w:rsidP="00F66CFF">
      <w:pPr>
        <w:pStyle w:val="ListParagraph"/>
        <w:widowControl w:val="0"/>
        <w:tabs>
          <w:tab w:val="left" w:pos="1187"/>
        </w:tabs>
        <w:autoSpaceDE w:val="0"/>
        <w:autoSpaceDN w:val="0"/>
        <w:ind w:left="709" w:right="-52"/>
        <w:contextualSpacing w:val="0"/>
        <w:jc w:val="both"/>
        <w:rPr>
          <w:rFonts w:ascii="Garamond" w:hAnsi="Garamond"/>
          <w:color w:val="1A1A1A"/>
          <w:sz w:val="8"/>
          <w:szCs w:val="8"/>
        </w:rPr>
      </w:pPr>
    </w:p>
    <w:p w14:paraId="3D5B359A" w14:textId="3DD3CF9A" w:rsidR="004A3332" w:rsidRPr="00381F61" w:rsidRDefault="00802A83" w:rsidP="00891E0F">
      <w:pPr>
        <w:pStyle w:val="ListParagraph"/>
        <w:widowControl w:val="0"/>
        <w:tabs>
          <w:tab w:val="left" w:pos="1187"/>
        </w:tabs>
        <w:autoSpaceDE w:val="0"/>
        <w:autoSpaceDN w:val="0"/>
        <w:ind w:left="709" w:right="-52"/>
        <w:contextualSpacing w:val="0"/>
        <w:jc w:val="both"/>
        <w:rPr>
          <w:rFonts w:ascii="Garamond" w:hAnsi="Garamond"/>
          <w:color w:val="1A1A1A"/>
          <w:sz w:val="22"/>
          <w:szCs w:val="22"/>
        </w:rPr>
      </w:pPr>
      <w:r w:rsidRPr="00381F61">
        <w:rPr>
          <w:rFonts w:ascii="Garamond" w:hAnsi="Garamond"/>
          <w:color w:val="1A1A1A"/>
          <w:sz w:val="22"/>
          <w:szCs w:val="22"/>
        </w:rPr>
        <w:t>“</w:t>
      </w:r>
      <w:r w:rsidR="004A3332" w:rsidRPr="00381F61">
        <w:rPr>
          <w:rFonts w:ascii="Garamond" w:hAnsi="Garamond"/>
          <w:color w:val="1A1A1A"/>
          <w:sz w:val="22"/>
          <w:szCs w:val="22"/>
        </w:rPr>
        <w:t>An assessment of the effectiveness of current retirement policies for</w:t>
      </w:r>
      <w:r w:rsidR="004A3332" w:rsidRPr="00381F61">
        <w:rPr>
          <w:rFonts w:ascii="Garamond" w:hAnsi="Garamond"/>
          <w:color w:val="1A1A1A"/>
          <w:spacing w:val="-44"/>
          <w:sz w:val="22"/>
          <w:szCs w:val="22"/>
        </w:rPr>
        <w:t xml:space="preserve">   </w:t>
      </w:r>
      <w:r w:rsidR="004A3332" w:rsidRPr="00381F61">
        <w:rPr>
          <w:rFonts w:ascii="Garamond" w:hAnsi="Garamond"/>
          <w:color w:val="1A1A1A"/>
          <w:sz w:val="22"/>
          <w:szCs w:val="22"/>
        </w:rPr>
        <w:t>financially vulnerable and low-income groups, and recommendations for any policies that could improve their retirement</w:t>
      </w:r>
      <w:r w:rsidR="004A3332" w:rsidRPr="00381F61">
        <w:rPr>
          <w:rFonts w:ascii="Garamond" w:hAnsi="Garamond"/>
          <w:color w:val="1A1A1A"/>
          <w:spacing w:val="44"/>
          <w:sz w:val="22"/>
          <w:szCs w:val="22"/>
        </w:rPr>
        <w:t xml:space="preserve"> </w:t>
      </w:r>
      <w:r w:rsidR="004A3332" w:rsidRPr="00381F61">
        <w:rPr>
          <w:rFonts w:ascii="Garamond" w:hAnsi="Garamond"/>
          <w:color w:val="1A1A1A"/>
          <w:sz w:val="22"/>
          <w:szCs w:val="22"/>
        </w:rPr>
        <w:t>outcomes.</w:t>
      </w:r>
      <w:r w:rsidRPr="00381F61">
        <w:rPr>
          <w:rFonts w:ascii="Garamond" w:hAnsi="Garamond"/>
          <w:color w:val="1A1A1A"/>
          <w:sz w:val="22"/>
          <w:szCs w:val="22"/>
        </w:rPr>
        <w:t>”</w:t>
      </w:r>
      <w:r w:rsidR="00696DB4" w:rsidRPr="00381F61">
        <w:rPr>
          <w:rFonts w:ascii="Garamond" w:hAnsi="Garamond"/>
          <w:color w:val="1A1A1A"/>
          <w:sz w:val="22"/>
          <w:szCs w:val="22"/>
        </w:rPr>
        <w:t xml:space="preserve"> </w:t>
      </w:r>
    </w:p>
    <w:p w14:paraId="0303B0DD" w14:textId="77777777" w:rsidR="00802A83" w:rsidRPr="00381F61" w:rsidRDefault="00802A83" w:rsidP="00891E0F">
      <w:pPr>
        <w:pStyle w:val="ListParagraph"/>
        <w:widowControl w:val="0"/>
        <w:tabs>
          <w:tab w:val="left" w:pos="1187"/>
        </w:tabs>
        <w:autoSpaceDE w:val="0"/>
        <w:autoSpaceDN w:val="0"/>
        <w:ind w:left="709" w:right="-52"/>
        <w:contextualSpacing w:val="0"/>
        <w:jc w:val="both"/>
        <w:rPr>
          <w:rFonts w:ascii="Garamond" w:hAnsi="Garamond"/>
          <w:color w:val="1A1A1A"/>
          <w:sz w:val="8"/>
          <w:szCs w:val="8"/>
        </w:rPr>
      </w:pPr>
    </w:p>
    <w:p w14:paraId="6F243992" w14:textId="41D526B1" w:rsidR="004A3332" w:rsidRPr="00381F61" w:rsidRDefault="005944EA">
      <w:pPr>
        <w:pStyle w:val="ListParagraph"/>
        <w:widowControl w:val="0"/>
        <w:tabs>
          <w:tab w:val="left" w:pos="1187"/>
        </w:tabs>
        <w:autoSpaceDE w:val="0"/>
        <w:autoSpaceDN w:val="0"/>
        <w:ind w:left="709" w:right="-52"/>
        <w:contextualSpacing w:val="0"/>
        <w:jc w:val="both"/>
        <w:rPr>
          <w:rFonts w:ascii="Garamond" w:hAnsi="Garamond"/>
          <w:color w:val="1A1A1A"/>
        </w:rPr>
      </w:pPr>
      <w:r w:rsidRPr="00381F61">
        <w:rPr>
          <w:rFonts w:ascii="Garamond" w:hAnsi="Garamond"/>
          <w:b/>
          <w:color w:val="1A1A1A"/>
        </w:rPr>
        <w:t xml:space="preserve">Our initial comments: </w:t>
      </w:r>
      <w:r w:rsidR="00696DB4" w:rsidRPr="00381F61">
        <w:rPr>
          <w:rFonts w:ascii="Garamond" w:hAnsi="Garamond"/>
          <w:color w:val="1A1A1A"/>
        </w:rPr>
        <w:t>The emphasis</w:t>
      </w:r>
      <w:r w:rsidR="00696DB4" w:rsidRPr="00381F61">
        <w:rPr>
          <w:rFonts w:ascii="Garamond" w:hAnsi="Garamond"/>
          <w:b/>
          <w:color w:val="1A1A1A"/>
        </w:rPr>
        <w:t xml:space="preserve"> </w:t>
      </w:r>
      <w:r w:rsidR="00696DB4" w:rsidRPr="00381F61">
        <w:rPr>
          <w:rFonts w:ascii="Garamond" w:hAnsi="Garamond"/>
          <w:color w:val="1A1A1A"/>
        </w:rPr>
        <w:t>on low-income groups is new (compared with 2016)</w:t>
      </w:r>
      <w:r w:rsidR="000372D0" w:rsidRPr="00381F61">
        <w:rPr>
          <w:rFonts w:ascii="Garamond" w:hAnsi="Garamond"/>
          <w:color w:val="1A1A1A"/>
        </w:rPr>
        <w:t xml:space="preserve">. </w:t>
      </w:r>
      <w:r w:rsidR="00696DB4" w:rsidRPr="00381F61">
        <w:rPr>
          <w:rFonts w:ascii="Garamond" w:hAnsi="Garamond"/>
          <w:color w:val="1A1A1A"/>
        </w:rPr>
        <w:t xml:space="preserve"> </w:t>
      </w:r>
      <w:r w:rsidRPr="00381F61">
        <w:rPr>
          <w:rFonts w:ascii="Garamond" w:hAnsi="Garamond"/>
          <w:color w:val="1A1A1A"/>
        </w:rPr>
        <w:t xml:space="preserve">New Zealand’s retirement policy environment </w:t>
      </w:r>
      <w:r w:rsidR="00696DB4" w:rsidRPr="00381F61">
        <w:rPr>
          <w:rFonts w:ascii="Garamond" w:hAnsi="Garamond"/>
          <w:color w:val="1A1A1A"/>
        </w:rPr>
        <w:t xml:space="preserve">currently </w:t>
      </w:r>
      <w:r w:rsidRPr="00381F61">
        <w:rPr>
          <w:rFonts w:ascii="Garamond" w:hAnsi="Garamond"/>
          <w:color w:val="1A1A1A"/>
        </w:rPr>
        <w:t>favours the “financially vulnerable” with a flat-rate, relatively generous, universal Tier 1 pension (New Zealand Superannuation – ‘NZS’).  Section 6 below recommends a full, evidence-led review of NZS.</w:t>
      </w:r>
    </w:p>
    <w:p w14:paraId="30453506" w14:textId="6A0FE358" w:rsidR="00802A83" w:rsidRPr="00381F61" w:rsidRDefault="00802A83">
      <w:pPr>
        <w:pStyle w:val="ListParagraph"/>
        <w:widowControl w:val="0"/>
        <w:tabs>
          <w:tab w:val="left" w:pos="1187"/>
        </w:tabs>
        <w:autoSpaceDE w:val="0"/>
        <w:autoSpaceDN w:val="0"/>
        <w:ind w:left="709" w:right="-52"/>
        <w:contextualSpacing w:val="0"/>
        <w:jc w:val="both"/>
        <w:rPr>
          <w:rFonts w:ascii="Garamond" w:hAnsi="Garamond"/>
          <w:color w:val="1A1A1A"/>
          <w:sz w:val="8"/>
          <w:szCs w:val="8"/>
        </w:rPr>
      </w:pPr>
    </w:p>
    <w:p w14:paraId="7E91A1B3" w14:textId="4E329725" w:rsidR="00802A83" w:rsidRPr="00381F61" w:rsidRDefault="00802A83" w:rsidP="00891E0F">
      <w:pPr>
        <w:pStyle w:val="ListParagraph"/>
        <w:widowControl w:val="0"/>
        <w:tabs>
          <w:tab w:val="left" w:pos="1187"/>
        </w:tabs>
        <w:autoSpaceDE w:val="0"/>
        <w:autoSpaceDN w:val="0"/>
        <w:ind w:left="709" w:right="-52"/>
        <w:contextualSpacing w:val="0"/>
        <w:jc w:val="both"/>
        <w:rPr>
          <w:rFonts w:ascii="Garamond" w:hAnsi="Garamond"/>
          <w:color w:val="1A1A1A"/>
        </w:rPr>
      </w:pPr>
      <w:r w:rsidRPr="00381F61">
        <w:rPr>
          <w:rFonts w:ascii="Garamond" w:hAnsi="Garamond"/>
          <w:color w:val="1A1A1A"/>
        </w:rPr>
        <w:t>For the reasons discussed in Section 9 (</w:t>
      </w:r>
      <w:r w:rsidR="005E3E30" w:rsidRPr="00381F61">
        <w:rPr>
          <w:rFonts w:ascii="Garamond" w:hAnsi="Garamond"/>
          <w:color w:val="1A1A1A"/>
        </w:rPr>
        <w:t>On t</w:t>
      </w:r>
      <w:r w:rsidRPr="00381F61">
        <w:rPr>
          <w:rFonts w:ascii="Garamond" w:hAnsi="Garamond"/>
          <w:color w:val="1A1A1A"/>
        </w:rPr>
        <w:t>ax subsidies for saving) and Section 14 (KiwiSaver</w:t>
      </w:r>
      <w:r w:rsidR="005E3E30" w:rsidRPr="00381F61">
        <w:rPr>
          <w:rFonts w:ascii="Garamond" w:hAnsi="Garamond"/>
          <w:color w:val="1A1A1A"/>
        </w:rPr>
        <w:t xml:space="preserve"> in the new environment</w:t>
      </w:r>
      <w:r w:rsidRPr="00381F61">
        <w:rPr>
          <w:rFonts w:ascii="Garamond" w:hAnsi="Garamond"/>
          <w:color w:val="1A1A1A"/>
        </w:rPr>
        <w:t>), we think the government should avoid direct, taxpayer-funded incentives to ‘improve’ levels of private provision, even for low-income groups.</w:t>
      </w:r>
    </w:p>
    <w:p w14:paraId="4F9B7ABB" w14:textId="77777777" w:rsidR="005944EA" w:rsidRPr="00381F61" w:rsidRDefault="005944EA" w:rsidP="00891E0F">
      <w:pPr>
        <w:pStyle w:val="ListParagraph"/>
        <w:widowControl w:val="0"/>
        <w:tabs>
          <w:tab w:val="left" w:pos="1187"/>
        </w:tabs>
        <w:autoSpaceDE w:val="0"/>
        <w:autoSpaceDN w:val="0"/>
        <w:ind w:left="709" w:right="-52"/>
        <w:contextualSpacing w:val="0"/>
        <w:jc w:val="both"/>
        <w:rPr>
          <w:rFonts w:ascii="Garamond" w:hAnsi="Garamond"/>
          <w:color w:val="1A1A1A"/>
          <w:sz w:val="8"/>
          <w:szCs w:val="8"/>
        </w:rPr>
      </w:pPr>
    </w:p>
    <w:p w14:paraId="3F05B3FC" w14:textId="77777777" w:rsidR="00F66CFF" w:rsidRPr="00381F61" w:rsidRDefault="00802A83" w:rsidP="00802A83">
      <w:pPr>
        <w:pStyle w:val="ListParagraph"/>
        <w:widowControl w:val="0"/>
        <w:numPr>
          <w:ilvl w:val="0"/>
          <w:numId w:val="65"/>
        </w:numPr>
        <w:tabs>
          <w:tab w:val="left" w:pos="1186"/>
          <w:tab w:val="left" w:pos="1187"/>
        </w:tabs>
        <w:autoSpaceDE w:val="0"/>
        <w:autoSpaceDN w:val="0"/>
        <w:ind w:left="709" w:right="-52" w:hanging="284"/>
        <w:contextualSpacing w:val="0"/>
        <w:jc w:val="both"/>
        <w:rPr>
          <w:rFonts w:ascii="Garamond" w:hAnsi="Garamond"/>
          <w:color w:val="1A1A1A"/>
          <w:sz w:val="22"/>
          <w:szCs w:val="22"/>
        </w:rPr>
      </w:pPr>
      <w:r w:rsidRPr="00381F61">
        <w:rPr>
          <w:rFonts w:ascii="Garamond" w:hAnsi="Garamond"/>
          <w:b/>
          <w:color w:val="1A1A1A"/>
        </w:rPr>
        <w:t>The request:</w:t>
      </w:r>
    </w:p>
    <w:p w14:paraId="3E675063" w14:textId="77777777" w:rsidR="00F66CFF" w:rsidRPr="00381F61" w:rsidRDefault="00F66CFF" w:rsidP="00F66CFF">
      <w:pPr>
        <w:pStyle w:val="ListParagraph"/>
        <w:widowControl w:val="0"/>
        <w:tabs>
          <w:tab w:val="left" w:pos="1186"/>
          <w:tab w:val="left" w:pos="1187"/>
        </w:tabs>
        <w:autoSpaceDE w:val="0"/>
        <w:autoSpaceDN w:val="0"/>
        <w:ind w:left="709" w:right="-52"/>
        <w:contextualSpacing w:val="0"/>
        <w:jc w:val="both"/>
        <w:rPr>
          <w:rFonts w:ascii="Garamond" w:hAnsi="Garamond"/>
          <w:color w:val="1A1A1A"/>
          <w:sz w:val="8"/>
          <w:szCs w:val="8"/>
        </w:rPr>
      </w:pPr>
    </w:p>
    <w:p w14:paraId="66B4445F" w14:textId="58D6AAE7" w:rsidR="00802A83" w:rsidRPr="00381F61" w:rsidRDefault="00802A83" w:rsidP="00891E0F">
      <w:pPr>
        <w:pStyle w:val="ListParagraph"/>
        <w:widowControl w:val="0"/>
        <w:tabs>
          <w:tab w:val="left" w:pos="1186"/>
          <w:tab w:val="left" w:pos="1187"/>
        </w:tabs>
        <w:autoSpaceDE w:val="0"/>
        <w:autoSpaceDN w:val="0"/>
        <w:ind w:left="709" w:right="-52"/>
        <w:contextualSpacing w:val="0"/>
        <w:jc w:val="both"/>
        <w:rPr>
          <w:rFonts w:ascii="Garamond" w:hAnsi="Garamond"/>
          <w:color w:val="1A1A1A"/>
          <w:sz w:val="22"/>
          <w:szCs w:val="22"/>
        </w:rPr>
      </w:pPr>
      <w:r w:rsidRPr="00381F61">
        <w:rPr>
          <w:rFonts w:ascii="Garamond" w:hAnsi="Garamond"/>
          <w:color w:val="1A1A1A"/>
          <w:sz w:val="22"/>
          <w:szCs w:val="22"/>
        </w:rPr>
        <w:t>“</w:t>
      </w:r>
      <w:r w:rsidR="004A3332" w:rsidRPr="00381F61">
        <w:rPr>
          <w:rFonts w:ascii="Garamond" w:hAnsi="Garamond"/>
          <w:color w:val="1A1A1A"/>
          <w:sz w:val="22"/>
          <w:szCs w:val="22"/>
        </w:rPr>
        <w:t>An update and commentary on the developments and emerging trends in retirement income policy since the 2016 review, both within New Zealand and internationally.</w:t>
      </w:r>
      <w:r w:rsidRPr="00381F61">
        <w:rPr>
          <w:rFonts w:ascii="Garamond" w:hAnsi="Garamond"/>
          <w:color w:val="1A1A1A"/>
          <w:sz w:val="22"/>
          <w:szCs w:val="22"/>
        </w:rPr>
        <w:t>”</w:t>
      </w:r>
    </w:p>
    <w:p w14:paraId="49E2BD64" w14:textId="1A88768E" w:rsidR="00802A83" w:rsidRPr="00381F61" w:rsidRDefault="00802A83" w:rsidP="00802A83">
      <w:pPr>
        <w:pStyle w:val="ListParagraph"/>
        <w:widowControl w:val="0"/>
        <w:tabs>
          <w:tab w:val="left" w:pos="1186"/>
          <w:tab w:val="left" w:pos="1187"/>
        </w:tabs>
        <w:autoSpaceDE w:val="0"/>
        <w:autoSpaceDN w:val="0"/>
        <w:ind w:left="709" w:right="-52"/>
        <w:contextualSpacing w:val="0"/>
        <w:jc w:val="both"/>
        <w:rPr>
          <w:rFonts w:ascii="Garamond" w:hAnsi="Garamond"/>
          <w:b/>
          <w:color w:val="1A1A1A"/>
          <w:sz w:val="8"/>
          <w:szCs w:val="8"/>
        </w:rPr>
      </w:pPr>
    </w:p>
    <w:p w14:paraId="0038D52B" w14:textId="5604FF82" w:rsidR="00802A83" w:rsidRPr="00381F61" w:rsidRDefault="00802A83" w:rsidP="00891E0F">
      <w:pPr>
        <w:pStyle w:val="ListParagraph"/>
        <w:widowControl w:val="0"/>
        <w:tabs>
          <w:tab w:val="left" w:pos="1186"/>
          <w:tab w:val="left" w:pos="1187"/>
        </w:tabs>
        <w:autoSpaceDE w:val="0"/>
        <w:autoSpaceDN w:val="0"/>
        <w:ind w:left="709" w:right="-52"/>
        <w:contextualSpacing w:val="0"/>
        <w:jc w:val="both"/>
        <w:rPr>
          <w:rFonts w:ascii="Garamond" w:hAnsi="Garamond"/>
          <w:color w:val="1A1A1A"/>
        </w:rPr>
      </w:pPr>
      <w:r w:rsidRPr="00381F61">
        <w:rPr>
          <w:rFonts w:ascii="Garamond" w:hAnsi="Garamond"/>
          <w:b/>
          <w:color w:val="1A1A1A"/>
        </w:rPr>
        <w:t>Our initial comments:</w:t>
      </w:r>
      <w:r w:rsidRPr="00381F61">
        <w:rPr>
          <w:rFonts w:ascii="Garamond" w:hAnsi="Garamond"/>
          <w:color w:val="1A1A1A"/>
        </w:rPr>
        <w:t xml:space="preserve"> The 2019 </w:t>
      </w:r>
      <w:r w:rsidR="009E7B71" w:rsidRPr="00381F61">
        <w:rPr>
          <w:rFonts w:ascii="Garamond" w:hAnsi="Garamond"/>
          <w:color w:val="1A1A1A"/>
        </w:rPr>
        <w:t>R</w:t>
      </w:r>
      <w:r w:rsidRPr="00381F61">
        <w:rPr>
          <w:rFonts w:ascii="Garamond" w:hAnsi="Garamond"/>
          <w:color w:val="1A1A1A"/>
        </w:rPr>
        <w:t xml:space="preserve">eview will be constrained by inadequate data on what’s happening in New Zealand.  One of the reasons for </w:t>
      </w:r>
      <w:r w:rsidR="00213B64" w:rsidRPr="00381F61">
        <w:rPr>
          <w:rFonts w:ascii="Garamond" w:hAnsi="Garamond"/>
          <w:color w:val="1A1A1A"/>
        </w:rPr>
        <w:t>our</w:t>
      </w:r>
      <w:r w:rsidRPr="00381F61">
        <w:rPr>
          <w:rFonts w:ascii="Garamond" w:hAnsi="Garamond"/>
          <w:color w:val="1A1A1A"/>
        </w:rPr>
        <w:t xml:space="preserve"> report (and </w:t>
      </w:r>
      <w:r w:rsidR="00213B64" w:rsidRPr="00381F61">
        <w:rPr>
          <w:rFonts w:ascii="Garamond" w:hAnsi="Garamond"/>
          <w:color w:val="1A1A1A"/>
        </w:rPr>
        <w:t>its</w:t>
      </w:r>
      <w:r w:rsidRPr="00381F61">
        <w:rPr>
          <w:rFonts w:ascii="Garamond" w:hAnsi="Garamond"/>
          <w:color w:val="1A1A1A"/>
        </w:rPr>
        <w:t xml:space="preserve"> 2017 </w:t>
      </w:r>
      <w:r w:rsidR="00213B64" w:rsidRPr="00381F61">
        <w:rPr>
          <w:rFonts w:ascii="Garamond" w:hAnsi="Garamond"/>
          <w:color w:val="1A1A1A"/>
        </w:rPr>
        <w:t>pred</w:t>
      </w:r>
      <w:r w:rsidR="002B03C4" w:rsidRPr="00381F61">
        <w:rPr>
          <w:rFonts w:ascii="Garamond" w:hAnsi="Garamond"/>
          <w:color w:val="1A1A1A"/>
        </w:rPr>
        <w:t>ecessor</w:t>
      </w:r>
      <w:r w:rsidRPr="00381F61">
        <w:rPr>
          <w:rFonts w:ascii="Garamond" w:hAnsi="Garamond"/>
          <w:color w:val="1A1A1A"/>
        </w:rPr>
        <w:t>) was to gather all of the available, relevant evidence</w:t>
      </w:r>
      <w:r w:rsidR="00015E72" w:rsidRPr="00381F61">
        <w:rPr>
          <w:rFonts w:ascii="Garamond" w:hAnsi="Garamond"/>
          <w:color w:val="1A1A1A"/>
        </w:rPr>
        <w:t xml:space="preserve">, on both local and overseas’ developments, </w:t>
      </w:r>
      <w:r w:rsidRPr="00381F61">
        <w:rPr>
          <w:rFonts w:ascii="Garamond" w:hAnsi="Garamond"/>
          <w:color w:val="1A1A1A"/>
        </w:rPr>
        <w:t>into one accessible place</w:t>
      </w:r>
      <w:r w:rsidR="00DE5A68" w:rsidRPr="00381F61">
        <w:rPr>
          <w:rFonts w:ascii="Garamond" w:hAnsi="Garamond"/>
          <w:color w:val="1A1A1A"/>
        </w:rPr>
        <w:t xml:space="preserve"> and to suggest what other evidence </w:t>
      </w:r>
      <w:r w:rsidR="009E7B71" w:rsidRPr="00381F61">
        <w:rPr>
          <w:rFonts w:ascii="Garamond" w:hAnsi="Garamond"/>
          <w:color w:val="1A1A1A"/>
        </w:rPr>
        <w:t xml:space="preserve">was </w:t>
      </w:r>
      <w:r w:rsidR="00DE5A68" w:rsidRPr="00381F61">
        <w:rPr>
          <w:rFonts w:ascii="Garamond" w:hAnsi="Garamond"/>
          <w:color w:val="1A1A1A"/>
        </w:rPr>
        <w:t>needed so an informed discussion could take place</w:t>
      </w:r>
      <w:r w:rsidRPr="00381F61">
        <w:rPr>
          <w:rFonts w:ascii="Garamond" w:hAnsi="Garamond"/>
          <w:color w:val="1A1A1A"/>
        </w:rPr>
        <w:t>.</w:t>
      </w:r>
    </w:p>
    <w:p w14:paraId="2C5A3E19" w14:textId="77777777" w:rsidR="004A3332" w:rsidRPr="00381F61" w:rsidRDefault="004A3332" w:rsidP="00891E0F">
      <w:pPr>
        <w:widowControl w:val="0"/>
        <w:tabs>
          <w:tab w:val="left" w:pos="1186"/>
          <w:tab w:val="left" w:pos="1187"/>
        </w:tabs>
        <w:autoSpaceDE w:val="0"/>
        <w:autoSpaceDN w:val="0"/>
        <w:ind w:left="709" w:right="-52"/>
        <w:jc w:val="both"/>
        <w:rPr>
          <w:rFonts w:ascii="Garamond" w:hAnsi="Garamond"/>
          <w:color w:val="1A1A1A"/>
          <w:sz w:val="8"/>
          <w:szCs w:val="8"/>
        </w:rPr>
      </w:pPr>
    </w:p>
    <w:p w14:paraId="4A3D89A0" w14:textId="77777777" w:rsidR="00F66CFF" w:rsidRPr="00381F61" w:rsidRDefault="00015E72">
      <w:pPr>
        <w:pStyle w:val="ListParagraph"/>
        <w:widowControl w:val="0"/>
        <w:numPr>
          <w:ilvl w:val="0"/>
          <w:numId w:val="65"/>
        </w:numPr>
        <w:tabs>
          <w:tab w:val="left" w:pos="1186"/>
          <w:tab w:val="left" w:pos="1187"/>
        </w:tabs>
        <w:autoSpaceDE w:val="0"/>
        <w:autoSpaceDN w:val="0"/>
        <w:ind w:left="709" w:right="-52" w:hanging="284"/>
        <w:contextualSpacing w:val="0"/>
        <w:jc w:val="both"/>
        <w:rPr>
          <w:rFonts w:ascii="Garamond" w:hAnsi="Garamond"/>
          <w:color w:val="1A1A1A"/>
          <w:sz w:val="22"/>
          <w:szCs w:val="22"/>
        </w:rPr>
      </w:pPr>
      <w:r w:rsidRPr="00381F61">
        <w:rPr>
          <w:rFonts w:ascii="Garamond" w:hAnsi="Garamond"/>
          <w:b/>
          <w:color w:val="1A1A1A"/>
        </w:rPr>
        <w:t>The request:</w:t>
      </w:r>
    </w:p>
    <w:p w14:paraId="5DD5EA5A" w14:textId="77777777" w:rsidR="00F66CFF" w:rsidRPr="00381F61" w:rsidRDefault="00F66CFF" w:rsidP="00F66CFF">
      <w:pPr>
        <w:pStyle w:val="ListParagraph"/>
        <w:widowControl w:val="0"/>
        <w:tabs>
          <w:tab w:val="left" w:pos="1186"/>
          <w:tab w:val="left" w:pos="1187"/>
        </w:tabs>
        <w:autoSpaceDE w:val="0"/>
        <w:autoSpaceDN w:val="0"/>
        <w:ind w:left="709" w:right="-52"/>
        <w:contextualSpacing w:val="0"/>
        <w:jc w:val="both"/>
        <w:rPr>
          <w:rFonts w:ascii="Garamond" w:hAnsi="Garamond"/>
          <w:color w:val="1A1A1A"/>
          <w:sz w:val="8"/>
          <w:szCs w:val="8"/>
        </w:rPr>
      </w:pPr>
    </w:p>
    <w:p w14:paraId="1D0D0A78" w14:textId="35D59585" w:rsidR="004A3332" w:rsidRPr="00381F61" w:rsidRDefault="00015E72" w:rsidP="00891E0F">
      <w:pPr>
        <w:pStyle w:val="ListParagraph"/>
        <w:widowControl w:val="0"/>
        <w:tabs>
          <w:tab w:val="left" w:pos="1186"/>
          <w:tab w:val="left" w:pos="1187"/>
        </w:tabs>
        <w:autoSpaceDE w:val="0"/>
        <w:autoSpaceDN w:val="0"/>
        <w:ind w:left="709" w:right="-52"/>
        <w:contextualSpacing w:val="0"/>
        <w:jc w:val="both"/>
        <w:rPr>
          <w:rFonts w:ascii="Garamond" w:hAnsi="Garamond"/>
          <w:color w:val="1A1A1A"/>
          <w:sz w:val="22"/>
          <w:szCs w:val="22"/>
        </w:rPr>
      </w:pPr>
      <w:r w:rsidRPr="00381F61">
        <w:rPr>
          <w:rFonts w:ascii="Garamond" w:hAnsi="Garamond"/>
          <w:color w:val="1A1A1A"/>
          <w:sz w:val="22"/>
          <w:szCs w:val="22"/>
        </w:rPr>
        <w:t>“</w:t>
      </w:r>
      <w:r w:rsidR="004A3332" w:rsidRPr="00381F61">
        <w:rPr>
          <w:rFonts w:ascii="Garamond" w:hAnsi="Garamond"/>
          <w:color w:val="1A1A1A"/>
          <w:sz w:val="22"/>
          <w:szCs w:val="22"/>
        </w:rPr>
        <w:t>An</w:t>
      </w:r>
      <w:r w:rsidR="004A3332" w:rsidRPr="00381F61">
        <w:rPr>
          <w:rFonts w:ascii="Garamond" w:hAnsi="Garamond"/>
          <w:color w:val="1A1A1A"/>
          <w:spacing w:val="-10"/>
          <w:sz w:val="22"/>
          <w:szCs w:val="22"/>
        </w:rPr>
        <w:t xml:space="preserve"> </w:t>
      </w:r>
      <w:r w:rsidR="004A3332" w:rsidRPr="00381F61">
        <w:rPr>
          <w:rFonts w:ascii="Garamond" w:hAnsi="Garamond"/>
          <w:color w:val="1A1A1A"/>
          <w:sz w:val="22"/>
          <w:szCs w:val="22"/>
        </w:rPr>
        <w:t>assessment</w:t>
      </w:r>
      <w:r w:rsidR="004A3332" w:rsidRPr="00381F61">
        <w:rPr>
          <w:rFonts w:ascii="Garamond" w:hAnsi="Garamond"/>
          <w:color w:val="1A1A1A"/>
          <w:spacing w:val="1"/>
          <w:sz w:val="22"/>
          <w:szCs w:val="22"/>
        </w:rPr>
        <w:t xml:space="preserve"> </w:t>
      </w:r>
      <w:r w:rsidR="004A3332" w:rsidRPr="00381F61">
        <w:rPr>
          <w:rFonts w:ascii="Garamond" w:hAnsi="Garamond"/>
          <w:color w:val="1A1A1A"/>
          <w:sz w:val="22"/>
          <w:szCs w:val="22"/>
        </w:rPr>
        <w:t>of</w:t>
      </w:r>
      <w:r w:rsidR="004A3332" w:rsidRPr="00381F61">
        <w:rPr>
          <w:rFonts w:ascii="Garamond" w:hAnsi="Garamond"/>
          <w:color w:val="1A1A1A"/>
          <w:spacing w:val="-6"/>
          <w:sz w:val="22"/>
          <w:szCs w:val="22"/>
        </w:rPr>
        <w:t xml:space="preserve"> </w:t>
      </w:r>
      <w:r w:rsidR="004A3332" w:rsidRPr="00381F61">
        <w:rPr>
          <w:rFonts w:ascii="Garamond" w:hAnsi="Garamond"/>
          <w:color w:val="1A1A1A"/>
          <w:sz w:val="22"/>
          <w:szCs w:val="22"/>
        </w:rPr>
        <w:t>the</w:t>
      </w:r>
      <w:r w:rsidR="004A3332" w:rsidRPr="00381F61">
        <w:rPr>
          <w:rFonts w:ascii="Garamond" w:hAnsi="Garamond"/>
          <w:color w:val="1A1A1A"/>
          <w:spacing w:val="-11"/>
          <w:sz w:val="22"/>
          <w:szCs w:val="22"/>
        </w:rPr>
        <w:t xml:space="preserve"> </w:t>
      </w:r>
      <w:r w:rsidR="004A3332" w:rsidRPr="00381F61">
        <w:rPr>
          <w:rFonts w:ascii="Garamond" w:hAnsi="Garamond"/>
          <w:color w:val="1A1A1A"/>
          <w:sz w:val="22"/>
          <w:szCs w:val="22"/>
        </w:rPr>
        <w:t>impact that</w:t>
      </w:r>
      <w:r w:rsidR="004A3332" w:rsidRPr="00381F61">
        <w:rPr>
          <w:rFonts w:ascii="Garamond" w:hAnsi="Garamond"/>
          <w:color w:val="1A1A1A"/>
          <w:spacing w:val="-6"/>
          <w:sz w:val="22"/>
          <w:szCs w:val="22"/>
        </w:rPr>
        <w:t xml:space="preserve"> </w:t>
      </w:r>
      <w:r w:rsidR="004A3332" w:rsidRPr="00381F61">
        <w:rPr>
          <w:rFonts w:ascii="Garamond" w:hAnsi="Garamond"/>
          <w:color w:val="1A1A1A"/>
          <w:sz w:val="22"/>
          <w:szCs w:val="22"/>
        </w:rPr>
        <w:t>the</w:t>
      </w:r>
      <w:r w:rsidR="004A3332" w:rsidRPr="00381F61">
        <w:rPr>
          <w:rFonts w:ascii="Garamond" w:hAnsi="Garamond"/>
          <w:color w:val="1A1A1A"/>
          <w:spacing w:val="-8"/>
          <w:sz w:val="22"/>
          <w:szCs w:val="22"/>
        </w:rPr>
        <w:t xml:space="preserve"> </w:t>
      </w:r>
      <w:r w:rsidR="004A3332" w:rsidRPr="00381F61">
        <w:rPr>
          <w:rFonts w:ascii="Garamond" w:hAnsi="Garamond"/>
          <w:color w:val="1A1A1A"/>
          <w:sz w:val="22"/>
          <w:szCs w:val="22"/>
        </w:rPr>
        <w:t>following</w:t>
      </w:r>
      <w:r w:rsidR="004A3332" w:rsidRPr="00381F61">
        <w:rPr>
          <w:rFonts w:ascii="Garamond" w:hAnsi="Garamond"/>
          <w:color w:val="1A1A1A"/>
          <w:spacing w:val="7"/>
          <w:sz w:val="22"/>
          <w:szCs w:val="22"/>
        </w:rPr>
        <w:t xml:space="preserve"> </w:t>
      </w:r>
      <w:r w:rsidR="004A3332" w:rsidRPr="00381F61">
        <w:rPr>
          <w:rFonts w:ascii="Garamond" w:hAnsi="Garamond"/>
          <w:color w:val="1A1A1A"/>
          <w:sz w:val="22"/>
          <w:szCs w:val="22"/>
        </w:rPr>
        <w:t>will</w:t>
      </w:r>
      <w:r w:rsidR="004A3332" w:rsidRPr="00381F61">
        <w:rPr>
          <w:rFonts w:ascii="Garamond" w:hAnsi="Garamond"/>
          <w:color w:val="1A1A1A"/>
          <w:spacing w:val="-12"/>
          <w:sz w:val="22"/>
          <w:szCs w:val="22"/>
        </w:rPr>
        <w:t xml:space="preserve"> </w:t>
      </w:r>
      <w:r w:rsidR="004A3332" w:rsidRPr="00381F61">
        <w:rPr>
          <w:rFonts w:ascii="Garamond" w:hAnsi="Garamond"/>
          <w:color w:val="1A1A1A"/>
          <w:sz w:val="22"/>
          <w:szCs w:val="22"/>
        </w:rPr>
        <w:t>have</w:t>
      </w:r>
      <w:r w:rsidR="004A3332" w:rsidRPr="00381F61">
        <w:rPr>
          <w:rFonts w:ascii="Garamond" w:hAnsi="Garamond"/>
          <w:color w:val="1A1A1A"/>
          <w:spacing w:val="-3"/>
          <w:sz w:val="22"/>
          <w:szCs w:val="22"/>
        </w:rPr>
        <w:t xml:space="preserve"> </w:t>
      </w:r>
      <w:r w:rsidR="004A3332" w:rsidRPr="00381F61">
        <w:rPr>
          <w:rFonts w:ascii="Garamond" w:hAnsi="Garamond"/>
          <w:color w:val="1A1A1A"/>
          <w:sz w:val="22"/>
          <w:szCs w:val="22"/>
        </w:rPr>
        <w:t>on</w:t>
      </w:r>
      <w:r w:rsidR="004A3332" w:rsidRPr="00381F61">
        <w:rPr>
          <w:rFonts w:ascii="Garamond" w:hAnsi="Garamond"/>
          <w:color w:val="1A1A1A"/>
          <w:spacing w:val="-12"/>
          <w:sz w:val="22"/>
          <w:szCs w:val="22"/>
        </w:rPr>
        <w:t xml:space="preserve"> </w:t>
      </w:r>
      <w:r w:rsidR="004A3332" w:rsidRPr="00381F61">
        <w:rPr>
          <w:rFonts w:ascii="Garamond" w:hAnsi="Garamond"/>
          <w:color w:val="1A1A1A"/>
          <w:sz w:val="22"/>
          <w:szCs w:val="22"/>
        </w:rPr>
        <w:t>government retirement income policies, including KiwiSaver and New Zealand superannuation:</w:t>
      </w:r>
    </w:p>
    <w:p w14:paraId="185758B7" w14:textId="32A745CF" w:rsidR="004A3332" w:rsidRPr="00381F61" w:rsidRDefault="004A3332">
      <w:pPr>
        <w:pStyle w:val="ListParagraph"/>
        <w:widowControl w:val="0"/>
        <w:numPr>
          <w:ilvl w:val="1"/>
          <w:numId w:val="65"/>
        </w:numPr>
        <w:tabs>
          <w:tab w:val="left" w:pos="1906"/>
          <w:tab w:val="left" w:pos="1907"/>
        </w:tabs>
        <w:autoSpaceDE w:val="0"/>
        <w:autoSpaceDN w:val="0"/>
        <w:ind w:left="993" w:right="-52" w:hanging="284"/>
        <w:contextualSpacing w:val="0"/>
        <w:jc w:val="both"/>
        <w:rPr>
          <w:rFonts w:ascii="Garamond" w:hAnsi="Garamond"/>
          <w:color w:val="1A1A1A"/>
        </w:rPr>
      </w:pPr>
      <w:r w:rsidRPr="00381F61">
        <w:rPr>
          <w:rFonts w:ascii="Garamond" w:hAnsi="Garamond"/>
          <w:color w:val="1A1A1A"/>
          <w:sz w:val="22"/>
          <w:szCs w:val="22"/>
        </w:rPr>
        <w:t>The changing nature of work, including the increasing number of people who are self-employed and/or working in temporary and flexible</w:t>
      </w:r>
      <w:r w:rsidRPr="00381F61">
        <w:rPr>
          <w:rFonts w:ascii="Garamond" w:hAnsi="Garamond"/>
          <w:color w:val="1A1A1A"/>
          <w:spacing w:val="14"/>
          <w:sz w:val="22"/>
          <w:szCs w:val="22"/>
        </w:rPr>
        <w:t xml:space="preserve"> </w:t>
      </w:r>
      <w:r w:rsidRPr="00381F61">
        <w:rPr>
          <w:rFonts w:ascii="Garamond" w:hAnsi="Garamond"/>
          <w:color w:val="1A1A1A"/>
          <w:sz w:val="22"/>
          <w:szCs w:val="22"/>
        </w:rPr>
        <w:t>jobs;</w:t>
      </w:r>
      <w:r w:rsidR="00015E72" w:rsidRPr="00381F61">
        <w:rPr>
          <w:rFonts w:ascii="Garamond" w:hAnsi="Garamond"/>
          <w:color w:val="1A1A1A"/>
          <w:sz w:val="22"/>
          <w:szCs w:val="22"/>
        </w:rPr>
        <w:t>”</w:t>
      </w:r>
    </w:p>
    <w:p w14:paraId="562DF68E" w14:textId="3C58960E" w:rsidR="00015E72" w:rsidRPr="00381F61" w:rsidRDefault="00015E72" w:rsidP="00015E72">
      <w:pPr>
        <w:pStyle w:val="ListParagraph"/>
        <w:widowControl w:val="0"/>
        <w:tabs>
          <w:tab w:val="left" w:pos="1906"/>
          <w:tab w:val="left" w:pos="1907"/>
        </w:tabs>
        <w:autoSpaceDE w:val="0"/>
        <w:autoSpaceDN w:val="0"/>
        <w:ind w:left="993" w:right="-52"/>
        <w:contextualSpacing w:val="0"/>
        <w:jc w:val="both"/>
        <w:rPr>
          <w:rFonts w:ascii="Garamond" w:hAnsi="Garamond"/>
          <w:color w:val="1A1A1A"/>
          <w:sz w:val="8"/>
          <w:szCs w:val="8"/>
        </w:rPr>
      </w:pPr>
    </w:p>
    <w:p w14:paraId="2D816337" w14:textId="199B8CE4" w:rsidR="00015E72" w:rsidRPr="00381F61" w:rsidRDefault="00015E72" w:rsidP="00891E0F">
      <w:pPr>
        <w:pStyle w:val="ListParagraph"/>
        <w:widowControl w:val="0"/>
        <w:tabs>
          <w:tab w:val="left" w:pos="1906"/>
          <w:tab w:val="left" w:pos="1907"/>
        </w:tabs>
        <w:autoSpaceDE w:val="0"/>
        <w:autoSpaceDN w:val="0"/>
        <w:ind w:left="993" w:right="-52"/>
        <w:contextualSpacing w:val="0"/>
        <w:jc w:val="both"/>
        <w:rPr>
          <w:rFonts w:ascii="Garamond" w:hAnsi="Garamond"/>
          <w:color w:val="1A1A1A"/>
        </w:rPr>
      </w:pPr>
      <w:r w:rsidRPr="00381F61">
        <w:rPr>
          <w:rFonts w:ascii="Garamond" w:hAnsi="Garamond"/>
          <w:b/>
          <w:color w:val="1A1A1A"/>
        </w:rPr>
        <w:t>Our initial comments:</w:t>
      </w:r>
      <w:r w:rsidRPr="00381F61">
        <w:rPr>
          <w:rFonts w:ascii="Garamond" w:hAnsi="Garamond"/>
          <w:color w:val="1A1A1A"/>
        </w:rPr>
        <w:t xml:space="preserve"> Section 16 (</w:t>
      </w:r>
      <w:r w:rsidR="005E3E30" w:rsidRPr="00381F61">
        <w:rPr>
          <w:rFonts w:ascii="Garamond" w:hAnsi="Garamond"/>
          <w:color w:val="1A1A1A"/>
        </w:rPr>
        <w:t>When do New Zealanders retire?</w:t>
      </w:r>
      <w:r w:rsidRPr="00381F61">
        <w:rPr>
          <w:rFonts w:ascii="Garamond" w:hAnsi="Garamond"/>
          <w:color w:val="1A1A1A"/>
        </w:rPr>
        <w:t>) summarises what we already know on this.  As we say, however, we need more, better data on this topic before New Zealand can answer the questions we identify in Section 16.</w:t>
      </w:r>
    </w:p>
    <w:p w14:paraId="69F32404" w14:textId="77777777" w:rsidR="004A3332" w:rsidRPr="00381F61" w:rsidRDefault="004A3332" w:rsidP="00891E0F">
      <w:pPr>
        <w:widowControl w:val="0"/>
        <w:tabs>
          <w:tab w:val="left" w:pos="1906"/>
          <w:tab w:val="left" w:pos="1907"/>
        </w:tabs>
        <w:autoSpaceDE w:val="0"/>
        <w:autoSpaceDN w:val="0"/>
        <w:ind w:left="993" w:right="-52"/>
        <w:jc w:val="both"/>
        <w:rPr>
          <w:rFonts w:ascii="Garamond" w:hAnsi="Garamond"/>
          <w:color w:val="1A1A1A"/>
          <w:sz w:val="8"/>
          <w:szCs w:val="8"/>
        </w:rPr>
      </w:pPr>
    </w:p>
    <w:p w14:paraId="7863D938" w14:textId="77777777" w:rsidR="00F66CFF" w:rsidRPr="00381F61" w:rsidRDefault="00015E72">
      <w:pPr>
        <w:pStyle w:val="ListParagraph"/>
        <w:widowControl w:val="0"/>
        <w:numPr>
          <w:ilvl w:val="1"/>
          <w:numId w:val="65"/>
        </w:numPr>
        <w:tabs>
          <w:tab w:val="left" w:pos="1903"/>
          <w:tab w:val="left" w:pos="1904"/>
        </w:tabs>
        <w:autoSpaceDE w:val="0"/>
        <w:autoSpaceDN w:val="0"/>
        <w:ind w:left="993" w:right="-52" w:hanging="284"/>
        <w:contextualSpacing w:val="0"/>
        <w:jc w:val="both"/>
        <w:rPr>
          <w:rFonts w:ascii="Garamond" w:hAnsi="Garamond"/>
          <w:color w:val="1A1A1A"/>
        </w:rPr>
      </w:pPr>
      <w:r w:rsidRPr="00381F61">
        <w:rPr>
          <w:rFonts w:ascii="Garamond" w:hAnsi="Garamond"/>
          <w:b/>
          <w:color w:val="1A1A1A"/>
        </w:rPr>
        <w:t>The request:</w:t>
      </w:r>
    </w:p>
    <w:p w14:paraId="42372EBE" w14:textId="77777777" w:rsidR="00F66CFF" w:rsidRPr="00381F61" w:rsidRDefault="00F66CFF" w:rsidP="00F66CFF">
      <w:pPr>
        <w:pStyle w:val="ListParagraph"/>
        <w:widowControl w:val="0"/>
        <w:tabs>
          <w:tab w:val="left" w:pos="1903"/>
          <w:tab w:val="left" w:pos="1904"/>
        </w:tabs>
        <w:autoSpaceDE w:val="0"/>
        <w:autoSpaceDN w:val="0"/>
        <w:ind w:left="993" w:right="-52"/>
        <w:contextualSpacing w:val="0"/>
        <w:jc w:val="both"/>
        <w:rPr>
          <w:rFonts w:ascii="Garamond" w:hAnsi="Garamond"/>
          <w:color w:val="1A1A1A"/>
          <w:sz w:val="8"/>
          <w:szCs w:val="8"/>
        </w:rPr>
      </w:pPr>
    </w:p>
    <w:p w14:paraId="2FB9AEDB" w14:textId="299131FB" w:rsidR="004A3332" w:rsidRPr="00381F61" w:rsidRDefault="00015E72" w:rsidP="00891E0F">
      <w:pPr>
        <w:pStyle w:val="ListParagraph"/>
        <w:widowControl w:val="0"/>
        <w:tabs>
          <w:tab w:val="left" w:pos="1903"/>
          <w:tab w:val="left" w:pos="1904"/>
        </w:tabs>
        <w:autoSpaceDE w:val="0"/>
        <w:autoSpaceDN w:val="0"/>
        <w:ind w:left="993" w:right="-52"/>
        <w:contextualSpacing w:val="0"/>
        <w:jc w:val="both"/>
        <w:rPr>
          <w:rFonts w:ascii="Garamond" w:hAnsi="Garamond"/>
          <w:color w:val="1A1A1A"/>
        </w:rPr>
      </w:pPr>
      <w:r w:rsidRPr="00381F61">
        <w:rPr>
          <w:rFonts w:ascii="Garamond" w:hAnsi="Garamond"/>
          <w:color w:val="1A1A1A"/>
          <w:sz w:val="22"/>
          <w:szCs w:val="22"/>
        </w:rPr>
        <w:t>“</w:t>
      </w:r>
      <w:r w:rsidR="004A3332" w:rsidRPr="00381F61">
        <w:rPr>
          <w:rFonts w:ascii="Garamond" w:hAnsi="Garamond"/>
          <w:color w:val="1A1A1A"/>
          <w:sz w:val="22"/>
          <w:szCs w:val="22"/>
        </w:rPr>
        <w:t>Declining rates of home ownership;</w:t>
      </w:r>
      <w:r w:rsidR="004A3332" w:rsidRPr="00381F61">
        <w:rPr>
          <w:rFonts w:ascii="Garamond" w:hAnsi="Garamond"/>
          <w:color w:val="1A1A1A"/>
          <w:spacing w:val="52"/>
          <w:sz w:val="22"/>
          <w:szCs w:val="22"/>
        </w:rPr>
        <w:t xml:space="preserve"> </w:t>
      </w:r>
      <w:r w:rsidR="004A3332" w:rsidRPr="00381F61">
        <w:rPr>
          <w:rFonts w:ascii="Garamond" w:hAnsi="Garamond"/>
          <w:color w:val="1A1A1A"/>
          <w:sz w:val="22"/>
          <w:szCs w:val="22"/>
        </w:rPr>
        <w:t>and</w:t>
      </w:r>
      <w:r w:rsidRPr="00381F61">
        <w:rPr>
          <w:rFonts w:ascii="Garamond" w:hAnsi="Garamond"/>
          <w:color w:val="1A1A1A"/>
          <w:sz w:val="22"/>
          <w:szCs w:val="22"/>
        </w:rPr>
        <w:t>”</w:t>
      </w:r>
    </w:p>
    <w:p w14:paraId="0C4348DA" w14:textId="60F6DC07" w:rsidR="00015E72" w:rsidRPr="00381F61" w:rsidRDefault="00015E72" w:rsidP="00015E72">
      <w:pPr>
        <w:pStyle w:val="ListParagraph"/>
        <w:widowControl w:val="0"/>
        <w:tabs>
          <w:tab w:val="left" w:pos="1903"/>
          <w:tab w:val="left" w:pos="1904"/>
        </w:tabs>
        <w:autoSpaceDE w:val="0"/>
        <w:autoSpaceDN w:val="0"/>
        <w:ind w:left="993" w:right="-52"/>
        <w:contextualSpacing w:val="0"/>
        <w:jc w:val="both"/>
        <w:rPr>
          <w:rFonts w:ascii="Garamond" w:hAnsi="Garamond"/>
          <w:b/>
          <w:color w:val="1A1A1A"/>
          <w:sz w:val="8"/>
          <w:szCs w:val="8"/>
        </w:rPr>
      </w:pPr>
    </w:p>
    <w:p w14:paraId="7963ECC1" w14:textId="74DB0254" w:rsidR="00015E72" w:rsidRPr="00381F61" w:rsidRDefault="00015E72" w:rsidP="00015E72">
      <w:pPr>
        <w:pStyle w:val="ListParagraph"/>
        <w:widowControl w:val="0"/>
        <w:tabs>
          <w:tab w:val="left" w:pos="1903"/>
          <w:tab w:val="left" w:pos="1904"/>
        </w:tabs>
        <w:autoSpaceDE w:val="0"/>
        <w:autoSpaceDN w:val="0"/>
        <w:ind w:left="993" w:right="-52"/>
        <w:contextualSpacing w:val="0"/>
        <w:jc w:val="both"/>
        <w:rPr>
          <w:rFonts w:ascii="Garamond" w:hAnsi="Garamond"/>
          <w:color w:val="1A1A1A"/>
        </w:rPr>
      </w:pPr>
      <w:r w:rsidRPr="00381F61">
        <w:rPr>
          <w:rFonts w:ascii="Garamond" w:hAnsi="Garamond"/>
          <w:b/>
          <w:color w:val="1A1A1A"/>
        </w:rPr>
        <w:lastRenderedPageBreak/>
        <w:t>Our initial comments:</w:t>
      </w:r>
      <w:r w:rsidRPr="00381F61">
        <w:rPr>
          <w:rFonts w:ascii="Garamond" w:hAnsi="Garamond"/>
          <w:color w:val="1A1A1A"/>
        </w:rPr>
        <w:t xml:space="preserve"> As we explain in Section 12 (H</w:t>
      </w:r>
      <w:r w:rsidR="005E3E30" w:rsidRPr="00381F61">
        <w:rPr>
          <w:rFonts w:ascii="Garamond" w:hAnsi="Garamond"/>
          <w:color w:val="1A1A1A"/>
        </w:rPr>
        <w:t>ousing and h</w:t>
      </w:r>
      <w:r w:rsidRPr="00381F61">
        <w:rPr>
          <w:rFonts w:ascii="Garamond" w:hAnsi="Garamond"/>
          <w:color w:val="1A1A1A"/>
        </w:rPr>
        <w:t>ome ownership) we do not know that home</w:t>
      </w:r>
      <w:r w:rsidR="008E0AA6" w:rsidRPr="00381F61">
        <w:rPr>
          <w:rFonts w:ascii="Garamond" w:hAnsi="Garamond"/>
          <w:color w:val="1A1A1A"/>
        </w:rPr>
        <w:t>-</w:t>
      </w:r>
      <w:r w:rsidRPr="00381F61">
        <w:rPr>
          <w:rFonts w:ascii="Garamond" w:hAnsi="Garamond"/>
          <w:color w:val="1A1A1A"/>
        </w:rPr>
        <w:t xml:space="preserve">ownership rates are falling.  Census data on this important topic are deficient and, based on the questions used in the 2018 Census, it looks as though those </w:t>
      </w:r>
      <w:r w:rsidR="00DE5A68" w:rsidRPr="00381F61">
        <w:rPr>
          <w:rFonts w:ascii="Garamond" w:hAnsi="Garamond"/>
          <w:color w:val="1A1A1A"/>
        </w:rPr>
        <w:t xml:space="preserve">information </w:t>
      </w:r>
      <w:r w:rsidRPr="00381F61">
        <w:rPr>
          <w:rFonts w:ascii="Garamond" w:hAnsi="Garamond"/>
          <w:color w:val="1A1A1A"/>
        </w:rPr>
        <w:t xml:space="preserve">gaps will widen, when </w:t>
      </w:r>
      <w:r w:rsidR="002B03C4" w:rsidRPr="00381F61">
        <w:rPr>
          <w:rFonts w:ascii="Garamond" w:hAnsi="Garamond"/>
          <w:color w:val="1A1A1A"/>
        </w:rPr>
        <w:t xml:space="preserve">(if) </w:t>
      </w:r>
      <w:r w:rsidRPr="00381F61">
        <w:rPr>
          <w:rFonts w:ascii="Garamond" w:hAnsi="Garamond"/>
          <w:color w:val="1A1A1A"/>
        </w:rPr>
        <w:t>we finally see the 2018 numbers.</w:t>
      </w:r>
    </w:p>
    <w:p w14:paraId="3D73969B" w14:textId="16658B8F" w:rsidR="0049532F" w:rsidRPr="00381F61" w:rsidRDefault="0049532F" w:rsidP="00015E72">
      <w:pPr>
        <w:pStyle w:val="ListParagraph"/>
        <w:widowControl w:val="0"/>
        <w:tabs>
          <w:tab w:val="left" w:pos="1903"/>
          <w:tab w:val="left" w:pos="1904"/>
        </w:tabs>
        <w:autoSpaceDE w:val="0"/>
        <w:autoSpaceDN w:val="0"/>
        <w:ind w:left="993" w:right="-52"/>
        <w:contextualSpacing w:val="0"/>
        <w:jc w:val="both"/>
        <w:rPr>
          <w:rFonts w:ascii="Garamond" w:hAnsi="Garamond"/>
          <w:color w:val="1A1A1A"/>
          <w:sz w:val="8"/>
          <w:szCs w:val="8"/>
        </w:rPr>
      </w:pPr>
    </w:p>
    <w:p w14:paraId="50A798DB" w14:textId="72681AB7" w:rsidR="0049532F" w:rsidRPr="00381F61" w:rsidRDefault="0049532F" w:rsidP="00891E0F">
      <w:pPr>
        <w:pStyle w:val="ListParagraph"/>
        <w:widowControl w:val="0"/>
        <w:tabs>
          <w:tab w:val="left" w:pos="1903"/>
          <w:tab w:val="left" w:pos="1904"/>
        </w:tabs>
        <w:autoSpaceDE w:val="0"/>
        <w:autoSpaceDN w:val="0"/>
        <w:ind w:left="993" w:right="-52"/>
        <w:contextualSpacing w:val="0"/>
        <w:jc w:val="both"/>
        <w:rPr>
          <w:rFonts w:ascii="Garamond" w:hAnsi="Garamond"/>
          <w:color w:val="1A1A1A"/>
        </w:rPr>
      </w:pPr>
      <w:r w:rsidRPr="00381F61">
        <w:rPr>
          <w:rFonts w:ascii="Garamond" w:hAnsi="Garamond"/>
          <w:color w:val="1A1A1A"/>
        </w:rPr>
        <w:t>Section 12 suggests the questions that New Zealand needs answering on issues associated with home ownership</w:t>
      </w:r>
      <w:r w:rsidR="00145709" w:rsidRPr="00381F61">
        <w:rPr>
          <w:rFonts w:ascii="Garamond" w:hAnsi="Garamond"/>
          <w:color w:val="1A1A1A"/>
        </w:rPr>
        <w:t xml:space="preserve"> before we need to wonder whether whatever is happening has public policy implications</w:t>
      </w:r>
      <w:r w:rsidRPr="00381F61">
        <w:rPr>
          <w:rFonts w:ascii="Garamond" w:hAnsi="Garamond"/>
          <w:color w:val="1A1A1A"/>
        </w:rPr>
        <w:t>.</w:t>
      </w:r>
    </w:p>
    <w:p w14:paraId="0175D5A3" w14:textId="77777777" w:rsidR="004A3332" w:rsidRPr="00381F61" w:rsidRDefault="004A3332" w:rsidP="00891E0F">
      <w:pPr>
        <w:pStyle w:val="BodyText"/>
        <w:spacing w:after="0"/>
        <w:ind w:left="993" w:right="-52" w:hanging="284"/>
        <w:jc w:val="both"/>
        <w:rPr>
          <w:rFonts w:ascii="Garamond" w:hAnsi="Garamond"/>
          <w:sz w:val="8"/>
          <w:szCs w:val="8"/>
        </w:rPr>
      </w:pPr>
    </w:p>
    <w:p w14:paraId="7EAF4621" w14:textId="77777777" w:rsidR="00F66CFF" w:rsidRPr="00381F61" w:rsidRDefault="00015E72">
      <w:pPr>
        <w:pStyle w:val="ListParagraph"/>
        <w:widowControl w:val="0"/>
        <w:numPr>
          <w:ilvl w:val="1"/>
          <w:numId w:val="65"/>
        </w:numPr>
        <w:tabs>
          <w:tab w:val="left" w:pos="1909"/>
          <w:tab w:val="left" w:pos="1910"/>
        </w:tabs>
        <w:autoSpaceDE w:val="0"/>
        <w:autoSpaceDN w:val="0"/>
        <w:ind w:left="993" w:right="-52" w:hanging="284"/>
        <w:contextualSpacing w:val="0"/>
        <w:jc w:val="both"/>
        <w:rPr>
          <w:rFonts w:ascii="Garamond" w:hAnsi="Garamond"/>
          <w:color w:val="1A1A1A"/>
        </w:rPr>
      </w:pPr>
      <w:r w:rsidRPr="00381F61">
        <w:rPr>
          <w:rFonts w:ascii="Garamond" w:hAnsi="Garamond"/>
          <w:b/>
          <w:color w:val="1A1A1A"/>
        </w:rPr>
        <w:t>The request:</w:t>
      </w:r>
    </w:p>
    <w:p w14:paraId="311C1D35" w14:textId="77777777" w:rsidR="00F66CFF" w:rsidRPr="00381F61" w:rsidRDefault="00F66CFF" w:rsidP="00F66CFF">
      <w:pPr>
        <w:pStyle w:val="ListParagraph"/>
        <w:widowControl w:val="0"/>
        <w:tabs>
          <w:tab w:val="left" w:pos="1909"/>
          <w:tab w:val="left" w:pos="1910"/>
        </w:tabs>
        <w:autoSpaceDE w:val="0"/>
        <w:autoSpaceDN w:val="0"/>
        <w:ind w:left="993" w:right="-52"/>
        <w:contextualSpacing w:val="0"/>
        <w:jc w:val="both"/>
        <w:rPr>
          <w:rFonts w:ascii="Garamond" w:hAnsi="Garamond"/>
          <w:color w:val="1A1A1A"/>
          <w:sz w:val="8"/>
          <w:szCs w:val="8"/>
        </w:rPr>
      </w:pPr>
    </w:p>
    <w:p w14:paraId="20918C08" w14:textId="252254CE" w:rsidR="004A3332" w:rsidRPr="00381F61" w:rsidRDefault="00015E72" w:rsidP="00891E0F">
      <w:pPr>
        <w:pStyle w:val="ListParagraph"/>
        <w:widowControl w:val="0"/>
        <w:tabs>
          <w:tab w:val="left" w:pos="1909"/>
          <w:tab w:val="left" w:pos="1910"/>
        </w:tabs>
        <w:autoSpaceDE w:val="0"/>
        <w:autoSpaceDN w:val="0"/>
        <w:ind w:left="993" w:right="-52"/>
        <w:contextualSpacing w:val="0"/>
        <w:jc w:val="both"/>
        <w:rPr>
          <w:rFonts w:ascii="Garamond" w:hAnsi="Garamond"/>
          <w:color w:val="1A1A1A"/>
        </w:rPr>
      </w:pPr>
      <w:r w:rsidRPr="00381F61">
        <w:rPr>
          <w:rFonts w:ascii="Garamond" w:hAnsi="Garamond"/>
          <w:color w:val="1A1A1A"/>
          <w:sz w:val="22"/>
          <w:szCs w:val="22"/>
        </w:rPr>
        <w:t>“</w:t>
      </w:r>
      <w:r w:rsidR="004A3332" w:rsidRPr="00381F61">
        <w:rPr>
          <w:rFonts w:ascii="Garamond" w:hAnsi="Garamond"/>
          <w:color w:val="1A1A1A"/>
          <w:sz w:val="22"/>
          <w:szCs w:val="22"/>
        </w:rPr>
        <w:t>Changes in labour market participation of those 65 years and</w:t>
      </w:r>
      <w:r w:rsidR="004A3332" w:rsidRPr="00381F61">
        <w:rPr>
          <w:rFonts w:ascii="Garamond" w:hAnsi="Garamond"/>
          <w:color w:val="1A1A1A"/>
          <w:spacing w:val="-26"/>
          <w:sz w:val="22"/>
          <w:szCs w:val="22"/>
        </w:rPr>
        <w:t xml:space="preserve"> </w:t>
      </w:r>
      <w:r w:rsidR="004A3332" w:rsidRPr="00381F61">
        <w:rPr>
          <w:rFonts w:ascii="Garamond" w:hAnsi="Garamond"/>
          <w:color w:val="1A1A1A"/>
          <w:sz w:val="22"/>
          <w:szCs w:val="22"/>
        </w:rPr>
        <w:t>older.</w:t>
      </w:r>
      <w:r w:rsidRPr="00381F61">
        <w:rPr>
          <w:rFonts w:ascii="Garamond" w:hAnsi="Garamond"/>
          <w:color w:val="1A1A1A"/>
          <w:sz w:val="22"/>
          <w:szCs w:val="22"/>
        </w:rPr>
        <w:t>”</w:t>
      </w:r>
    </w:p>
    <w:p w14:paraId="07218F67" w14:textId="2D870410" w:rsidR="00015E72" w:rsidRPr="00381F61" w:rsidRDefault="00015E72" w:rsidP="00015E72">
      <w:pPr>
        <w:pStyle w:val="ListParagraph"/>
        <w:widowControl w:val="0"/>
        <w:tabs>
          <w:tab w:val="left" w:pos="1909"/>
          <w:tab w:val="left" w:pos="1910"/>
        </w:tabs>
        <w:autoSpaceDE w:val="0"/>
        <w:autoSpaceDN w:val="0"/>
        <w:ind w:left="993" w:right="-52"/>
        <w:contextualSpacing w:val="0"/>
        <w:jc w:val="both"/>
        <w:rPr>
          <w:rFonts w:ascii="Garamond" w:hAnsi="Garamond"/>
          <w:b/>
          <w:color w:val="1A1A1A"/>
          <w:sz w:val="8"/>
          <w:szCs w:val="8"/>
        </w:rPr>
      </w:pPr>
    </w:p>
    <w:p w14:paraId="2FB3A2A5" w14:textId="3BB8A501" w:rsidR="00015E72" w:rsidRPr="00381F61" w:rsidRDefault="00015E72" w:rsidP="00891E0F">
      <w:pPr>
        <w:pStyle w:val="ListParagraph"/>
        <w:widowControl w:val="0"/>
        <w:tabs>
          <w:tab w:val="left" w:pos="1909"/>
          <w:tab w:val="left" w:pos="1910"/>
        </w:tabs>
        <w:autoSpaceDE w:val="0"/>
        <w:autoSpaceDN w:val="0"/>
        <w:ind w:left="993" w:right="-52"/>
        <w:contextualSpacing w:val="0"/>
        <w:jc w:val="both"/>
        <w:rPr>
          <w:rFonts w:ascii="Garamond" w:hAnsi="Garamond"/>
          <w:color w:val="1A1A1A"/>
        </w:rPr>
      </w:pPr>
      <w:r w:rsidRPr="00381F61">
        <w:rPr>
          <w:rFonts w:ascii="Garamond" w:hAnsi="Garamond"/>
          <w:b/>
          <w:color w:val="1A1A1A"/>
        </w:rPr>
        <w:t>Our initial comments:</w:t>
      </w:r>
      <w:r w:rsidRPr="00381F61">
        <w:rPr>
          <w:rFonts w:ascii="Garamond" w:hAnsi="Garamond"/>
          <w:color w:val="1A1A1A"/>
        </w:rPr>
        <w:t xml:space="preserve"> This is part of the same topic </w:t>
      </w:r>
      <w:r w:rsidR="005F2BEC" w:rsidRPr="00381F61">
        <w:rPr>
          <w:rFonts w:ascii="Garamond" w:hAnsi="Garamond"/>
          <w:color w:val="1A1A1A"/>
        </w:rPr>
        <w:t xml:space="preserve">that is </w:t>
      </w:r>
      <w:r w:rsidRPr="00381F61">
        <w:rPr>
          <w:rFonts w:ascii="Garamond" w:hAnsi="Garamond"/>
          <w:color w:val="1A1A1A"/>
        </w:rPr>
        <w:t>covered in 3a above.</w:t>
      </w:r>
    </w:p>
    <w:p w14:paraId="359EEA03" w14:textId="77777777" w:rsidR="00102859" w:rsidRPr="00CD6F06" w:rsidRDefault="00102859" w:rsidP="00891E0F">
      <w:pPr>
        <w:pStyle w:val="ListParagraph"/>
        <w:widowControl w:val="0"/>
        <w:tabs>
          <w:tab w:val="left" w:pos="1909"/>
          <w:tab w:val="left" w:pos="1910"/>
        </w:tabs>
        <w:autoSpaceDE w:val="0"/>
        <w:autoSpaceDN w:val="0"/>
        <w:ind w:left="993" w:right="-52"/>
        <w:contextualSpacing w:val="0"/>
        <w:jc w:val="both"/>
        <w:rPr>
          <w:rFonts w:ascii="Garamond" w:hAnsi="Garamond"/>
          <w:color w:val="1A1A1A"/>
          <w:sz w:val="8"/>
          <w:szCs w:val="8"/>
        </w:rPr>
      </w:pPr>
    </w:p>
    <w:p w14:paraId="1084FDD2" w14:textId="77777777" w:rsidR="00F66CFF" w:rsidRPr="00381F61" w:rsidRDefault="00015E72">
      <w:pPr>
        <w:pStyle w:val="ListParagraph"/>
        <w:widowControl w:val="0"/>
        <w:numPr>
          <w:ilvl w:val="0"/>
          <w:numId w:val="65"/>
        </w:numPr>
        <w:tabs>
          <w:tab w:val="left" w:pos="1185"/>
          <w:tab w:val="left" w:pos="1186"/>
        </w:tabs>
        <w:autoSpaceDE w:val="0"/>
        <w:autoSpaceDN w:val="0"/>
        <w:ind w:left="709" w:right="-52" w:hanging="284"/>
        <w:contextualSpacing w:val="0"/>
        <w:jc w:val="both"/>
        <w:rPr>
          <w:rFonts w:ascii="Garamond" w:hAnsi="Garamond"/>
          <w:color w:val="1A1A1A"/>
          <w:sz w:val="22"/>
          <w:szCs w:val="22"/>
        </w:rPr>
      </w:pPr>
      <w:r w:rsidRPr="00381F61">
        <w:rPr>
          <w:rFonts w:ascii="Garamond" w:hAnsi="Garamond"/>
          <w:b/>
          <w:color w:val="1A1A1A"/>
        </w:rPr>
        <w:t>The request:</w:t>
      </w:r>
    </w:p>
    <w:p w14:paraId="73DF6875" w14:textId="77777777" w:rsidR="00F66CFF" w:rsidRPr="00381F61" w:rsidRDefault="00F66CFF" w:rsidP="00F66CFF">
      <w:pPr>
        <w:pStyle w:val="ListParagraph"/>
        <w:widowControl w:val="0"/>
        <w:tabs>
          <w:tab w:val="left" w:pos="1185"/>
          <w:tab w:val="left" w:pos="1186"/>
        </w:tabs>
        <w:autoSpaceDE w:val="0"/>
        <w:autoSpaceDN w:val="0"/>
        <w:ind w:left="709" w:right="-52"/>
        <w:contextualSpacing w:val="0"/>
        <w:jc w:val="both"/>
        <w:rPr>
          <w:rFonts w:ascii="Garamond" w:hAnsi="Garamond"/>
          <w:color w:val="1A1A1A"/>
          <w:sz w:val="8"/>
          <w:szCs w:val="8"/>
        </w:rPr>
      </w:pPr>
    </w:p>
    <w:p w14:paraId="7ED72E42" w14:textId="590A1BF5" w:rsidR="004A3332" w:rsidRPr="00381F61" w:rsidRDefault="005F2BEC" w:rsidP="00891E0F">
      <w:pPr>
        <w:pStyle w:val="ListParagraph"/>
        <w:widowControl w:val="0"/>
        <w:tabs>
          <w:tab w:val="left" w:pos="1185"/>
          <w:tab w:val="left" w:pos="1186"/>
        </w:tabs>
        <w:autoSpaceDE w:val="0"/>
        <w:autoSpaceDN w:val="0"/>
        <w:ind w:left="709" w:right="-52"/>
        <w:contextualSpacing w:val="0"/>
        <w:jc w:val="both"/>
        <w:rPr>
          <w:rFonts w:ascii="Garamond" w:hAnsi="Garamond"/>
          <w:color w:val="1A1A1A"/>
          <w:sz w:val="22"/>
          <w:szCs w:val="22"/>
        </w:rPr>
      </w:pPr>
      <w:r w:rsidRPr="00381F61">
        <w:rPr>
          <w:rFonts w:ascii="Garamond" w:hAnsi="Garamond"/>
          <w:color w:val="1A1A1A"/>
          <w:sz w:val="22"/>
          <w:szCs w:val="22"/>
        </w:rPr>
        <w:t>“</w:t>
      </w:r>
      <w:r w:rsidR="004A3332" w:rsidRPr="00381F61">
        <w:rPr>
          <w:rFonts w:ascii="Garamond" w:hAnsi="Garamond"/>
          <w:color w:val="1A1A1A"/>
          <w:sz w:val="22"/>
          <w:szCs w:val="22"/>
        </w:rPr>
        <w:t>Information about, and relevant to, the public’s perception and understanding of KiwiSaver fees,</w:t>
      </w:r>
      <w:r w:rsidR="004A3332" w:rsidRPr="00381F61">
        <w:rPr>
          <w:rFonts w:ascii="Garamond" w:hAnsi="Garamond"/>
          <w:color w:val="1A1A1A"/>
          <w:spacing w:val="-34"/>
          <w:sz w:val="22"/>
          <w:szCs w:val="22"/>
        </w:rPr>
        <w:t xml:space="preserve"> </w:t>
      </w:r>
      <w:r w:rsidR="004A3332" w:rsidRPr="00381F61">
        <w:rPr>
          <w:rFonts w:ascii="Garamond" w:hAnsi="Garamond"/>
          <w:color w:val="1A1A1A"/>
          <w:sz w:val="22"/>
          <w:szCs w:val="22"/>
        </w:rPr>
        <w:t>including:</w:t>
      </w:r>
    </w:p>
    <w:p w14:paraId="20168431" w14:textId="3DD0CD12" w:rsidR="004A3332" w:rsidRPr="00381F61" w:rsidRDefault="004A3332">
      <w:pPr>
        <w:pStyle w:val="ListParagraph"/>
        <w:widowControl w:val="0"/>
        <w:numPr>
          <w:ilvl w:val="1"/>
          <w:numId w:val="65"/>
        </w:numPr>
        <w:tabs>
          <w:tab w:val="left" w:pos="1906"/>
          <w:tab w:val="left" w:pos="1907"/>
        </w:tabs>
        <w:autoSpaceDE w:val="0"/>
        <w:autoSpaceDN w:val="0"/>
        <w:ind w:left="993" w:right="-52" w:hanging="284"/>
        <w:contextualSpacing w:val="0"/>
        <w:jc w:val="both"/>
        <w:rPr>
          <w:rFonts w:ascii="Garamond" w:hAnsi="Garamond"/>
          <w:color w:val="1A1A1A"/>
        </w:rPr>
      </w:pPr>
      <w:r w:rsidRPr="00381F61">
        <w:rPr>
          <w:rFonts w:ascii="Garamond" w:hAnsi="Garamond"/>
          <w:color w:val="1A1A1A"/>
          <w:sz w:val="22"/>
          <w:szCs w:val="22"/>
        </w:rPr>
        <w:t>The level and types of fees charged by KiwiSaver providers;</w:t>
      </w:r>
      <w:r w:rsidRPr="00381F61">
        <w:rPr>
          <w:rFonts w:ascii="Garamond" w:hAnsi="Garamond"/>
          <w:color w:val="1A1A1A"/>
          <w:spacing w:val="47"/>
          <w:sz w:val="22"/>
          <w:szCs w:val="22"/>
        </w:rPr>
        <w:t xml:space="preserve"> </w:t>
      </w:r>
      <w:r w:rsidRPr="00381F61">
        <w:rPr>
          <w:rFonts w:ascii="Garamond" w:hAnsi="Garamond"/>
          <w:color w:val="1A1A1A"/>
          <w:sz w:val="22"/>
          <w:szCs w:val="22"/>
        </w:rPr>
        <w:t>and</w:t>
      </w:r>
      <w:r w:rsidR="005F2BEC" w:rsidRPr="00381F61">
        <w:rPr>
          <w:rFonts w:ascii="Garamond" w:hAnsi="Garamond"/>
          <w:color w:val="1A1A1A"/>
        </w:rPr>
        <w:t>”</w:t>
      </w:r>
    </w:p>
    <w:p w14:paraId="0E5806E1" w14:textId="620CA952" w:rsidR="005F2BEC" w:rsidRPr="00381F61" w:rsidRDefault="005F2BEC" w:rsidP="005F2BEC">
      <w:pPr>
        <w:pStyle w:val="ListParagraph"/>
        <w:widowControl w:val="0"/>
        <w:tabs>
          <w:tab w:val="left" w:pos="1906"/>
          <w:tab w:val="left" w:pos="1907"/>
        </w:tabs>
        <w:autoSpaceDE w:val="0"/>
        <w:autoSpaceDN w:val="0"/>
        <w:ind w:left="993" w:right="-52"/>
        <w:contextualSpacing w:val="0"/>
        <w:jc w:val="both"/>
        <w:rPr>
          <w:rFonts w:ascii="Garamond" w:hAnsi="Garamond"/>
          <w:color w:val="1A1A1A"/>
          <w:sz w:val="8"/>
          <w:szCs w:val="8"/>
        </w:rPr>
      </w:pPr>
    </w:p>
    <w:p w14:paraId="1AC8A8DA" w14:textId="6BB1BF2E" w:rsidR="005F2BEC" w:rsidRPr="00381F61" w:rsidRDefault="005F2BEC" w:rsidP="00891E0F">
      <w:pPr>
        <w:pStyle w:val="ListParagraph"/>
        <w:widowControl w:val="0"/>
        <w:tabs>
          <w:tab w:val="left" w:pos="1906"/>
          <w:tab w:val="left" w:pos="1907"/>
        </w:tabs>
        <w:autoSpaceDE w:val="0"/>
        <w:autoSpaceDN w:val="0"/>
        <w:ind w:left="993" w:right="-52"/>
        <w:contextualSpacing w:val="0"/>
        <w:jc w:val="both"/>
        <w:rPr>
          <w:rFonts w:ascii="Garamond" w:hAnsi="Garamond"/>
          <w:color w:val="1A1A1A"/>
        </w:rPr>
      </w:pPr>
      <w:r w:rsidRPr="00381F61">
        <w:rPr>
          <w:rFonts w:ascii="Garamond" w:hAnsi="Garamond"/>
          <w:b/>
          <w:color w:val="1A1A1A"/>
        </w:rPr>
        <w:t>Our initial comments:</w:t>
      </w:r>
      <w:r w:rsidRPr="00381F61">
        <w:rPr>
          <w:rFonts w:ascii="Garamond" w:hAnsi="Garamond"/>
          <w:color w:val="1A1A1A"/>
        </w:rPr>
        <w:t xml:space="preserve"> “We expect that KiwiSaver members will know very little about the different ways that fees for KiwiSaver schemes are calculated and applied</w:t>
      </w:r>
      <w:r w:rsidR="00FB4DF7" w:rsidRPr="00381F61">
        <w:rPr>
          <w:rFonts w:ascii="Garamond" w:hAnsi="Garamond"/>
          <w:color w:val="1A1A1A"/>
        </w:rPr>
        <w:t>, even to their own KiwiSaver accounts</w:t>
      </w:r>
      <w:r w:rsidRPr="00381F61">
        <w:rPr>
          <w:rFonts w:ascii="Garamond" w:hAnsi="Garamond"/>
          <w:color w:val="1A1A1A"/>
        </w:rPr>
        <w:t xml:space="preserve">.  We discuss aspects of the new disclosure requirements in Section 18 (Disclosure </w:t>
      </w:r>
      <w:r w:rsidR="0049532F" w:rsidRPr="00381F61">
        <w:rPr>
          <w:rFonts w:ascii="Garamond" w:hAnsi="Garamond"/>
          <w:color w:val="1A1A1A"/>
        </w:rPr>
        <w:t>– both initial and ongoing</w:t>
      </w:r>
      <w:r w:rsidRPr="00381F61">
        <w:rPr>
          <w:rFonts w:ascii="Garamond" w:hAnsi="Garamond"/>
          <w:color w:val="1A1A1A"/>
        </w:rPr>
        <w:t xml:space="preserve">).  We think that 2019 will be too soon to judge the impact of </w:t>
      </w:r>
      <w:r w:rsidR="00110E46" w:rsidRPr="00381F61">
        <w:rPr>
          <w:rFonts w:ascii="Garamond" w:hAnsi="Garamond"/>
          <w:color w:val="1A1A1A"/>
        </w:rPr>
        <w:t xml:space="preserve">the recent </w:t>
      </w:r>
      <w:r w:rsidR="000D69A5" w:rsidRPr="00381F61">
        <w:rPr>
          <w:rFonts w:ascii="Garamond" w:hAnsi="Garamond"/>
          <w:color w:val="1A1A1A"/>
        </w:rPr>
        <w:t>disclosure</w:t>
      </w:r>
      <w:r w:rsidRPr="00381F61">
        <w:rPr>
          <w:rFonts w:ascii="Garamond" w:hAnsi="Garamond"/>
          <w:color w:val="1A1A1A"/>
        </w:rPr>
        <w:t xml:space="preserve"> changes to the public’s “perception and understanding”</w:t>
      </w:r>
      <w:r w:rsidR="000D69A5" w:rsidRPr="00381F61">
        <w:rPr>
          <w:rFonts w:ascii="Garamond" w:hAnsi="Garamond"/>
          <w:color w:val="1A1A1A"/>
        </w:rPr>
        <w:t xml:space="preserve"> of fees</w:t>
      </w:r>
      <w:r w:rsidRPr="00381F61">
        <w:rPr>
          <w:rFonts w:ascii="Garamond" w:hAnsi="Garamond"/>
          <w:color w:val="1A1A1A"/>
        </w:rPr>
        <w:t>.</w:t>
      </w:r>
    </w:p>
    <w:p w14:paraId="1AD9FE61" w14:textId="77777777" w:rsidR="004A3332" w:rsidRPr="00381F61" w:rsidRDefault="004A3332" w:rsidP="00891E0F">
      <w:pPr>
        <w:pStyle w:val="BodyText"/>
        <w:spacing w:after="0"/>
        <w:ind w:left="993" w:right="-52" w:hanging="284"/>
        <w:jc w:val="both"/>
        <w:rPr>
          <w:rFonts w:ascii="Garamond" w:hAnsi="Garamond"/>
          <w:sz w:val="8"/>
          <w:szCs w:val="8"/>
        </w:rPr>
      </w:pPr>
    </w:p>
    <w:p w14:paraId="36AE0D79" w14:textId="77777777" w:rsidR="00F66CFF" w:rsidRPr="00381F61" w:rsidRDefault="005F2BEC" w:rsidP="005F2BEC">
      <w:pPr>
        <w:pStyle w:val="ListParagraph"/>
        <w:widowControl w:val="0"/>
        <w:numPr>
          <w:ilvl w:val="1"/>
          <w:numId w:val="65"/>
        </w:numPr>
        <w:tabs>
          <w:tab w:val="left" w:pos="1906"/>
          <w:tab w:val="left" w:pos="1907"/>
        </w:tabs>
        <w:autoSpaceDE w:val="0"/>
        <w:autoSpaceDN w:val="0"/>
        <w:ind w:left="993" w:right="-52" w:hanging="284"/>
        <w:contextualSpacing w:val="0"/>
        <w:jc w:val="both"/>
        <w:rPr>
          <w:rFonts w:ascii="Garamond" w:hAnsi="Garamond"/>
          <w:color w:val="1A1A1A"/>
        </w:rPr>
      </w:pPr>
      <w:r w:rsidRPr="00381F61">
        <w:rPr>
          <w:rFonts w:ascii="Garamond" w:hAnsi="Garamond"/>
          <w:b/>
          <w:color w:val="1A1A1A"/>
        </w:rPr>
        <w:t>The request:</w:t>
      </w:r>
    </w:p>
    <w:p w14:paraId="2D4C462D" w14:textId="77777777" w:rsidR="00F66CFF" w:rsidRPr="00381F61" w:rsidRDefault="00F66CFF" w:rsidP="00F66CFF">
      <w:pPr>
        <w:pStyle w:val="ListParagraph"/>
        <w:widowControl w:val="0"/>
        <w:tabs>
          <w:tab w:val="left" w:pos="1906"/>
          <w:tab w:val="left" w:pos="1907"/>
        </w:tabs>
        <w:autoSpaceDE w:val="0"/>
        <w:autoSpaceDN w:val="0"/>
        <w:ind w:left="993" w:right="-52"/>
        <w:contextualSpacing w:val="0"/>
        <w:jc w:val="both"/>
        <w:rPr>
          <w:rFonts w:ascii="Garamond" w:hAnsi="Garamond"/>
          <w:color w:val="1A1A1A"/>
          <w:sz w:val="8"/>
          <w:szCs w:val="8"/>
        </w:rPr>
      </w:pPr>
    </w:p>
    <w:p w14:paraId="4B904EC2" w14:textId="4E47A330" w:rsidR="005F2BEC" w:rsidRPr="00381F61" w:rsidRDefault="005F2BEC" w:rsidP="00891E0F">
      <w:pPr>
        <w:pStyle w:val="ListParagraph"/>
        <w:widowControl w:val="0"/>
        <w:tabs>
          <w:tab w:val="left" w:pos="1906"/>
          <w:tab w:val="left" w:pos="1907"/>
        </w:tabs>
        <w:autoSpaceDE w:val="0"/>
        <w:autoSpaceDN w:val="0"/>
        <w:ind w:left="993" w:right="-52"/>
        <w:contextualSpacing w:val="0"/>
        <w:jc w:val="both"/>
        <w:rPr>
          <w:rFonts w:ascii="Garamond" w:hAnsi="Garamond"/>
          <w:color w:val="1A1A1A"/>
        </w:rPr>
      </w:pPr>
      <w:r w:rsidRPr="00381F61">
        <w:rPr>
          <w:rFonts w:ascii="Garamond" w:hAnsi="Garamond"/>
          <w:color w:val="1A1A1A"/>
          <w:sz w:val="22"/>
          <w:szCs w:val="22"/>
        </w:rPr>
        <w:t>“</w:t>
      </w:r>
      <w:r w:rsidR="004A3332" w:rsidRPr="00381F61">
        <w:rPr>
          <w:rFonts w:ascii="Garamond" w:hAnsi="Garamond"/>
          <w:color w:val="1A1A1A"/>
          <w:sz w:val="22"/>
          <w:szCs w:val="22"/>
        </w:rPr>
        <w:t>The impact that fees may have on KiwiSaver</w:t>
      </w:r>
      <w:r w:rsidR="004A3332" w:rsidRPr="00381F61">
        <w:rPr>
          <w:rFonts w:ascii="Garamond" w:hAnsi="Garamond"/>
          <w:color w:val="1A1A1A"/>
          <w:spacing w:val="36"/>
          <w:sz w:val="22"/>
          <w:szCs w:val="22"/>
        </w:rPr>
        <w:t xml:space="preserve"> </w:t>
      </w:r>
      <w:r w:rsidR="004A3332" w:rsidRPr="00381F61">
        <w:rPr>
          <w:rFonts w:ascii="Garamond" w:hAnsi="Garamond"/>
          <w:color w:val="1A1A1A"/>
          <w:sz w:val="22"/>
          <w:szCs w:val="22"/>
        </w:rPr>
        <w:t>balances.</w:t>
      </w:r>
      <w:r w:rsidRPr="00381F61">
        <w:rPr>
          <w:rFonts w:ascii="Garamond" w:hAnsi="Garamond"/>
          <w:color w:val="1A1A1A"/>
          <w:sz w:val="22"/>
          <w:szCs w:val="22"/>
        </w:rPr>
        <w:t>”</w:t>
      </w:r>
    </w:p>
    <w:p w14:paraId="2D02ABE7" w14:textId="5A898812" w:rsidR="005F2BEC" w:rsidRPr="00381F61" w:rsidRDefault="005F2BEC" w:rsidP="005F2BEC">
      <w:pPr>
        <w:pStyle w:val="ListParagraph"/>
        <w:widowControl w:val="0"/>
        <w:tabs>
          <w:tab w:val="left" w:pos="1906"/>
          <w:tab w:val="left" w:pos="1907"/>
        </w:tabs>
        <w:autoSpaceDE w:val="0"/>
        <w:autoSpaceDN w:val="0"/>
        <w:ind w:left="993" w:right="-52"/>
        <w:contextualSpacing w:val="0"/>
        <w:jc w:val="both"/>
        <w:rPr>
          <w:rFonts w:ascii="Garamond" w:hAnsi="Garamond"/>
          <w:b/>
          <w:color w:val="1A1A1A"/>
          <w:sz w:val="8"/>
          <w:szCs w:val="8"/>
        </w:rPr>
      </w:pPr>
    </w:p>
    <w:p w14:paraId="2A5537A3" w14:textId="1B3D44C0" w:rsidR="005E10F7" w:rsidRPr="00381F61" w:rsidRDefault="005F2BEC" w:rsidP="00891E0F">
      <w:pPr>
        <w:widowControl w:val="0"/>
        <w:tabs>
          <w:tab w:val="left" w:pos="1906"/>
          <w:tab w:val="left" w:pos="1907"/>
        </w:tabs>
        <w:autoSpaceDE w:val="0"/>
        <w:autoSpaceDN w:val="0"/>
        <w:ind w:left="993" w:right="-52"/>
        <w:jc w:val="both"/>
        <w:rPr>
          <w:rFonts w:ascii="Garamond" w:hAnsi="Garamond"/>
          <w:color w:val="1A1A1A"/>
        </w:rPr>
      </w:pPr>
      <w:r w:rsidRPr="00381F61">
        <w:rPr>
          <w:rFonts w:ascii="Garamond" w:hAnsi="Garamond"/>
          <w:b/>
          <w:color w:val="1A1A1A"/>
        </w:rPr>
        <w:t>Our initial comments:</w:t>
      </w:r>
      <w:r w:rsidRPr="00381F61">
        <w:rPr>
          <w:rFonts w:ascii="Garamond" w:hAnsi="Garamond"/>
          <w:color w:val="1A1A1A"/>
        </w:rPr>
        <w:t xml:space="preserve"> It is difficult to see what the 2019 Review might reveal as a result of this particular request.  Everyone knows that fees have a significant impact over the long term.  Whether the “public’s perception and understanding”</w:t>
      </w:r>
      <w:r w:rsidR="005E10F7" w:rsidRPr="00381F61">
        <w:rPr>
          <w:rFonts w:ascii="Garamond" w:hAnsi="Garamond"/>
          <w:color w:val="1A1A1A"/>
        </w:rPr>
        <w:t xml:space="preserve"> of that obvious detail is complete will not tell us any more than the results</w:t>
      </w:r>
      <w:r w:rsidR="000372D0" w:rsidRPr="00381F61">
        <w:rPr>
          <w:rFonts w:ascii="Garamond" w:hAnsi="Garamond"/>
          <w:color w:val="1A1A1A"/>
        </w:rPr>
        <w:t xml:space="preserve"> </w:t>
      </w:r>
      <w:r w:rsidR="005E10F7" w:rsidRPr="00381F61">
        <w:rPr>
          <w:rFonts w:ascii="Garamond" w:hAnsi="Garamond"/>
          <w:color w:val="1A1A1A"/>
        </w:rPr>
        <w:t>of the “information” obtained from answering point 4a.</w:t>
      </w:r>
    </w:p>
    <w:p w14:paraId="0A216FF0" w14:textId="77A728FA" w:rsidR="004A3332" w:rsidRPr="00381F61" w:rsidRDefault="004A3332" w:rsidP="00891E0F">
      <w:pPr>
        <w:pStyle w:val="ListParagraph"/>
        <w:widowControl w:val="0"/>
        <w:tabs>
          <w:tab w:val="left" w:pos="1906"/>
          <w:tab w:val="left" w:pos="1907"/>
        </w:tabs>
        <w:autoSpaceDE w:val="0"/>
        <w:autoSpaceDN w:val="0"/>
        <w:ind w:left="993" w:right="-52"/>
        <w:contextualSpacing w:val="0"/>
        <w:jc w:val="both"/>
        <w:rPr>
          <w:rFonts w:ascii="Garamond" w:hAnsi="Garamond"/>
          <w:sz w:val="8"/>
          <w:szCs w:val="8"/>
        </w:rPr>
      </w:pPr>
    </w:p>
    <w:p w14:paraId="6C774987" w14:textId="77777777" w:rsidR="00F66CFF" w:rsidRPr="00381F61" w:rsidRDefault="005E10F7">
      <w:pPr>
        <w:pStyle w:val="ListParagraph"/>
        <w:widowControl w:val="0"/>
        <w:numPr>
          <w:ilvl w:val="0"/>
          <w:numId w:val="65"/>
        </w:numPr>
        <w:tabs>
          <w:tab w:val="left" w:pos="1185"/>
          <w:tab w:val="left" w:pos="1186"/>
        </w:tabs>
        <w:autoSpaceDE w:val="0"/>
        <w:autoSpaceDN w:val="0"/>
        <w:ind w:left="709" w:right="-52" w:hanging="284"/>
        <w:contextualSpacing w:val="0"/>
        <w:jc w:val="both"/>
        <w:rPr>
          <w:rFonts w:ascii="Garamond" w:hAnsi="Garamond"/>
          <w:color w:val="1A1A1A"/>
          <w:sz w:val="22"/>
          <w:szCs w:val="22"/>
        </w:rPr>
      </w:pPr>
      <w:r w:rsidRPr="00381F61">
        <w:rPr>
          <w:rFonts w:ascii="Garamond" w:hAnsi="Garamond"/>
          <w:b/>
          <w:color w:val="1A1A1A"/>
        </w:rPr>
        <w:t>The request:</w:t>
      </w:r>
    </w:p>
    <w:p w14:paraId="15A90BF3" w14:textId="77777777" w:rsidR="00F66CFF" w:rsidRPr="00381F61" w:rsidRDefault="00F66CFF" w:rsidP="00F66CFF">
      <w:pPr>
        <w:pStyle w:val="ListParagraph"/>
        <w:widowControl w:val="0"/>
        <w:tabs>
          <w:tab w:val="left" w:pos="1185"/>
          <w:tab w:val="left" w:pos="1186"/>
        </w:tabs>
        <w:autoSpaceDE w:val="0"/>
        <w:autoSpaceDN w:val="0"/>
        <w:ind w:left="709" w:right="-52"/>
        <w:contextualSpacing w:val="0"/>
        <w:jc w:val="both"/>
        <w:rPr>
          <w:rFonts w:ascii="Garamond" w:hAnsi="Garamond"/>
          <w:color w:val="1A1A1A"/>
          <w:sz w:val="8"/>
          <w:szCs w:val="8"/>
        </w:rPr>
      </w:pPr>
    </w:p>
    <w:p w14:paraId="3FCFED8E" w14:textId="374CBADA" w:rsidR="004A3332" w:rsidRPr="00381F61" w:rsidRDefault="005E10F7" w:rsidP="00891E0F">
      <w:pPr>
        <w:pStyle w:val="ListParagraph"/>
        <w:widowControl w:val="0"/>
        <w:tabs>
          <w:tab w:val="left" w:pos="1185"/>
          <w:tab w:val="left" w:pos="1186"/>
        </w:tabs>
        <w:autoSpaceDE w:val="0"/>
        <w:autoSpaceDN w:val="0"/>
        <w:ind w:left="709" w:right="-52"/>
        <w:contextualSpacing w:val="0"/>
        <w:jc w:val="both"/>
        <w:rPr>
          <w:rFonts w:ascii="Garamond" w:hAnsi="Garamond"/>
          <w:color w:val="1A1A1A"/>
          <w:sz w:val="22"/>
          <w:szCs w:val="22"/>
        </w:rPr>
      </w:pPr>
      <w:r w:rsidRPr="00381F61">
        <w:rPr>
          <w:rFonts w:ascii="Garamond" w:hAnsi="Garamond"/>
          <w:color w:val="1A1A1A"/>
          <w:sz w:val="22"/>
          <w:szCs w:val="22"/>
        </w:rPr>
        <w:t>“</w:t>
      </w:r>
      <w:r w:rsidR="004A3332" w:rsidRPr="00381F61">
        <w:rPr>
          <w:rFonts w:ascii="Garamond" w:hAnsi="Garamond"/>
          <w:color w:val="1A1A1A"/>
          <w:sz w:val="22"/>
          <w:szCs w:val="22"/>
        </w:rPr>
        <w:t>Information about the public’s perception and understanding of ethical investments in KiwiSaver,</w:t>
      </w:r>
      <w:r w:rsidR="004A3332" w:rsidRPr="00381F61">
        <w:rPr>
          <w:rFonts w:ascii="Garamond" w:hAnsi="Garamond"/>
          <w:color w:val="1A1A1A"/>
          <w:spacing w:val="29"/>
          <w:sz w:val="22"/>
          <w:szCs w:val="22"/>
        </w:rPr>
        <w:t xml:space="preserve"> </w:t>
      </w:r>
      <w:r w:rsidR="004A3332" w:rsidRPr="00381F61">
        <w:rPr>
          <w:rFonts w:ascii="Garamond" w:hAnsi="Garamond"/>
          <w:color w:val="1A1A1A"/>
          <w:sz w:val="22"/>
          <w:szCs w:val="22"/>
        </w:rPr>
        <w:t>including:</w:t>
      </w:r>
    </w:p>
    <w:p w14:paraId="26D9303D" w14:textId="6E789710" w:rsidR="004A3332" w:rsidRPr="00381F61" w:rsidRDefault="004A3332">
      <w:pPr>
        <w:pStyle w:val="Heading1"/>
        <w:keepNext w:val="0"/>
        <w:widowControl w:val="0"/>
        <w:numPr>
          <w:ilvl w:val="1"/>
          <w:numId w:val="65"/>
        </w:numPr>
        <w:tabs>
          <w:tab w:val="left" w:pos="1909"/>
          <w:tab w:val="left" w:pos="1910"/>
        </w:tabs>
        <w:autoSpaceDE w:val="0"/>
        <w:autoSpaceDN w:val="0"/>
        <w:ind w:left="993" w:right="-52" w:hanging="284"/>
        <w:jc w:val="both"/>
        <w:rPr>
          <w:rFonts w:ascii="Garamond" w:hAnsi="Garamond"/>
          <w:b w:val="0"/>
          <w:color w:val="1A1A1A"/>
          <w:sz w:val="22"/>
          <w:szCs w:val="22"/>
        </w:rPr>
      </w:pPr>
      <w:r w:rsidRPr="00381F61">
        <w:rPr>
          <w:rFonts w:ascii="Garamond" w:hAnsi="Garamond"/>
          <w:b w:val="0"/>
          <w:color w:val="1A1A1A"/>
          <w:sz w:val="22"/>
          <w:szCs w:val="22"/>
        </w:rPr>
        <w:t>The kinds of investments that New Zealanders may want to see excluded by KiwiSaver providers;</w:t>
      </w:r>
      <w:r w:rsidRPr="00381F61">
        <w:rPr>
          <w:rFonts w:ascii="Garamond" w:hAnsi="Garamond"/>
          <w:b w:val="0"/>
          <w:color w:val="1A1A1A"/>
          <w:spacing w:val="6"/>
          <w:sz w:val="22"/>
          <w:szCs w:val="22"/>
        </w:rPr>
        <w:t xml:space="preserve"> </w:t>
      </w:r>
      <w:r w:rsidRPr="00381F61">
        <w:rPr>
          <w:rFonts w:ascii="Garamond" w:hAnsi="Garamond"/>
          <w:b w:val="0"/>
          <w:color w:val="1A1A1A"/>
          <w:sz w:val="22"/>
          <w:szCs w:val="22"/>
        </w:rPr>
        <w:t>and</w:t>
      </w:r>
    </w:p>
    <w:p w14:paraId="5EAEB39E" w14:textId="77777777" w:rsidR="005E10F7" w:rsidRPr="00381F61" w:rsidRDefault="005E10F7" w:rsidP="005E10F7">
      <w:pPr>
        <w:pStyle w:val="BodyText"/>
        <w:spacing w:after="0"/>
        <w:ind w:left="993" w:right="-52"/>
        <w:jc w:val="both"/>
        <w:rPr>
          <w:rFonts w:ascii="Garamond" w:hAnsi="Garamond"/>
          <w:sz w:val="8"/>
          <w:szCs w:val="8"/>
        </w:rPr>
      </w:pPr>
    </w:p>
    <w:p w14:paraId="5970A453" w14:textId="3D49CDDB" w:rsidR="004A3332" w:rsidRPr="00381F61" w:rsidRDefault="004A3332" w:rsidP="00891E0F">
      <w:pPr>
        <w:pStyle w:val="ListParagraph"/>
        <w:widowControl w:val="0"/>
        <w:numPr>
          <w:ilvl w:val="1"/>
          <w:numId w:val="65"/>
        </w:numPr>
        <w:tabs>
          <w:tab w:val="left" w:pos="1910"/>
          <w:tab w:val="left" w:pos="1911"/>
        </w:tabs>
        <w:autoSpaceDE w:val="0"/>
        <w:autoSpaceDN w:val="0"/>
        <w:ind w:left="993" w:right="-52" w:hanging="284"/>
        <w:contextualSpacing w:val="0"/>
        <w:jc w:val="both"/>
        <w:rPr>
          <w:rFonts w:ascii="Garamond" w:hAnsi="Garamond"/>
          <w:color w:val="1A1A1A"/>
        </w:rPr>
      </w:pPr>
      <w:r w:rsidRPr="00381F61">
        <w:rPr>
          <w:rFonts w:ascii="Garamond" w:hAnsi="Garamond"/>
          <w:color w:val="1A1A1A"/>
          <w:sz w:val="22"/>
          <w:szCs w:val="22"/>
        </w:rPr>
        <w:t>The range of KiwiSaver funds with an ethical investment</w:t>
      </w:r>
      <w:r w:rsidRPr="00381F61">
        <w:rPr>
          <w:rFonts w:ascii="Garamond" w:hAnsi="Garamond"/>
          <w:color w:val="1A1A1A"/>
          <w:spacing w:val="41"/>
          <w:sz w:val="22"/>
          <w:szCs w:val="22"/>
        </w:rPr>
        <w:t xml:space="preserve"> </w:t>
      </w:r>
      <w:r w:rsidRPr="00381F61">
        <w:rPr>
          <w:rFonts w:ascii="Garamond" w:hAnsi="Garamond"/>
          <w:color w:val="1A1A1A"/>
          <w:sz w:val="22"/>
          <w:szCs w:val="22"/>
        </w:rPr>
        <w:t>mandate.</w:t>
      </w:r>
      <w:r w:rsidR="005E10F7" w:rsidRPr="00381F61">
        <w:rPr>
          <w:rFonts w:ascii="Garamond" w:hAnsi="Garamond"/>
          <w:color w:val="1A1A1A"/>
          <w:sz w:val="22"/>
          <w:szCs w:val="22"/>
        </w:rPr>
        <w:t>”</w:t>
      </w:r>
    </w:p>
    <w:p w14:paraId="515CEC3A" w14:textId="2587B97C" w:rsidR="004A3332" w:rsidRPr="00381F61" w:rsidRDefault="004A3332">
      <w:pPr>
        <w:widowControl w:val="0"/>
        <w:tabs>
          <w:tab w:val="left" w:pos="1910"/>
          <w:tab w:val="left" w:pos="1911"/>
        </w:tabs>
        <w:autoSpaceDE w:val="0"/>
        <w:autoSpaceDN w:val="0"/>
        <w:ind w:left="993" w:right="-52"/>
        <w:jc w:val="both"/>
        <w:rPr>
          <w:rFonts w:ascii="Garamond" w:hAnsi="Garamond"/>
          <w:color w:val="1A1A1A"/>
          <w:sz w:val="8"/>
          <w:szCs w:val="8"/>
        </w:rPr>
      </w:pPr>
    </w:p>
    <w:p w14:paraId="4EE8719B" w14:textId="2DD0362F" w:rsidR="005E10F7" w:rsidRPr="00381F61" w:rsidRDefault="005E10F7" w:rsidP="000D69A5">
      <w:pPr>
        <w:ind w:left="993"/>
        <w:jc w:val="both"/>
        <w:rPr>
          <w:rFonts w:ascii="Garamond" w:hAnsi="Garamond"/>
        </w:rPr>
      </w:pPr>
      <w:r w:rsidRPr="00381F61">
        <w:rPr>
          <w:rFonts w:ascii="Garamond" w:hAnsi="Garamond"/>
          <w:b/>
        </w:rPr>
        <w:t>Our comments:</w:t>
      </w:r>
      <w:r w:rsidR="000D69A5" w:rsidRPr="00381F61">
        <w:rPr>
          <w:rFonts w:ascii="Garamond" w:hAnsi="Garamond"/>
          <w:b/>
        </w:rPr>
        <w:t xml:space="preserve"> </w:t>
      </w:r>
      <w:r w:rsidR="000D69A5" w:rsidRPr="00381F61">
        <w:rPr>
          <w:rFonts w:ascii="Garamond" w:hAnsi="Garamond"/>
        </w:rPr>
        <w:t xml:space="preserve">One of themes in this and </w:t>
      </w:r>
      <w:r w:rsidR="00F66CFF" w:rsidRPr="00381F61">
        <w:rPr>
          <w:rFonts w:ascii="Garamond" w:hAnsi="Garamond"/>
        </w:rPr>
        <w:t>our</w:t>
      </w:r>
      <w:r w:rsidR="000D69A5" w:rsidRPr="00381F61">
        <w:rPr>
          <w:rFonts w:ascii="Garamond" w:hAnsi="Garamond"/>
        </w:rPr>
        <w:t xml:space="preserve"> 2017 predecessor report is that asking people what they think about retirement saving issues (the ‘when?’, ‘how?’, ‘how much?’ type of question) is much less interesting than finding out what they actually do.  In this particular case,</w:t>
      </w:r>
      <w:r w:rsidR="00F61672" w:rsidRPr="00381F61">
        <w:rPr>
          <w:rFonts w:ascii="Garamond" w:hAnsi="Garamond"/>
        </w:rPr>
        <w:t xml:space="preserve"> (so-called ‘ethical investments’)</w:t>
      </w:r>
      <w:r w:rsidR="000D69A5" w:rsidRPr="00381F61">
        <w:rPr>
          <w:rFonts w:ascii="Garamond" w:hAnsi="Garamond"/>
        </w:rPr>
        <w:t xml:space="preserve"> public ‘perception’ is further complicated by differences in values: what amounts to one saver’s ‘unethical investment’ will almost certainly not be an issue for another saver.  Given that KiwiSaver funds are always ‘collective investment vehicles’, arriving at some form of collective agreement on what is ‘ethical’ and what is ‘unethical’ is virtually impossible.</w:t>
      </w:r>
    </w:p>
    <w:p w14:paraId="42832B1C" w14:textId="3D19BC52" w:rsidR="000D69A5" w:rsidRPr="00381F61" w:rsidRDefault="000D69A5" w:rsidP="000D69A5">
      <w:pPr>
        <w:ind w:left="993"/>
        <w:jc w:val="both"/>
        <w:rPr>
          <w:rFonts w:ascii="Garamond" w:hAnsi="Garamond"/>
          <w:sz w:val="8"/>
          <w:szCs w:val="8"/>
        </w:rPr>
      </w:pPr>
    </w:p>
    <w:p w14:paraId="1F5A65E4" w14:textId="27BB8144" w:rsidR="000D69A5" w:rsidRPr="00381F61" w:rsidRDefault="000D69A5" w:rsidP="000D69A5">
      <w:pPr>
        <w:ind w:left="993"/>
        <w:jc w:val="both"/>
        <w:rPr>
          <w:rFonts w:ascii="Garamond" w:hAnsi="Garamond"/>
        </w:rPr>
      </w:pPr>
      <w:r w:rsidRPr="00381F61">
        <w:rPr>
          <w:rFonts w:ascii="Garamond" w:hAnsi="Garamond"/>
        </w:rPr>
        <w:t>Much has been written on this topic</w:t>
      </w:r>
      <w:r w:rsidR="008E7E4D" w:rsidRPr="00381F61">
        <w:rPr>
          <w:rFonts w:ascii="Garamond" w:hAnsi="Garamond"/>
        </w:rPr>
        <w:t xml:space="preserve"> – </w:t>
      </w:r>
      <w:hyperlink r:id="rId12" w:history="1">
        <w:r w:rsidR="008E7E4D" w:rsidRPr="00381F61">
          <w:rPr>
            <w:rStyle w:val="Hyperlink"/>
            <w:rFonts w:ascii="Garamond" w:hAnsi="Garamond"/>
          </w:rPr>
          <w:t>here</w:t>
        </w:r>
      </w:hyperlink>
      <w:r w:rsidR="008E7E4D" w:rsidRPr="00381F61">
        <w:rPr>
          <w:rStyle w:val="FootnoteReference"/>
          <w:rFonts w:ascii="Garamond" w:hAnsi="Garamond"/>
        </w:rPr>
        <w:footnoteReference w:id="4"/>
      </w:r>
      <w:r w:rsidR="008E7E4D" w:rsidRPr="00381F61">
        <w:rPr>
          <w:rFonts w:ascii="Garamond" w:hAnsi="Garamond"/>
        </w:rPr>
        <w:t xml:space="preserve">, for example, is a proponent of ‘ethical investments’ with a suggested requirement that KiwiSaver’s ‘default funds’ should be </w:t>
      </w:r>
      <w:r w:rsidR="008E7E4D" w:rsidRPr="00381F61">
        <w:rPr>
          <w:rFonts w:ascii="Garamond" w:hAnsi="Garamond"/>
        </w:rPr>
        <w:lastRenderedPageBreak/>
        <w:t xml:space="preserve">forced to invest in ‘socially responsible investments’ and </w:t>
      </w:r>
      <w:hyperlink r:id="rId13" w:history="1">
        <w:r w:rsidR="008E7E4D" w:rsidRPr="00381F61">
          <w:rPr>
            <w:rStyle w:val="Hyperlink"/>
            <w:rFonts w:ascii="Garamond" w:hAnsi="Garamond"/>
          </w:rPr>
          <w:t>here</w:t>
        </w:r>
      </w:hyperlink>
      <w:r w:rsidR="008E7E4D" w:rsidRPr="00381F61">
        <w:rPr>
          <w:rStyle w:val="FootnoteReference"/>
          <w:rFonts w:ascii="Garamond" w:hAnsi="Garamond"/>
        </w:rPr>
        <w:footnoteReference w:id="5"/>
      </w:r>
      <w:r w:rsidR="008E7E4D" w:rsidRPr="00381F61">
        <w:rPr>
          <w:rFonts w:ascii="Garamond" w:hAnsi="Garamond"/>
        </w:rPr>
        <w:t xml:space="preserve"> is an answer</w:t>
      </w:r>
      <w:r w:rsidR="0049532F" w:rsidRPr="00381F61">
        <w:rPr>
          <w:rFonts w:ascii="Garamond" w:hAnsi="Garamond"/>
        </w:rPr>
        <w:t xml:space="preserve"> (or series of answers)</w:t>
      </w:r>
      <w:r w:rsidR="008E7E4D" w:rsidRPr="00381F61">
        <w:rPr>
          <w:rFonts w:ascii="Garamond" w:hAnsi="Garamond"/>
        </w:rPr>
        <w:t xml:space="preserve">.  Even agreeing on a definition of ‘ethical investments’ or alternative descriptions </w:t>
      </w:r>
      <w:r w:rsidR="00F61672" w:rsidRPr="00381F61">
        <w:rPr>
          <w:rFonts w:ascii="Garamond" w:hAnsi="Garamond"/>
        </w:rPr>
        <w:t>like ‘socially responsible investing’, ‘sustainable’, ‘socially conscious’ or ‘ESG’ (environmental, social and governance’</w:t>
      </w:r>
      <w:r w:rsidR="00F66CFF" w:rsidRPr="00381F61">
        <w:rPr>
          <w:rFonts w:ascii="Garamond" w:hAnsi="Garamond"/>
        </w:rPr>
        <w:t>)</w:t>
      </w:r>
      <w:r w:rsidR="00F61672" w:rsidRPr="00381F61">
        <w:rPr>
          <w:rFonts w:ascii="Garamond" w:hAnsi="Garamond"/>
        </w:rPr>
        <w:t xml:space="preserve"> seems too difficult</w:t>
      </w:r>
      <w:r w:rsidR="00917EFB" w:rsidRPr="00381F61">
        <w:rPr>
          <w:rFonts w:ascii="Garamond" w:hAnsi="Garamond"/>
        </w:rPr>
        <w:t xml:space="preserve"> with too many boundary issues.</w:t>
      </w:r>
    </w:p>
    <w:p w14:paraId="24BB358F" w14:textId="38DA937A" w:rsidR="00F61672" w:rsidRPr="00381F61" w:rsidRDefault="00F61672" w:rsidP="000D69A5">
      <w:pPr>
        <w:ind w:left="993"/>
        <w:jc w:val="both"/>
        <w:rPr>
          <w:rFonts w:ascii="Garamond" w:hAnsi="Garamond"/>
          <w:sz w:val="8"/>
          <w:szCs w:val="8"/>
        </w:rPr>
      </w:pPr>
    </w:p>
    <w:p w14:paraId="34587501" w14:textId="4FB19ABA" w:rsidR="00F61672" w:rsidRPr="00381F61" w:rsidRDefault="00F61672" w:rsidP="00891E0F">
      <w:pPr>
        <w:ind w:left="993"/>
        <w:jc w:val="both"/>
        <w:rPr>
          <w:rFonts w:ascii="Garamond" w:hAnsi="Garamond"/>
        </w:rPr>
      </w:pPr>
      <w:r w:rsidRPr="00381F61">
        <w:rPr>
          <w:rFonts w:ascii="Garamond" w:hAnsi="Garamond"/>
        </w:rPr>
        <w:t xml:space="preserve">We think the 2019 Review will waste precious time and resources on this section of </w:t>
      </w:r>
      <w:r w:rsidR="00FB4DF7" w:rsidRPr="00381F61">
        <w:rPr>
          <w:rFonts w:ascii="Garamond" w:hAnsi="Garamond"/>
        </w:rPr>
        <w:t>its</w:t>
      </w:r>
      <w:r w:rsidRPr="00381F61">
        <w:rPr>
          <w:rFonts w:ascii="Garamond" w:hAnsi="Garamond"/>
        </w:rPr>
        <w:t xml:space="preserve"> Terms of Reference.  Finding out the “public’s perception and understanding” of this issue will </w:t>
      </w:r>
      <w:r w:rsidR="00145709" w:rsidRPr="00381F61">
        <w:rPr>
          <w:rFonts w:ascii="Garamond" w:hAnsi="Garamond"/>
        </w:rPr>
        <w:t>result in</w:t>
      </w:r>
      <w:r w:rsidRPr="00381F61">
        <w:rPr>
          <w:rFonts w:ascii="Garamond" w:hAnsi="Garamond"/>
        </w:rPr>
        <w:t xml:space="preserve"> pointless virtue-signalling.</w:t>
      </w:r>
      <w:r w:rsidR="00323DD3" w:rsidRPr="00381F61">
        <w:rPr>
          <w:rFonts w:ascii="Garamond" w:hAnsi="Garamond"/>
        </w:rPr>
        <w:t xml:space="preserve">  We think it would be</w:t>
      </w:r>
      <w:r w:rsidR="00A64EAC" w:rsidRPr="00381F61">
        <w:rPr>
          <w:rFonts w:ascii="Garamond" w:hAnsi="Garamond"/>
        </w:rPr>
        <w:t xml:space="preserve"> </w:t>
      </w:r>
      <w:r w:rsidR="00323DD3" w:rsidRPr="00381F61">
        <w:rPr>
          <w:rFonts w:ascii="Garamond" w:hAnsi="Garamond"/>
        </w:rPr>
        <w:t xml:space="preserve">more </w:t>
      </w:r>
      <w:r w:rsidR="00A64EAC" w:rsidRPr="00381F61">
        <w:rPr>
          <w:rFonts w:ascii="Garamond" w:hAnsi="Garamond"/>
        </w:rPr>
        <w:t xml:space="preserve">productive for the 2019 Review to concentrate on the disclosure questions we identify in Section 18 (Disclosure - both </w:t>
      </w:r>
      <w:r w:rsidR="0049532F" w:rsidRPr="00381F61">
        <w:rPr>
          <w:rFonts w:ascii="Garamond" w:hAnsi="Garamond"/>
        </w:rPr>
        <w:t>initial and ongoing).</w:t>
      </w:r>
    </w:p>
    <w:p w14:paraId="62E38EC1" w14:textId="77777777" w:rsidR="005E10F7" w:rsidRPr="00381F61" w:rsidRDefault="005E10F7" w:rsidP="00891E0F">
      <w:pPr>
        <w:widowControl w:val="0"/>
        <w:tabs>
          <w:tab w:val="left" w:pos="1910"/>
          <w:tab w:val="left" w:pos="1911"/>
        </w:tabs>
        <w:autoSpaceDE w:val="0"/>
        <w:autoSpaceDN w:val="0"/>
        <w:ind w:left="993" w:right="-52"/>
        <w:jc w:val="both"/>
        <w:rPr>
          <w:rFonts w:ascii="Garamond" w:hAnsi="Garamond"/>
          <w:color w:val="1A1A1A"/>
          <w:sz w:val="8"/>
          <w:szCs w:val="8"/>
        </w:rPr>
      </w:pPr>
    </w:p>
    <w:p w14:paraId="316CB5B6" w14:textId="77777777" w:rsidR="00F66CFF" w:rsidRPr="00381F61" w:rsidRDefault="00F61672">
      <w:pPr>
        <w:pStyle w:val="ListParagraph"/>
        <w:widowControl w:val="0"/>
        <w:numPr>
          <w:ilvl w:val="0"/>
          <w:numId w:val="65"/>
        </w:numPr>
        <w:tabs>
          <w:tab w:val="left" w:pos="1191"/>
          <w:tab w:val="left" w:pos="1192"/>
        </w:tabs>
        <w:autoSpaceDE w:val="0"/>
        <w:autoSpaceDN w:val="0"/>
        <w:ind w:left="709" w:right="-52" w:hanging="284"/>
        <w:contextualSpacing w:val="0"/>
        <w:jc w:val="both"/>
        <w:rPr>
          <w:rFonts w:ascii="Garamond" w:hAnsi="Garamond"/>
          <w:color w:val="1A1A1A"/>
        </w:rPr>
      </w:pPr>
      <w:r w:rsidRPr="00381F61">
        <w:rPr>
          <w:rFonts w:ascii="Garamond" w:hAnsi="Garamond"/>
          <w:b/>
          <w:color w:val="1A1A1A"/>
        </w:rPr>
        <w:t>The request:</w:t>
      </w:r>
    </w:p>
    <w:p w14:paraId="065A3FB3" w14:textId="77777777" w:rsidR="00F66CFF" w:rsidRPr="00381F61" w:rsidRDefault="00F66CFF" w:rsidP="00F66CFF">
      <w:pPr>
        <w:pStyle w:val="ListParagraph"/>
        <w:widowControl w:val="0"/>
        <w:tabs>
          <w:tab w:val="left" w:pos="1191"/>
          <w:tab w:val="left" w:pos="1192"/>
        </w:tabs>
        <w:autoSpaceDE w:val="0"/>
        <w:autoSpaceDN w:val="0"/>
        <w:ind w:left="709" w:right="-52"/>
        <w:contextualSpacing w:val="0"/>
        <w:jc w:val="both"/>
        <w:rPr>
          <w:rFonts w:ascii="Garamond" w:hAnsi="Garamond"/>
          <w:color w:val="1A1A1A"/>
          <w:sz w:val="8"/>
          <w:szCs w:val="8"/>
        </w:rPr>
      </w:pPr>
    </w:p>
    <w:p w14:paraId="74DF525F" w14:textId="3283D39F" w:rsidR="004A3332" w:rsidRPr="00381F61" w:rsidRDefault="00F61672" w:rsidP="00891E0F">
      <w:pPr>
        <w:pStyle w:val="ListParagraph"/>
        <w:widowControl w:val="0"/>
        <w:tabs>
          <w:tab w:val="left" w:pos="1191"/>
          <w:tab w:val="left" w:pos="1192"/>
        </w:tabs>
        <w:autoSpaceDE w:val="0"/>
        <w:autoSpaceDN w:val="0"/>
        <w:ind w:left="709" w:right="-52"/>
        <w:contextualSpacing w:val="0"/>
        <w:jc w:val="both"/>
        <w:rPr>
          <w:rFonts w:ascii="Garamond" w:hAnsi="Garamond"/>
          <w:color w:val="1A1A1A"/>
        </w:rPr>
      </w:pPr>
      <w:r w:rsidRPr="00381F61">
        <w:rPr>
          <w:rFonts w:ascii="Garamond" w:hAnsi="Garamond"/>
          <w:color w:val="1A1A1A"/>
          <w:sz w:val="22"/>
          <w:szCs w:val="22"/>
        </w:rPr>
        <w:t>“</w:t>
      </w:r>
      <w:r w:rsidR="004A3332" w:rsidRPr="00381F61">
        <w:rPr>
          <w:rFonts w:ascii="Garamond" w:hAnsi="Garamond"/>
          <w:color w:val="1A1A1A"/>
          <w:sz w:val="22"/>
          <w:szCs w:val="22"/>
        </w:rPr>
        <w:t>An assessment of the impact of current retirement income policies on current and future generations, with due consideration given to the fiscal sustainability of current New Zealand superannuation</w:t>
      </w:r>
      <w:r w:rsidR="004A3332" w:rsidRPr="00381F61">
        <w:rPr>
          <w:rFonts w:ascii="Garamond" w:hAnsi="Garamond"/>
          <w:color w:val="1A1A1A"/>
          <w:spacing w:val="30"/>
          <w:sz w:val="22"/>
          <w:szCs w:val="22"/>
        </w:rPr>
        <w:t xml:space="preserve"> </w:t>
      </w:r>
      <w:r w:rsidR="004A3332" w:rsidRPr="00381F61">
        <w:rPr>
          <w:rFonts w:ascii="Garamond" w:hAnsi="Garamond"/>
          <w:color w:val="1A1A1A"/>
          <w:sz w:val="22"/>
          <w:szCs w:val="22"/>
        </w:rPr>
        <w:t>settings.</w:t>
      </w:r>
      <w:r w:rsidRPr="00381F61">
        <w:rPr>
          <w:rFonts w:ascii="Garamond" w:hAnsi="Garamond"/>
          <w:color w:val="1A1A1A"/>
          <w:sz w:val="22"/>
          <w:szCs w:val="22"/>
        </w:rPr>
        <w:t>”</w:t>
      </w:r>
    </w:p>
    <w:p w14:paraId="374AA52A" w14:textId="45AEFD12" w:rsidR="00F61672" w:rsidRPr="00381F61" w:rsidRDefault="00F61672" w:rsidP="00F61672">
      <w:pPr>
        <w:pStyle w:val="ListParagraph"/>
        <w:widowControl w:val="0"/>
        <w:tabs>
          <w:tab w:val="left" w:pos="1191"/>
          <w:tab w:val="left" w:pos="1192"/>
        </w:tabs>
        <w:autoSpaceDE w:val="0"/>
        <w:autoSpaceDN w:val="0"/>
        <w:ind w:left="709" w:right="-52"/>
        <w:contextualSpacing w:val="0"/>
        <w:jc w:val="both"/>
        <w:rPr>
          <w:rFonts w:ascii="Garamond" w:hAnsi="Garamond"/>
          <w:b/>
          <w:color w:val="1A1A1A"/>
          <w:sz w:val="8"/>
          <w:szCs w:val="8"/>
        </w:rPr>
      </w:pPr>
    </w:p>
    <w:p w14:paraId="5D852537" w14:textId="0DA4A739" w:rsidR="00917EFB" w:rsidRPr="00381F61" w:rsidRDefault="00917EFB" w:rsidP="00F61672">
      <w:pPr>
        <w:pStyle w:val="ListParagraph"/>
        <w:widowControl w:val="0"/>
        <w:tabs>
          <w:tab w:val="left" w:pos="1191"/>
          <w:tab w:val="left" w:pos="1192"/>
        </w:tabs>
        <w:autoSpaceDE w:val="0"/>
        <w:autoSpaceDN w:val="0"/>
        <w:ind w:left="709" w:right="-52"/>
        <w:contextualSpacing w:val="0"/>
        <w:jc w:val="both"/>
        <w:rPr>
          <w:rFonts w:ascii="Garamond" w:hAnsi="Garamond"/>
          <w:color w:val="1A1A1A"/>
        </w:rPr>
      </w:pPr>
      <w:r w:rsidRPr="00381F61">
        <w:rPr>
          <w:rFonts w:ascii="Garamond" w:hAnsi="Garamond"/>
          <w:b/>
          <w:color w:val="1A1A1A"/>
        </w:rPr>
        <w:t>Our initial comments:</w:t>
      </w:r>
      <w:r w:rsidRPr="00381F61">
        <w:rPr>
          <w:rFonts w:ascii="Garamond" w:hAnsi="Garamond"/>
          <w:color w:val="1A1A1A"/>
        </w:rPr>
        <w:t xml:space="preserve"> We think this is a</w:t>
      </w:r>
      <w:r w:rsidR="003C01ED" w:rsidRPr="00381F61">
        <w:rPr>
          <w:rFonts w:ascii="Garamond" w:hAnsi="Garamond"/>
          <w:color w:val="1A1A1A"/>
        </w:rPr>
        <w:t xml:space="preserve"> v</w:t>
      </w:r>
      <w:r w:rsidRPr="00381F61">
        <w:rPr>
          <w:rFonts w:ascii="Garamond" w:hAnsi="Garamond"/>
          <w:color w:val="1A1A1A"/>
        </w:rPr>
        <w:t xml:space="preserve">ital topic that should be central </w:t>
      </w:r>
      <w:r w:rsidR="003776F5" w:rsidRPr="00381F61">
        <w:rPr>
          <w:rFonts w:ascii="Garamond" w:hAnsi="Garamond"/>
          <w:color w:val="1A1A1A"/>
        </w:rPr>
        <w:t>to</w:t>
      </w:r>
      <w:r w:rsidRPr="00381F61">
        <w:rPr>
          <w:rFonts w:ascii="Garamond" w:hAnsi="Garamond"/>
          <w:color w:val="1A1A1A"/>
        </w:rPr>
        <w:t xml:space="preserve"> any discussion of New Zealand’s retirement income framework.  We devote three sections of this report to associated issues</w:t>
      </w:r>
      <w:r w:rsidR="000372D0" w:rsidRPr="00381F61">
        <w:rPr>
          <w:rFonts w:ascii="Garamond" w:hAnsi="Garamond"/>
          <w:color w:val="1A1A1A"/>
        </w:rPr>
        <w:t>: s</w:t>
      </w:r>
      <w:r w:rsidR="003C01ED" w:rsidRPr="00381F61">
        <w:rPr>
          <w:rFonts w:ascii="Garamond" w:hAnsi="Garamond"/>
          <w:color w:val="1A1A1A"/>
        </w:rPr>
        <w:t xml:space="preserve">ee </w:t>
      </w:r>
      <w:r w:rsidRPr="00381F61">
        <w:rPr>
          <w:rFonts w:ascii="Garamond" w:hAnsi="Garamond"/>
          <w:color w:val="1A1A1A"/>
        </w:rPr>
        <w:t>Section 3 (On claims against the economy), Section 4 (How much will New Zealand Superannuation really cost?) and Section 5 (Is New Zealand Superannuation ‘sustainable’?).</w:t>
      </w:r>
    </w:p>
    <w:p w14:paraId="6CEEBA59" w14:textId="77777777" w:rsidR="00917EFB" w:rsidRPr="00381F61" w:rsidRDefault="00917EFB" w:rsidP="00F61672">
      <w:pPr>
        <w:pStyle w:val="ListParagraph"/>
        <w:widowControl w:val="0"/>
        <w:tabs>
          <w:tab w:val="left" w:pos="1191"/>
          <w:tab w:val="left" w:pos="1192"/>
        </w:tabs>
        <w:autoSpaceDE w:val="0"/>
        <w:autoSpaceDN w:val="0"/>
        <w:ind w:left="709" w:right="-52"/>
        <w:contextualSpacing w:val="0"/>
        <w:jc w:val="both"/>
        <w:rPr>
          <w:rFonts w:ascii="Garamond" w:hAnsi="Garamond"/>
          <w:color w:val="1A1A1A"/>
          <w:sz w:val="8"/>
          <w:szCs w:val="8"/>
        </w:rPr>
      </w:pPr>
    </w:p>
    <w:p w14:paraId="652F79F2" w14:textId="60E0A8C5" w:rsidR="00F61672" w:rsidRPr="00381F61" w:rsidRDefault="00917EFB" w:rsidP="00891E0F">
      <w:pPr>
        <w:pStyle w:val="ListParagraph"/>
        <w:widowControl w:val="0"/>
        <w:tabs>
          <w:tab w:val="left" w:pos="1191"/>
          <w:tab w:val="left" w:pos="1192"/>
        </w:tabs>
        <w:autoSpaceDE w:val="0"/>
        <w:autoSpaceDN w:val="0"/>
        <w:ind w:left="709" w:right="-52"/>
        <w:contextualSpacing w:val="0"/>
        <w:jc w:val="both"/>
        <w:rPr>
          <w:rFonts w:ascii="Garamond" w:hAnsi="Garamond"/>
          <w:color w:val="1A1A1A"/>
        </w:rPr>
      </w:pPr>
      <w:r w:rsidRPr="00381F61">
        <w:rPr>
          <w:rFonts w:ascii="Garamond" w:hAnsi="Garamond"/>
          <w:color w:val="1A1A1A"/>
        </w:rPr>
        <w:t xml:space="preserve">We conclude that New Zealand Superannuation is clearly ‘sustainable’ </w:t>
      </w:r>
      <w:r w:rsidR="003C01ED" w:rsidRPr="00381F61">
        <w:rPr>
          <w:rFonts w:ascii="Garamond" w:hAnsi="Garamond"/>
          <w:color w:val="1A1A1A"/>
        </w:rPr>
        <w:t xml:space="preserve">now and into the long-term </w:t>
      </w:r>
      <w:r w:rsidRPr="00381F61">
        <w:rPr>
          <w:rFonts w:ascii="Garamond" w:hAnsi="Garamond"/>
          <w:color w:val="1A1A1A"/>
        </w:rPr>
        <w:t>but</w:t>
      </w:r>
      <w:r w:rsidR="0049532F" w:rsidRPr="00381F61">
        <w:rPr>
          <w:rFonts w:ascii="Garamond" w:hAnsi="Garamond"/>
          <w:color w:val="1A1A1A"/>
        </w:rPr>
        <w:t xml:space="preserve"> that</w:t>
      </w:r>
      <w:r w:rsidRPr="00381F61">
        <w:rPr>
          <w:rFonts w:ascii="Garamond" w:hAnsi="Garamond"/>
          <w:color w:val="1A1A1A"/>
        </w:rPr>
        <w:t xml:space="preserve"> it should not continue unchanged.</w:t>
      </w:r>
      <w:r w:rsidR="003776F5" w:rsidRPr="00381F61">
        <w:rPr>
          <w:rFonts w:ascii="Garamond" w:hAnsi="Garamond"/>
          <w:color w:val="1A1A1A"/>
        </w:rPr>
        <w:t xml:space="preserve">  For example, we recommend that the New Zealand Superannuation Fund be dismantled – see Section 7 (The place of the New Zealand Superannuation Fund).  Also, we recommend the reform of section 70 of the Social Security Act 1964 – see Section 8 (Overseas’ pensions and section 70 deductions).  Much more needs to be done </w:t>
      </w:r>
      <w:r w:rsidR="003C01ED" w:rsidRPr="00381F61">
        <w:rPr>
          <w:rFonts w:ascii="Garamond" w:hAnsi="Garamond"/>
          <w:color w:val="1A1A1A"/>
        </w:rPr>
        <w:t>than those two particular things.</w:t>
      </w:r>
    </w:p>
    <w:p w14:paraId="3667F688" w14:textId="77777777" w:rsidR="004A3332" w:rsidRPr="00381F61" w:rsidRDefault="004A3332" w:rsidP="00891E0F">
      <w:pPr>
        <w:widowControl w:val="0"/>
        <w:tabs>
          <w:tab w:val="left" w:pos="1191"/>
          <w:tab w:val="left" w:pos="1192"/>
        </w:tabs>
        <w:autoSpaceDE w:val="0"/>
        <w:autoSpaceDN w:val="0"/>
        <w:ind w:left="709" w:right="-52"/>
        <w:jc w:val="both"/>
        <w:rPr>
          <w:rFonts w:ascii="Garamond" w:hAnsi="Garamond"/>
          <w:color w:val="1A1A1A"/>
          <w:sz w:val="8"/>
          <w:szCs w:val="8"/>
        </w:rPr>
      </w:pPr>
    </w:p>
    <w:p w14:paraId="62CBCA09" w14:textId="77777777" w:rsidR="00F66CFF" w:rsidRPr="00381F61" w:rsidRDefault="00917EFB">
      <w:pPr>
        <w:pStyle w:val="BodyText"/>
        <w:widowControl w:val="0"/>
        <w:numPr>
          <w:ilvl w:val="0"/>
          <w:numId w:val="65"/>
        </w:numPr>
        <w:tabs>
          <w:tab w:val="left" w:pos="1191"/>
          <w:tab w:val="left" w:pos="1192"/>
        </w:tabs>
        <w:autoSpaceDE w:val="0"/>
        <w:autoSpaceDN w:val="0"/>
        <w:spacing w:after="0"/>
        <w:ind w:left="709" w:right="-52" w:hanging="284"/>
        <w:jc w:val="both"/>
        <w:rPr>
          <w:rFonts w:ascii="Garamond" w:hAnsi="Garamond"/>
          <w:color w:val="1A1A1A"/>
        </w:rPr>
      </w:pPr>
      <w:r w:rsidRPr="00381F61">
        <w:rPr>
          <w:rFonts w:ascii="Garamond" w:hAnsi="Garamond"/>
          <w:b/>
          <w:color w:val="1A1A1A"/>
        </w:rPr>
        <w:t>The request:</w:t>
      </w:r>
    </w:p>
    <w:p w14:paraId="4859548C" w14:textId="77777777" w:rsidR="00F66CFF" w:rsidRPr="00381F61" w:rsidRDefault="00F66CFF" w:rsidP="00F66CFF">
      <w:pPr>
        <w:pStyle w:val="BodyText"/>
        <w:widowControl w:val="0"/>
        <w:tabs>
          <w:tab w:val="left" w:pos="1191"/>
          <w:tab w:val="left" w:pos="1192"/>
        </w:tabs>
        <w:autoSpaceDE w:val="0"/>
        <w:autoSpaceDN w:val="0"/>
        <w:spacing w:after="0"/>
        <w:ind w:left="709" w:right="-52"/>
        <w:jc w:val="both"/>
        <w:rPr>
          <w:rFonts w:ascii="Garamond" w:hAnsi="Garamond"/>
          <w:color w:val="1A1A1A"/>
          <w:sz w:val="8"/>
          <w:szCs w:val="8"/>
        </w:rPr>
      </w:pPr>
    </w:p>
    <w:p w14:paraId="4D698829" w14:textId="3F129E8D" w:rsidR="004A3332" w:rsidRPr="00381F61" w:rsidRDefault="00917EFB" w:rsidP="00891E0F">
      <w:pPr>
        <w:pStyle w:val="BodyText"/>
        <w:widowControl w:val="0"/>
        <w:tabs>
          <w:tab w:val="left" w:pos="1191"/>
          <w:tab w:val="left" w:pos="1192"/>
        </w:tabs>
        <w:autoSpaceDE w:val="0"/>
        <w:autoSpaceDN w:val="0"/>
        <w:spacing w:after="0"/>
        <w:ind w:left="709" w:right="-52"/>
        <w:jc w:val="both"/>
        <w:rPr>
          <w:rFonts w:ascii="Garamond" w:hAnsi="Garamond"/>
          <w:color w:val="1A1A1A"/>
        </w:rPr>
      </w:pPr>
      <w:r w:rsidRPr="00381F61">
        <w:rPr>
          <w:rFonts w:ascii="Garamond" w:hAnsi="Garamond"/>
          <w:color w:val="1A1A1A"/>
          <w:sz w:val="22"/>
          <w:szCs w:val="22"/>
        </w:rPr>
        <w:t>“</w:t>
      </w:r>
      <w:r w:rsidR="004A3332" w:rsidRPr="00381F61">
        <w:rPr>
          <w:rFonts w:ascii="Garamond" w:hAnsi="Garamond"/>
          <w:color w:val="1A1A1A"/>
          <w:w w:val="105"/>
          <w:sz w:val="22"/>
          <w:szCs w:val="22"/>
        </w:rPr>
        <w:t>Information about the public’s perception of the purpose and principles of</w:t>
      </w:r>
      <w:r w:rsidR="004A3332" w:rsidRPr="00381F61">
        <w:rPr>
          <w:rFonts w:ascii="Garamond" w:hAnsi="Garamond"/>
          <w:color w:val="1A1A1A"/>
          <w:spacing w:val="9"/>
          <w:w w:val="105"/>
          <w:sz w:val="22"/>
          <w:szCs w:val="22"/>
        </w:rPr>
        <w:t xml:space="preserve"> </w:t>
      </w:r>
      <w:r w:rsidR="004A3332" w:rsidRPr="00381F61">
        <w:rPr>
          <w:rFonts w:ascii="Garamond" w:hAnsi="Garamond"/>
          <w:color w:val="1A1A1A"/>
          <w:w w:val="105"/>
          <w:sz w:val="22"/>
          <w:szCs w:val="22"/>
        </w:rPr>
        <w:t>New Zealand superannuation.</w:t>
      </w:r>
      <w:r w:rsidRPr="00381F61">
        <w:rPr>
          <w:rFonts w:ascii="Garamond" w:hAnsi="Garamond"/>
          <w:color w:val="1A1A1A"/>
          <w:w w:val="105"/>
          <w:sz w:val="22"/>
          <w:szCs w:val="22"/>
        </w:rPr>
        <w:t>”</w:t>
      </w:r>
    </w:p>
    <w:p w14:paraId="461D1A63" w14:textId="77777777" w:rsidR="00917EFB" w:rsidRPr="00381F61" w:rsidRDefault="00917EFB" w:rsidP="00891E0F">
      <w:pPr>
        <w:widowControl w:val="0"/>
        <w:tabs>
          <w:tab w:val="left" w:pos="1191"/>
          <w:tab w:val="left" w:pos="1192"/>
        </w:tabs>
        <w:autoSpaceDE w:val="0"/>
        <w:autoSpaceDN w:val="0"/>
        <w:ind w:left="709" w:right="-52"/>
        <w:jc w:val="both"/>
        <w:rPr>
          <w:rFonts w:ascii="Garamond" w:hAnsi="Garamond"/>
          <w:b/>
          <w:color w:val="1A1A1A"/>
          <w:sz w:val="8"/>
          <w:szCs w:val="8"/>
        </w:rPr>
      </w:pPr>
    </w:p>
    <w:p w14:paraId="5413AD05" w14:textId="529E1DFB" w:rsidR="0049532F" w:rsidRPr="00381F61" w:rsidRDefault="00917EFB" w:rsidP="00917EFB">
      <w:pPr>
        <w:pStyle w:val="BodyText"/>
        <w:widowControl w:val="0"/>
        <w:tabs>
          <w:tab w:val="left" w:pos="1191"/>
          <w:tab w:val="left" w:pos="1192"/>
        </w:tabs>
        <w:autoSpaceDE w:val="0"/>
        <w:autoSpaceDN w:val="0"/>
        <w:spacing w:after="0"/>
        <w:ind w:left="709" w:right="-52"/>
        <w:jc w:val="both"/>
        <w:rPr>
          <w:rFonts w:ascii="Garamond" w:hAnsi="Garamond"/>
          <w:color w:val="1A1A1A"/>
        </w:rPr>
      </w:pPr>
      <w:r w:rsidRPr="00381F61">
        <w:rPr>
          <w:rFonts w:ascii="Garamond" w:hAnsi="Garamond"/>
          <w:b/>
          <w:color w:val="1A1A1A"/>
        </w:rPr>
        <w:t>Our initial comments:</w:t>
      </w:r>
      <w:r w:rsidR="00A64EAC" w:rsidRPr="00381F61">
        <w:rPr>
          <w:rFonts w:ascii="Garamond" w:hAnsi="Garamond"/>
          <w:color w:val="1A1A1A"/>
        </w:rPr>
        <w:t xml:space="preserve"> Again, as with item 5 above, the “public’s perception” is a slippery concept about which we suspect the inevitable opinion survey will reveal little useful</w:t>
      </w:r>
      <w:r w:rsidR="001A189D" w:rsidRPr="00381F61">
        <w:rPr>
          <w:rFonts w:ascii="Garamond" w:hAnsi="Garamond"/>
          <w:color w:val="1A1A1A"/>
        </w:rPr>
        <w:t xml:space="preserve"> information</w:t>
      </w:r>
      <w:r w:rsidR="00A64EAC" w:rsidRPr="00381F61">
        <w:rPr>
          <w:rFonts w:ascii="Garamond" w:hAnsi="Garamond"/>
          <w:color w:val="1A1A1A"/>
        </w:rPr>
        <w:t xml:space="preserve">.  </w:t>
      </w:r>
      <w:r w:rsidR="0049532F" w:rsidRPr="00381F61">
        <w:rPr>
          <w:rFonts w:ascii="Garamond" w:hAnsi="Garamond"/>
          <w:color w:val="1A1A1A"/>
        </w:rPr>
        <w:t xml:space="preserve">Finding an opinion poll audience that can even explain the details of the current </w:t>
      </w:r>
      <w:r w:rsidR="00FB4DF7" w:rsidRPr="00381F61">
        <w:rPr>
          <w:rFonts w:ascii="Garamond" w:hAnsi="Garamond"/>
          <w:color w:val="1A1A1A"/>
        </w:rPr>
        <w:t>NZS pension</w:t>
      </w:r>
      <w:r w:rsidR="0049532F" w:rsidRPr="00381F61">
        <w:rPr>
          <w:rFonts w:ascii="Garamond" w:hAnsi="Garamond"/>
          <w:color w:val="1A1A1A"/>
        </w:rPr>
        <w:t xml:space="preserve"> will be an initial challenge.</w:t>
      </w:r>
    </w:p>
    <w:p w14:paraId="1508F9E4" w14:textId="77777777" w:rsidR="0049532F" w:rsidRPr="00381F61" w:rsidRDefault="0049532F" w:rsidP="00917EFB">
      <w:pPr>
        <w:pStyle w:val="BodyText"/>
        <w:widowControl w:val="0"/>
        <w:tabs>
          <w:tab w:val="left" w:pos="1191"/>
          <w:tab w:val="left" w:pos="1192"/>
        </w:tabs>
        <w:autoSpaceDE w:val="0"/>
        <w:autoSpaceDN w:val="0"/>
        <w:spacing w:after="0"/>
        <w:ind w:left="709" w:right="-52"/>
        <w:jc w:val="both"/>
        <w:rPr>
          <w:rFonts w:ascii="Garamond" w:hAnsi="Garamond"/>
          <w:color w:val="1A1A1A"/>
          <w:sz w:val="8"/>
          <w:szCs w:val="8"/>
        </w:rPr>
      </w:pPr>
    </w:p>
    <w:p w14:paraId="6F23A349" w14:textId="0218C1AD" w:rsidR="003C01ED" w:rsidRPr="00381F61" w:rsidRDefault="00A64EAC" w:rsidP="00917EFB">
      <w:pPr>
        <w:pStyle w:val="BodyText"/>
        <w:widowControl w:val="0"/>
        <w:tabs>
          <w:tab w:val="left" w:pos="1191"/>
          <w:tab w:val="left" w:pos="1192"/>
        </w:tabs>
        <w:autoSpaceDE w:val="0"/>
        <w:autoSpaceDN w:val="0"/>
        <w:spacing w:after="0"/>
        <w:ind w:left="709" w:right="-52"/>
        <w:jc w:val="both"/>
        <w:rPr>
          <w:rFonts w:ascii="Garamond" w:hAnsi="Garamond"/>
          <w:color w:val="1A1A1A"/>
        </w:rPr>
      </w:pPr>
      <w:r w:rsidRPr="00381F61">
        <w:rPr>
          <w:rFonts w:ascii="Garamond" w:hAnsi="Garamond"/>
          <w:color w:val="1A1A1A"/>
        </w:rPr>
        <w:t xml:space="preserve">Having said that, we agree that consensus about the size and shape of New Zealand Superannuation (political, institutional and public) is an essential component </w:t>
      </w:r>
      <w:r w:rsidR="003C01ED" w:rsidRPr="00381F61">
        <w:rPr>
          <w:rFonts w:ascii="Garamond" w:hAnsi="Garamond"/>
          <w:color w:val="1A1A1A"/>
        </w:rPr>
        <w:t>of any re-shaping of the state pension.  However, that should be an outcome of the research-led debate that we suggest in Section 6 (Framing a debate on every aspect of the NZS benefit design)</w:t>
      </w:r>
      <w:r w:rsidR="001A189D" w:rsidRPr="00381F61">
        <w:rPr>
          <w:rFonts w:ascii="Garamond" w:hAnsi="Garamond"/>
          <w:color w:val="1A1A1A"/>
        </w:rPr>
        <w:t>, rather than a</w:t>
      </w:r>
      <w:r w:rsidR="00FB4DF7" w:rsidRPr="00381F61">
        <w:rPr>
          <w:rFonts w:ascii="Garamond" w:hAnsi="Garamond"/>
          <w:color w:val="1A1A1A"/>
        </w:rPr>
        <w:t xml:space="preserve"> specific</w:t>
      </w:r>
      <w:r w:rsidR="001A189D" w:rsidRPr="00381F61">
        <w:rPr>
          <w:rFonts w:ascii="Garamond" w:hAnsi="Garamond"/>
          <w:color w:val="1A1A1A"/>
        </w:rPr>
        <w:t xml:space="preserve"> objective</w:t>
      </w:r>
      <w:r w:rsidR="003C01ED" w:rsidRPr="00381F61">
        <w:rPr>
          <w:rFonts w:ascii="Garamond" w:hAnsi="Garamond"/>
          <w:color w:val="1A1A1A"/>
        </w:rPr>
        <w:t>.</w:t>
      </w:r>
    </w:p>
    <w:p w14:paraId="2FC9D629" w14:textId="77777777" w:rsidR="003C01ED" w:rsidRPr="00381F61" w:rsidRDefault="003C01ED" w:rsidP="00917EFB">
      <w:pPr>
        <w:pStyle w:val="BodyText"/>
        <w:widowControl w:val="0"/>
        <w:tabs>
          <w:tab w:val="left" w:pos="1191"/>
          <w:tab w:val="left" w:pos="1192"/>
        </w:tabs>
        <w:autoSpaceDE w:val="0"/>
        <w:autoSpaceDN w:val="0"/>
        <w:spacing w:after="0"/>
        <w:ind w:left="709" w:right="-52"/>
        <w:jc w:val="both"/>
        <w:rPr>
          <w:rFonts w:ascii="Garamond" w:hAnsi="Garamond"/>
          <w:color w:val="1A1A1A"/>
          <w:sz w:val="8"/>
          <w:szCs w:val="8"/>
        </w:rPr>
      </w:pPr>
    </w:p>
    <w:p w14:paraId="7986DEC5" w14:textId="6488DC72" w:rsidR="00917EFB" w:rsidRPr="00381F61" w:rsidRDefault="003C01ED" w:rsidP="00917EFB">
      <w:pPr>
        <w:pStyle w:val="BodyText"/>
        <w:widowControl w:val="0"/>
        <w:tabs>
          <w:tab w:val="left" w:pos="1191"/>
          <w:tab w:val="left" w:pos="1192"/>
        </w:tabs>
        <w:autoSpaceDE w:val="0"/>
        <w:autoSpaceDN w:val="0"/>
        <w:spacing w:after="0"/>
        <w:ind w:left="709" w:right="-52"/>
        <w:jc w:val="both"/>
        <w:rPr>
          <w:rFonts w:ascii="Garamond" w:hAnsi="Garamond"/>
          <w:color w:val="1A1A1A"/>
        </w:rPr>
      </w:pPr>
      <w:r w:rsidRPr="00381F61">
        <w:rPr>
          <w:rFonts w:ascii="Garamond" w:hAnsi="Garamond"/>
          <w:color w:val="1A1A1A"/>
        </w:rPr>
        <w:t xml:space="preserve">As we suggest in Section 15 (Households’ financial position – a proper longitudinal survey needed), New Zealand needs to understand how the “purpose and principles of New Zealand superannuation” actually work for New Zealanders.  What </w:t>
      </w:r>
      <w:r w:rsidR="007306FB" w:rsidRPr="00381F61">
        <w:rPr>
          <w:rFonts w:ascii="Garamond" w:hAnsi="Garamond"/>
          <w:color w:val="1A1A1A"/>
        </w:rPr>
        <w:t>New Zealanders</w:t>
      </w:r>
      <w:r w:rsidRPr="00381F61">
        <w:rPr>
          <w:rFonts w:ascii="Garamond" w:hAnsi="Garamond"/>
          <w:color w:val="1A1A1A"/>
        </w:rPr>
        <w:t xml:space="preserve"> think of that is another, </w:t>
      </w:r>
      <w:r w:rsidR="0049532F" w:rsidRPr="00381F61">
        <w:rPr>
          <w:rFonts w:ascii="Garamond" w:hAnsi="Garamond"/>
          <w:color w:val="1A1A1A"/>
        </w:rPr>
        <w:t xml:space="preserve">much </w:t>
      </w:r>
      <w:r w:rsidRPr="00381F61">
        <w:rPr>
          <w:rFonts w:ascii="Garamond" w:hAnsi="Garamond"/>
          <w:color w:val="1A1A1A"/>
        </w:rPr>
        <w:t>less interesting topic.</w:t>
      </w:r>
    </w:p>
    <w:p w14:paraId="6499750B" w14:textId="77777777" w:rsidR="004A3332" w:rsidRPr="00381F61" w:rsidRDefault="004A3332" w:rsidP="00891E0F">
      <w:pPr>
        <w:pStyle w:val="BodyText"/>
        <w:spacing w:after="0"/>
        <w:ind w:left="709" w:right="-52" w:hanging="284"/>
        <w:jc w:val="both"/>
        <w:rPr>
          <w:rFonts w:ascii="Garamond" w:hAnsi="Garamond"/>
          <w:sz w:val="8"/>
          <w:szCs w:val="8"/>
        </w:rPr>
      </w:pPr>
    </w:p>
    <w:p w14:paraId="2D284F0D" w14:textId="77777777" w:rsidR="00F66CFF" w:rsidRPr="00381F61" w:rsidRDefault="003C01ED">
      <w:pPr>
        <w:pStyle w:val="ListParagraph"/>
        <w:widowControl w:val="0"/>
        <w:numPr>
          <w:ilvl w:val="0"/>
          <w:numId w:val="65"/>
        </w:numPr>
        <w:tabs>
          <w:tab w:val="left" w:pos="1196"/>
          <w:tab w:val="left" w:pos="1197"/>
        </w:tabs>
        <w:autoSpaceDE w:val="0"/>
        <w:autoSpaceDN w:val="0"/>
        <w:ind w:left="709" w:right="-52" w:hanging="284"/>
        <w:contextualSpacing w:val="0"/>
        <w:jc w:val="both"/>
        <w:rPr>
          <w:rFonts w:ascii="Garamond" w:hAnsi="Garamond"/>
          <w:color w:val="1A1A1A"/>
        </w:rPr>
      </w:pPr>
      <w:r w:rsidRPr="00381F61">
        <w:rPr>
          <w:rFonts w:ascii="Garamond" w:hAnsi="Garamond"/>
          <w:b/>
          <w:color w:val="1A1A1A"/>
        </w:rPr>
        <w:t>The request:</w:t>
      </w:r>
    </w:p>
    <w:p w14:paraId="07E4D4BE" w14:textId="77777777" w:rsidR="00F66CFF" w:rsidRPr="00381F61" w:rsidRDefault="00F66CFF" w:rsidP="00F66CFF">
      <w:pPr>
        <w:pStyle w:val="ListParagraph"/>
        <w:widowControl w:val="0"/>
        <w:tabs>
          <w:tab w:val="left" w:pos="1196"/>
          <w:tab w:val="left" w:pos="1197"/>
        </w:tabs>
        <w:autoSpaceDE w:val="0"/>
        <w:autoSpaceDN w:val="0"/>
        <w:ind w:left="709" w:right="-52"/>
        <w:contextualSpacing w:val="0"/>
        <w:jc w:val="both"/>
        <w:rPr>
          <w:rFonts w:ascii="Garamond" w:hAnsi="Garamond"/>
          <w:color w:val="1A1A1A"/>
          <w:sz w:val="8"/>
          <w:szCs w:val="8"/>
        </w:rPr>
      </w:pPr>
    </w:p>
    <w:p w14:paraId="6E2C1344" w14:textId="1883341F" w:rsidR="004A3332" w:rsidRPr="00381F61" w:rsidRDefault="003C01ED" w:rsidP="00891E0F">
      <w:pPr>
        <w:pStyle w:val="ListParagraph"/>
        <w:widowControl w:val="0"/>
        <w:tabs>
          <w:tab w:val="left" w:pos="1196"/>
          <w:tab w:val="left" w:pos="1197"/>
        </w:tabs>
        <w:autoSpaceDE w:val="0"/>
        <w:autoSpaceDN w:val="0"/>
        <w:ind w:left="709" w:right="-52"/>
        <w:contextualSpacing w:val="0"/>
        <w:jc w:val="both"/>
        <w:rPr>
          <w:rFonts w:ascii="Garamond" w:hAnsi="Garamond"/>
          <w:color w:val="1A1A1A"/>
        </w:rPr>
      </w:pPr>
      <w:r w:rsidRPr="00381F61">
        <w:rPr>
          <w:rFonts w:ascii="Garamond" w:hAnsi="Garamond"/>
          <w:color w:val="1A1A1A"/>
          <w:sz w:val="22"/>
          <w:szCs w:val="22"/>
        </w:rPr>
        <w:t>“</w:t>
      </w:r>
      <w:r w:rsidR="004A3332" w:rsidRPr="00381F61">
        <w:rPr>
          <w:rFonts w:ascii="Garamond" w:hAnsi="Garamond"/>
          <w:color w:val="1A1A1A"/>
          <w:sz w:val="22"/>
          <w:szCs w:val="22"/>
        </w:rPr>
        <w:t>An assessment of decumulation of retirement savings and other assets, including how the Government can ensure New Zealanders make the most of their money in the decumulation</w:t>
      </w:r>
      <w:r w:rsidR="004A3332" w:rsidRPr="00381F61">
        <w:rPr>
          <w:rFonts w:ascii="Garamond" w:hAnsi="Garamond"/>
          <w:color w:val="1A1A1A"/>
          <w:spacing w:val="28"/>
          <w:sz w:val="22"/>
          <w:szCs w:val="22"/>
        </w:rPr>
        <w:t xml:space="preserve"> </w:t>
      </w:r>
      <w:r w:rsidR="004A3332" w:rsidRPr="00381F61">
        <w:rPr>
          <w:rFonts w:ascii="Garamond" w:hAnsi="Garamond"/>
          <w:color w:val="1A1A1A"/>
          <w:sz w:val="22"/>
          <w:szCs w:val="22"/>
        </w:rPr>
        <w:t>phase.</w:t>
      </w:r>
      <w:r w:rsidRPr="00381F61">
        <w:rPr>
          <w:rFonts w:ascii="Garamond" w:hAnsi="Garamond"/>
          <w:color w:val="1A1A1A"/>
          <w:sz w:val="22"/>
          <w:szCs w:val="22"/>
        </w:rPr>
        <w:t>”</w:t>
      </w:r>
    </w:p>
    <w:p w14:paraId="4D8E6384" w14:textId="77777777" w:rsidR="001A189D" w:rsidRPr="00381F61" w:rsidRDefault="001A189D" w:rsidP="00891E0F">
      <w:pPr>
        <w:pStyle w:val="BodyText"/>
        <w:widowControl w:val="0"/>
        <w:tabs>
          <w:tab w:val="left" w:pos="1191"/>
          <w:tab w:val="left" w:pos="1192"/>
        </w:tabs>
        <w:autoSpaceDE w:val="0"/>
        <w:autoSpaceDN w:val="0"/>
        <w:spacing w:after="0"/>
        <w:ind w:left="709" w:right="-52"/>
        <w:jc w:val="both"/>
        <w:rPr>
          <w:rFonts w:ascii="Garamond" w:hAnsi="Garamond"/>
          <w:color w:val="1A1A1A"/>
          <w:sz w:val="8"/>
          <w:szCs w:val="8"/>
        </w:rPr>
      </w:pPr>
    </w:p>
    <w:p w14:paraId="08286D87" w14:textId="3F027800" w:rsidR="005E3E30" w:rsidRPr="00381F61" w:rsidRDefault="001A189D" w:rsidP="001A189D">
      <w:pPr>
        <w:pStyle w:val="BodyText"/>
        <w:widowControl w:val="0"/>
        <w:tabs>
          <w:tab w:val="left" w:pos="1191"/>
          <w:tab w:val="left" w:pos="1192"/>
        </w:tabs>
        <w:autoSpaceDE w:val="0"/>
        <w:autoSpaceDN w:val="0"/>
        <w:spacing w:after="0"/>
        <w:ind w:left="709" w:right="-52"/>
        <w:jc w:val="both"/>
        <w:rPr>
          <w:rFonts w:ascii="Garamond" w:hAnsi="Garamond"/>
          <w:color w:val="1A1A1A"/>
        </w:rPr>
      </w:pPr>
      <w:r w:rsidRPr="00381F61">
        <w:rPr>
          <w:rFonts w:ascii="Garamond" w:hAnsi="Garamond"/>
          <w:b/>
          <w:color w:val="1A1A1A"/>
        </w:rPr>
        <w:lastRenderedPageBreak/>
        <w:t>Our initial comments:</w:t>
      </w:r>
      <w:r w:rsidRPr="00381F61">
        <w:rPr>
          <w:rFonts w:ascii="Garamond" w:hAnsi="Garamond"/>
          <w:color w:val="1A1A1A"/>
        </w:rPr>
        <w:t xml:space="preserve"> We pause at expressions </w:t>
      </w:r>
      <w:r w:rsidR="005E3E30" w:rsidRPr="00381F61">
        <w:rPr>
          <w:rFonts w:ascii="Garamond" w:hAnsi="Garamond"/>
          <w:color w:val="1A1A1A"/>
        </w:rPr>
        <w:t>like “</w:t>
      </w:r>
      <w:r w:rsidR="000372D0" w:rsidRPr="00381F61">
        <w:rPr>
          <w:rFonts w:ascii="Garamond" w:hAnsi="Garamond"/>
          <w:color w:val="1A1A1A"/>
        </w:rPr>
        <w:t xml:space="preserve">the </w:t>
      </w:r>
      <w:r w:rsidR="005E3E30" w:rsidRPr="00381F61">
        <w:rPr>
          <w:rFonts w:ascii="Garamond" w:hAnsi="Garamond"/>
          <w:color w:val="1A1A1A"/>
        </w:rPr>
        <w:t>Government can ensure”</w:t>
      </w:r>
      <w:r w:rsidR="00FB4DF7" w:rsidRPr="00381F61">
        <w:rPr>
          <w:rFonts w:ascii="Garamond" w:hAnsi="Garamond"/>
          <w:color w:val="1A1A1A"/>
        </w:rPr>
        <w:t>.  N</w:t>
      </w:r>
      <w:r w:rsidR="005E3E30" w:rsidRPr="00381F61">
        <w:rPr>
          <w:rFonts w:ascii="Garamond" w:hAnsi="Garamond"/>
          <w:color w:val="1A1A1A"/>
        </w:rPr>
        <w:t>o matter how well-intentioned this request might be</w:t>
      </w:r>
      <w:r w:rsidR="00FB4DF7" w:rsidRPr="00381F61">
        <w:rPr>
          <w:rFonts w:ascii="Garamond" w:hAnsi="Garamond"/>
          <w:color w:val="1A1A1A"/>
        </w:rPr>
        <w:t>, we think it’s an impossible objective</w:t>
      </w:r>
      <w:r w:rsidR="005E3E30" w:rsidRPr="00381F61">
        <w:rPr>
          <w:rFonts w:ascii="Garamond" w:hAnsi="Garamond"/>
          <w:color w:val="1A1A1A"/>
        </w:rPr>
        <w:t>.  The request begs the question because it assumes the government has a role to “ensure New Zealanders make the most of their money in the decumulation phase”.  We think that position needs to be established first before venturing into ways that governments might “ensure” a ‘better’ outcome than presently prevails.</w:t>
      </w:r>
    </w:p>
    <w:p w14:paraId="6ADB9F6B" w14:textId="77777777" w:rsidR="005E3E30" w:rsidRPr="00381F61" w:rsidRDefault="005E3E30" w:rsidP="001A189D">
      <w:pPr>
        <w:pStyle w:val="BodyText"/>
        <w:widowControl w:val="0"/>
        <w:tabs>
          <w:tab w:val="left" w:pos="1191"/>
          <w:tab w:val="left" w:pos="1192"/>
        </w:tabs>
        <w:autoSpaceDE w:val="0"/>
        <w:autoSpaceDN w:val="0"/>
        <w:spacing w:after="0"/>
        <w:ind w:left="709" w:right="-52"/>
        <w:jc w:val="both"/>
        <w:rPr>
          <w:rFonts w:ascii="Garamond" w:hAnsi="Garamond"/>
          <w:color w:val="1A1A1A"/>
          <w:sz w:val="8"/>
          <w:szCs w:val="8"/>
        </w:rPr>
      </w:pPr>
    </w:p>
    <w:p w14:paraId="6A8CACCC" w14:textId="6665CA6A" w:rsidR="001A189D" w:rsidRPr="00381F61" w:rsidRDefault="005E3E30" w:rsidP="00891E0F">
      <w:pPr>
        <w:pStyle w:val="BodyText"/>
        <w:widowControl w:val="0"/>
        <w:tabs>
          <w:tab w:val="left" w:pos="1191"/>
          <w:tab w:val="left" w:pos="1192"/>
        </w:tabs>
        <w:autoSpaceDE w:val="0"/>
        <w:autoSpaceDN w:val="0"/>
        <w:spacing w:after="0"/>
        <w:ind w:left="709" w:right="-52"/>
        <w:jc w:val="both"/>
        <w:rPr>
          <w:rFonts w:ascii="Garamond" w:hAnsi="Garamond"/>
          <w:color w:val="1A1A1A"/>
        </w:rPr>
      </w:pPr>
      <w:r w:rsidRPr="00381F61">
        <w:rPr>
          <w:rFonts w:ascii="Garamond" w:hAnsi="Garamond"/>
          <w:color w:val="1A1A1A"/>
        </w:rPr>
        <w:t>Without undertaking the research that this request implies, we can suppose that the financial service providers already provide facilities that retirees can use to allow the “decumulation of retirement savings and other assets” and that there is no particular case for direct government-led intervention.</w:t>
      </w:r>
      <w:r w:rsidR="0049532F" w:rsidRPr="00381F61">
        <w:rPr>
          <w:rFonts w:ascii="Garamond" w:hAnsi="Garamond"/>
          <w:color w:val="1A1A1A"/>
        </w:rPr>
        <w:t xml:space="preserve">  We suggest that the 2019 Review’s first task should be to establish that initial case for intervention.</w:t>
      </w:r>
    </w:p>
    <w:p w14:paraId="3485043B" w14:textId="40BB8251" w:rsidR="001271AE" w:rsidRPr="00381F61" w:rsidRDefault="001271AE" w:rsidP="00E71CEB">
      <w:pPr>
        <w:widowControl w:val="0"/>
        <w:autoSpaceDE w:val="0"/>
        <w:autoSpaceDN w:val="0"/>
        <w:adjustRightInd w:val="0"/>
        <w:jc w:val="both"/>
        <w:rPr>
          <w:rFonts w:ascii="Garamond" w:hAnsi="Garamond"/>
        </w:rPr>
      </w:pPr>
    </w:p>
    <w:p w14:paraId="169561DA" w14:textId="4AE41C5B" w:rsidR="0049532F" w:rsidRPr="00381F61" w:rsidRDefault="0049532F" w:rsidP="00E71CEB">
      <w:pPr>
        <w:widowControl w:val="0"/>
        <w:autoSpaceDE w:val="0"/>
        <w:autoSpaceDN w:val="0"/>
        <w:adjustRightInd w:val="0"/>
        <w:jc w:val="both"/>
        <w:rPr>
          <w:rFonts w:ascii="Garamond" w:hAnsi="Garamond"/>
          <w:b/>
        </w:rPr>
      </w:pPr>
      <w:r w:rsidRPr="00381F61">
        <w:rPr>
          <w:rFonts w:ascii="Garamond" w:hAnsi="Garamond"/>
          <w:b/>
        </w:rPr>
        <w:t>What’s missing from the 2019 Terms of Reference</w:t>
      </w:r>
    </w:p>
    <w:p w14:paraId="1CFCBECF" w14:textId="2730D0F6" w:rsidR="0049532F" w:rsidRPr="00381F61" w:rsidRDefault="0049532F" w:rsidP="00E71CEB">
      <w:pPr>
        <w:widowControl w:val="0"/>
        <w:autoSpaceDE w:val="0"/>
        <w:autoSpaceDN w:val="0"/>
        <w:adjustRightInd w:val="0"/>
        <w:jc w:val="both"/>
        <w:rPr>
          <w:rFonts w:ascii="Garamond" w:hAnsi="Garamond"/>
        </w:rPr>
      </w:pPr>
    </w:p>
    <w:p w14:paraId="38BAB95D" w14:textId="571EC480" w:rsidR="007306FB" w:rsidRPr="00381F61" w:rsidRDefault="007306FB" w:rsidP="00E71CEB">
      <w:pPr>
        <w:widowControl w:val="0"/>
        <w:autoSpaceDE w:val="0"/>
        <w:autoSpaceDN w:val="0"/>
        <w:adjustRightInd w:val="0"/>
        <w:jc w:val="both"/>
        <w:rPr>
          <w:rFonts w:ascii="Garamond" w:hAnsi="Garamond"/>
        </w:rPr>
      </w:pPr>
      <w:r w:rsidRPr="00381F61">
        <w:rPr>
          <w:rFonts w:ascii="Garamond" w:hAnsi="Garamond"/>
        </w:rPr>
        <w:t xml:space="preserve">As we have already said, we were disappointed to see </w:t>
      </w:r>
      <w:r w:rsidR="00145709" w:rsidRPr="00381F61">
        <w:rPr>
          <w:rFonts w:ascii="Garamond" w:hAnsi="Garamond"/>
        </w:rPr>
        <w:t xml:space="preserve">that </w:t>
      </w:r>
      <w:r w:rsidRPr="00381F61">
        <w:rPr>
          <w:rFonts w:ascii="Garamond" w:hAnsi="Garamond"/>
        </w:rPr>
        <w:t xml:space="preserve">the 2019 Terms of Reference is in the same timid mould as </w:t>
      </w:r>
      <w:r w:rsidR="00FB4DF7" w:rsidRPr="00381F61">
        <w:rPr>
          <w:rFonts w:ascii="Garamond" w:hAnsi="Garamond"/>
        </w:rPr>
        <w:t>its</w:t>
      </w:r>
      <w:r w:rsidRPr="00381F61">
        <w:rPr>
          <w:rFonts w:ascii="Garamond" w:hAnsi="Garamond"/>
        </w:rPr>
        <w:t xml:space="preserve"> 2016 equivalent.  Some of the wording from the eight topics would allow the Retirement Commissioner to broaden the scope of the 2019 Review but the Retirement Commissioner will have neither the time </w:t>
      </w:r>
      <w:r w:rsidR="00145709" w:rsidRPr="00381F61">
        <w:rPr>
          <w:rFonts w:ascii="Garamond" w:hAnsi="Garamond"/>
        </w:rPr>
        <w:t>n</w:t>
      </w:r>
      <w:r w:rsidRPr="00381F61">
        <w:rPr>
          <w:rFonts w:ascii="Garamond" w:hAnsi="Garamond"/>
        </w:rPr>
        <w:t>or resources to do the job that needs to be done.</w:t>
      </w:r>
    </w:p>
    <w:p w14:paraId="5B0E247A" w14:textId="77777777" w:rsidR="007306FB" w:rsidRPr="00381F61" w:rsidRDefault="007306FB" w:rsidP="00E71CEB">
      <w:pPr>
        <w:widowControl w:val="0"/>
        <w:autoSpaceDE w:val="0"/>
        <w:autoSpaceDN w:val="0"/>
        <w:adjustRightInd w:val="0"/>
        <w:jc w:val="both"/>
        <w:rPr>
          <w:rFonts w:ascii="Garamond" w:hAnsi="Garamond"/>
        </w:rPr>
      </w:pPr>
    </w:p>
    <w:p w14:paraId="32C1DC5A" w14:textId="77777777" w:rsidR="00F766D5" w:rsidRDefault="007306FB" w:rsidP="00E71CEB">
      <w:pPr>
        <w:widowControl w:val="0"/>
        <w:autoSpaceDE w:val="0"/>
        <w:autoSpaceDN w:val="0"/>
        <w:adjustRightInd w:val="0"/>
        <w:jc w:val="both"/>
        <w:rPr>
          <w:rFonts w:ascii="Garamond" w:hAnsi="Garamond"/>
        </w:rPr>
      </w:pPr>
      <w:r w:rsidRPr="00381F61">
        <w:rPr>
          <w:rFonts w:ascii="Garamond" w:hAnsi="Garamond"/>
        </w:rPr>
        <w:t xml:space="preserve">What follows in the </w:t>
      </w:r>
      <w:r w:rsidR="00FB4DF7" w:rsidRPr="00381F61">
        <w:rPr>
          <w:rFonts w:ascii="Garamond" w:hAnsi="Garamond"/>
        </w:rPr>
        <w:t>next</w:t>
      </w:r>
      <w:r w:rsidRPr="00381F61">
        <w:rPr>
          <w:rFonts w:ascii="Garamond" w:hAnsi="Garamond"/>
        </w:rPr>
        <w:t xml:space="preserve"> 22 sections of our report lists all the topics and questions that New Zealand needs answers to.  Those questions </w:t>
      </w:r>
      <w:r w:rsidR="00FB4DF7" w:rsidRPr="00381F61">
        <w:rPr>
          <w:rFonts w:ascii="Garamond" w:hAnsi="Garamond"/>
        </w:rPr>
        <w:t>must eventually be answered</w:t>
      </w:r>
      <w:r w:rsidRPr="00381F61">
        <w:rPr>
          <w:rFonts w:ascii="Garamond" w:hAnsi="Garamond"/>
        </w:rPr>
        <w:t xml:space="preserve"> but that seems unlikely in 2019.</w:t>
      </w:r>
    </w:p>
    <w:p w14:paraId="76020283" w14:textId="77777777" w:rsidR="00F766D5" w:rsidRDefault="00F766D5" w:rsidP="00E71CEB">
      <w:pPr>
        <w:widowControl w:val="0"/>
        <w:autoSpaceDE w:val="0"/>
        <w:autoSpaceDN w:val="0"/>
        <w:adjustRightInd w:val="0"/>
        <w:jc w:val="both"/>
        <w:rPr>
          <w:rFonts w:ascii="Garamond" w:hAnsi="Garamond"/>
        </w:rPr>
      </w:pPr>
    </w:p>
    <w:p w14:paraId="16CD24F8" w14:textId="20415BBD" w:rsidR="0049532F" w:rsidRPr="00381F61" w:rsidRDefault="00102859" w:rsidP="00E71CEB">
      <w:pPr>
        <w:widowControl w:val="0"/>
        <w:autoSpaceDE w:val="0"/>
        <w:autoSpaceDN w:val="0"/>
        <w:adjustRightInd w:val="0"/>
        <w:jc w:val="both"/>
        <w:rPr>
          <w:rFonts w:ascii="Garamond" w:hAnsi="Garamond"/>
        </w:rPr>
      </w:pPr>
      <w:r w:rsidRPr="00381F61">
        <w:rPr>
          <w:rFonts w:ascii="Garamond" w:hAnsi="Garamond"/>
        </w:rPr>
        <w:t xml:space="preserve">If nothing else, it would be good to see a recommendation that the </w:t>
      </w:r>
      <w:r w:rsidR="00345B08" w:rsidRPr="00381F61">
        <w:rPr>
          <w:rFonts w:ascii="Garamond" w:hAnsi="Garamond"/>
        </w:rPr>
        <w:t>Commission for Financial Capability</w:t>
      </w:r>
      <w:r w:rsidRPr="00381F61">
        <w:rPr>
          <w:rFonts w:ascii="Garamond" w:hAnsi="Garamond"/>
        </w:rPr>
        <w:t xml:space="preserve"> is resourced so that between 2020 and 2022 when the next review is due, it can put in place the processes to gather the data required.</w:t>
      </w:r>
    </w:p>
    <w:p w14:paraId="75B9DD15" w14:textId="77777777" w:rsidR="007306FB" w:rsidRPr="00381F61" w:rsidRDefault="007306FB" w:rsidP="00E71CEB">
      <w:pPr>
        <w:widowControl w:val="0"/>
        <w:autoSpaceDE w:val="0"/>
        <w:autoSpaceDN w:val="0"/>
        <w:adjustRightInd w:val="0"/>
        <w:jc w:val="both"/>
        <w:rPr>
          <w:rFonts w:ascii="Garamond" w:hAnsi="Garamond"/>
        </w:rPr>
      </w:pPr>
    </w:p>
    <w:p w14:paraId="2334454D" w14:textId="5810EA0D" w:rsidR="004A3332" w:rsidRPr="00381F61" w:rsidRDefault="004A3332" w:rsidP="00E71CEB">
      <w:pPr>
        <w:widowControl w:val="0"/>
        <w:autoSpaceDE w:val="0"/>
        <w:autoSpaceDN w:val="0"/>
        <w:adjustRightInd w:val="0"/>
        <w:jc w:val="both"/>
        <w:rPr>
          <w:rFonts w:ascii="Garamond" w:hAnsi="Garamond"/>
          <w:b/>
        </w:rPr>
      </w:pPr>
      <w:r w:rsidRPr="00381F61">
        <w:rPr>
          <w:rFonts w:ascii="Garamond" w:hAnsi="Garamond"/>
          <w:b/>
        </w:rPr>
        <w:t>Overall observation</w:t>
      </w:r>
      <w:r w:rsidR="005944EA" w:rsidRPr="00381F61">
        <w:rPr>
          <w:rFonts w:ascii="Garamond" w:hAnsi="Garamond"/>
          <w:b/>
        </w:rPr>
        <w:t xml:space="preserve"> on state-led initiatives</w:t>
      </w:r>
    </w:p>
    <w:p w14:paraId="45D236F6" w14:textId="77777777" w:rsidR="004A3332" w:rsidRPr="00381F61" w:rsidRDefault="004A3332" w:rsidP="00E71CEB">
      <w:pPr>
        <w:widowControl w:val="0"/>
        <w:autoSpaceDE w:val="0"/>
        <w:autoSpaceDN w:val="0"/>
        <w:adjustRightInd w:val="0"/>
        <w:jc w:val="both"/>
        <w:rPr>
          <w:rFonts w:ascii="Garamond" w:hAnsi="Garamond"/>
        </w:rPr>
      </w:pPr>
    </w:p>
    <w:p w14:paraId="617FC796" w14:textId="2753683A" w:rsidR="00A97583" w:rsidRPr="00381F61" w:rsidRDefault="001271AE" w:rsidP="00E71CEB">
      <w:pPr>
        <w:widowControl w:val="0"/>
        <w:autoSpaceDE w:val="0"/>
        <w:autoSpaceDN w:val="0"/>
        <w:adjustRightInd w:val="0"/>
        <w:jc w:val="both"/>
        <w:rPr>
          <w:rFonts w:ascii="Garamond" w:hAnsi="Garamond"/>
        </w:rPr>
      </w:pPr>
      <w:r w:rsidRPr="00381F61">
        <w:rPr>
          <w:rFonts w:ascii="Garamond" w:hAnsi="Garamond"/>
        </w:rPr>
        <w:t>In this and our earlier report, w</w:t>
      </w:r>
      <w:r w:rsidR="003F3A7D" w:rsidRPr="00381F61">
        <w:rPr>
          <w:rFonts w:ascii="Garamond" w:hAnsi="Garamond"/>
        </w:rPr>
        <w:t>e</w:t>
      </w:r>
      <w:r w:rsidR="006C420B" w:rsidRPr="00381F61">
        <w:rPr>
          <w:rFonts w:ascii="Garamond" w:hAnsi="Garamond"/>
        </w:rPr>
        <w:t xml:space="preserve"> conclude</w:t>
      </w:r>
      <w:r w:rsidR="00A97583" w:rsidRPr="00381F61">
        <w:rPr>
          <w:rFonts w:ascii="Garamond" w:hAnsi="Garamond"/>
        </w:rPr>
        <w:t xml:space="preserve"> that</w:t>
      </w:r>
      <w:r w:rsidR="0017090B" w:rsidRPr="00381F61">
        <w:rPr>
          <w:rFonts w:ascii="Garamond" w:hAnsi="Garamond"/>
        </w:rPr>
        <w:t>, with respect to retirement income policies</w:t>
      </w:r>
      <w:r w:rsidR="00A97583" w:rsidRPr="00381F61">
        <w:rPr>
          <w:rFonts w:ascii="Garamond" w:hAnsi="Garamond"/>
        </w:rPr>
        <w:t>:</w:t>
      </w:r>
    </w:p>
    <w:p w14:paraId="7E18B3DC" w14:textId="77777777" w:rsidR="00A97583" w:rsidRPr="00381F61" w:rsidRDefault="00A97583" w:rsidP="00E71CEB">
      <w:pPr>
        <w:widowControl w:val="0"/>
        <w:autoSpaceDE w:val="0"/>
        <w:autoSpaceDN w:val="0"/>
        <w:adjustRightInd w:val="0"/>
        <w:jc w:val="both"/>
        <w:rPr>
          <w:rFonts w:ascii="Garamond" w:hAnsi="Garamond"/>
          <w:sz w:val="8"/>
          <w:szCs w:val="8"/>
        </w:rPr>
      </w:pPr>
    </w:p>
    <w:p w14:paraId="14B8EE1E" w14:textId="77777777" w:rsidR="00A97583" w:rsidRPr="00381F61" w:rsidRDefault="00A97583" w:rsidP="00E71CEB">
      <w:pPr>
        <w:pStyle w:val="ListParagraph"/>
        <w:widowControl w:val="0"/>
        <w:numPr>
          <w:ilvl w:val="0"/>
          <w:numId w:val="3"/>
        </w:numPr>
        <w:autoSpaceDE w:val="0"/>
        <w:autoSpaceDN w:val="0"/>
        <w:adjustRightInd w:val="0"/>
        <w:jc w:val="both"/>
        <w:rPr>
          <w:rFonts w:ascii="Garamond" w:hAnsi="Garamond"/>
        </w:rPr>
      </w:pPr>
      <w:r w:rsidRPr="00381F61">
        <w:rPr>
          <w:rFonts w:ascii="Garamond" w:hAnsi="Garamond"/>
        </w:rPr>
        <w:t>There is a range of things that only the government can do – it should do those things.</w:t>
      </w:r>
    </w:p>
    <w:p w14:paraId="1593BDA8" w14:textId="77777777" w:rsidR="00A97583" w:rsidRPr="00381F61" w:rsidRDefault="00A97583" w:rsidP="00E71CEB">
      <w:pPr>
        <w:pStyle w:val="ListParagraph"/>
        <w:widowControl w:val="0"/>
        <w:autoSpaceDE w:val="0"/>
        <w:autoSpaceDN w:val="0"/>
        <w:adjustRightInd w:val="0"/>
        <w:jc w:val="both"/>
        <w:rPr>
          <w:rFonts w:ascii="Garamond" w:hAnsi="Garamond"/>
          <w:sz w:val="8"/>
          <w:szCs w:val="8"/>
        </w:rPr>
      </w:pPr>
    </w:p>
    <w:p w14:paraId="5FDF97D1" w14:textId="0B31C6EF" w:rsidR="00A97583" w:rsidRPr="00381F61" w:rsidRDefault="00A97583" w:rsidP="00E71CEB">
      <w:pPr>
        <w:pStyle w:val="ListParagraph"/>
        <w:widowControl w:val="0"/>
        <w:numPr>
          <w:ilvl w:val="0"/>
          <w:numId w:val="3"/>
        </w:numPr>
        <w:autoSpaceDE w:val="0"/>
        <w:autoSpaceDN w:val="0"/>
        <w:adjustRightInd w:val="0"/>
        <w:jc w:val="both"/>
        <w:rPr>
          <w:rFonts w:ascii="Garamond" w:hAnsi="Garamond"/>
        </w:rPr>
      </w:pPr>
      <w:r w:rsidRPr="00381F61">
        <w:rPr>
          <w:rFonts w:ascii="Garamond" w:hAnsi="Garamond"/>
        </w:rPr>
        <w:t>There is another range of things that, based on the evidence, the government seems unable to do - it should stop doing those</w:t>
      </w:r>
      <w:r w:rsidR="00102859" w:rsidRPr="00381F61">
        <w:rPr>
          <w:rFonts w:ascii="Garamond" w:hAnsi="Garamond"/>
        </w:rPr>
        <w:t xml:space="preserve"> </w:t>
      </w:r>
      <w:r w:rsidR="00345B08" w:rsidRPr="00381F61">
        <w:rPr>
          <w:rFonts w:ascii="Garamond" w:hAnsi="Garamond"/>
        </w:rPr>
        <w:t>or</w:t>
      </w:r>
      <w:r w:rsidR="00102859" w:rsidRPr="00381F61">
        <w:rPr>
          <w:rFonts w:ascii="Garamond" w:hAnsi="Garamond"/>
        </w:rPr>
        <w:t xml:space="preserve"> not try to do them</w:t>
      </w:r>
      <w:r w:rsidRPr="00381F61">
        <w:rPr>
          <w:rFonts w:ascii="Garamond" w:hAnsi="Garamond"/>
        </w:rPr>
        <w:t>.</w:t>
      </w:r>
    </w:p>
    <w:p w14:paraId="1FD01933" w14:textId="77777777" w:rsidR="00A97583" w:rsidRPr="00381F61" w:rsidRDefault="00A97583" w:rsidP="00E71CEB">
      <w:pPr>
        <w:widowControl w:val="0"/>
        <w:autoSpaceDE w:val="0"/>
        <w:autoSpaceDN w:val="0"/>
        <w:adjustRightInd w:val="0"/>
        <w:ind w:left="709"/>
        <w:jc w:val="both"/>
        <w:rPr>
          <w:rFonts w:ascii="Garamond" w:hAnsi="Garamond"/>
          <w:sz w:val="8"/>
          <w:szCs w:val="8"/>
        </w:rPr>
      </w:pPr>
    </w:p>
    <w:p w14:paraId="0D637F10" w14:textId="1A1F5D5D" w:rsidR="00A97583" w:rsidRPr="00381F61" w:rsidRDefault="00A97583" w:rsidP="00E71CEB">
      <w:pPr>
        <w:pStyle w:val="ListParagraph"/>
        <w:widowControl w:val="0"/>
        <w:numPr>
          <w:ilvl w:val="0"/>
          <w:numId w:val="3"/>
        </w:numPr>
        <w:autoSpaceDE w:val="0"/>
        <w:autoSpaceDN w:val="0"/>
        <w:adjustRightInd w:val="0"/>
        <w:jc w:val="both"/>
        <w:rPr>
          <w:rFonts w:ascii="Garamond" w:hAnsi="Garamond"/>
        </w:rPr>
      </w:pPr>
      <w:r w:rsidRPr="00381F61">
        <w:rPr>
          <w:rFonts w:ascii="Garamond" w:hAnsi="Garamond"/>
        </w:rPr>
        <w:t xml:space="preserve">Finally, there are things that the government is doing but, based on the evidence, seem not to be effective – it should </w:t>
      </w:r>
      <w:r w:rsidR="00FC18C1" w:rsidRPr="00381F61">
        <w:rPr>
          <w:rFonts w:ascii="Garamond" w:hAnsi="Garamond"/>
        </w:rPr>
        <w:t xml:space="preserve">also </w:t>
      </w:r>
      <w:r w:rsidRPr="00381F61">
        <w:rPr>
          <w:rFonts w:ascii="Garamond" w:hAnsi="Garamond"/>
        </w:rPr>
        <w:t>stop doing those.</w:t>
      </w:r>
    </w:p>
    <w:p w14:paraId="3D0E51DE" w14:textId="77777777" w:rsidR="00A97583" w:rsidRPr="00381F61" w:rsidRDefault="00A97583" w:rsidP="00E71CEB">
      <w:pPr>
        <w:pStyle w:val="ListParagraph"/>
        <w:widowControl w:val="0"/>
        <w:autoSpaceDE w:val="0"/>
        <w:autoSpaceDN w:val="0"/>
        <w:adjustRightInd w:val="0"/>
        <w:jc w:val="both"/>
        <w:rPr>
          <w:rFonts w:ascii="Garamond" w:hAnsi="Garamond"/>
        </w:rPr>
      </w:pPr>
    </w:p>
    <w:p w14:paraId="69678F4E" w14:textId="7E40CFD5" w:rsidR="00A97583" w:rsidRPr="00381F61" w:rsidRDefault="00A97583" w:rsidP="00E71CEB">
      <w:pPr>
        <w:widowControl w:val="0"/>
        <w:autoSpaceDE w:val="0"/>
        <w:autoSpaceDN w:val="0"/>
        <w:adjustRightInd w:val="0"/>
        <w:jc w:val="both"/>
        <w:rPr>
          <w:rFonts w:ascii="Garamond" w:hAnsi="Garamond"/>
        </w:rPr>
      </w:pPr>
      <w:r w:rsidRPr="00381F61">
        <w:rPr>
          <w:rFonts w:ascii="Garamond" w:hAnsi="Garamond"/>
        </w:rPr>
        <w:t xml:space="preserve">This is evidence-based policy-making - if it works, based on the evidence, then do it; if it doesn’t work, stop doing it.  If we do not know whether it works, gather the evidence before deciding what to do.  For New Zealand, this approach to policy–making on retirement incomes would </w:t>
      </w:r>
      <w:r w:rsidR="006051D7" w:rsidRPr="00381F61">
        <w:rPr>
          <w:rFonts w:ascii="Garamond" w:hAnsi="Garamond"/>
        </w:rPr>
        <w:t xml:space="preserve">be </w:t>
      </w:r>
      <w:r w:rsidRPr="00381F61">
        <w:rPr>
          <w:rFonts w:ascii="Garamond" w:hAnsi="Garamond"/>
        </w:rPr>
        <w:t xml:space="preserve">a change but it’s time </w:t>
      </w:r>
      <w:r w:rsidR="001F21CD" w:rsidRPr="00381F61">
        <w:rPr>
          <w:rFonts w:ascii="Garamond" w:hAnsi="Garamond"/>
        </w:rPr>
        <w:t>New Zealand</w:t>
      </w:r>
      <w:r w:rsidRPr="00381F61">
        <w:rPr>
          <w:rFonts w:ascii="Garamond" w:hAnsi="Garamond"/>
        </w:rPr>
        <w:t xml:space="preserve"> </w:t>
      </w:r>
      <w:r w:rsidR="001F21CD" w:rsidRPr="00381F61">
        <w:rPr>
          <w:rFonts w:ascii="Garamond" w:hAnsi="Garamond"/>
        </w:rPr>
        <w:t xml:space="preserve">tried it.  Before </w:t>
      </w:r>
      <w:r w:rsidRPr="00381F61">
        <w:rPr>
          <w:rFonts w:ascii="Garamond" w:hAnsi="Garamond"/>
        </w:rPr>
        <w:t>that process</w:t>
      </w:r>
      <w:r w:rsidR="001F21CD" w:rsidRPr="00381F61">
        <w:rPr>
          <w:rFonts w:ascii="Garamond" w:hAnsi="Garamond"/>
        </w:rPr>
        <w:t xml:space="preserve"> can even start</w:t>
      </w:r>
      <w:r w:rsidRPr="00381F61">
        <w:rPr>
          <w:rFonts w:ascii="Garamond" w:hAnsi="Garamond"/>
        </w:rPr>
        <w:t xml:space="preserve">, </w:t>
      </w:r>
      <w:r w:rsidR="001F21CD" w:rsidRPr="00381F61">
        <w:rPr>
          <w:rFonts w:ascii="Garamond" w:hAnsi="Garamond"/>
        </w:rPr>
        <w:t>there is</w:t>
      </w:r>
      <w:r w:rsidRPr="00381F61">
        <w:rPr>
          <w:rFonts w:ascii="Garamond" w:hAnsi="Garamond"/>
        </w:rPr>
        <w:t xml:space="preserve"> a lot of </w:t>
      </w:r>
      <w:r w:rsidR="00B4221E" w:rsidRPr="00381F61">
        <w:rPr>
          <w:rFonts w:ascii="Garamond" w:hAnsi="Garamond"/>
        </w:rPr>
        <w:t xml:space="preserve">information </w:t>
      </w:r>
      <w:r w:rsidRPr="00381F61">
        <w:rPr>
          <w:rFonts w:ascii="Garamond" w:hAnsi="Garamond"/>
        </w:rPr>
        <w:t>to gather.</w:t>
      </w:r>
    </w:p>
    <w:p w14:paraId="52940A65" w14:textId="77777777" w:rsidR="0017090B" w:rsidRPr="00381F61" w:rsidRDefault="0017090B" w:rsidP="00E71CEB">
      <w:pPr>
        <w:widowControl w:val="0"/>
        <w:autoSpaceDE w:val="0"/>
        <w:autoSpaceDN w:val="0"/>
        <w:adjustRightInd w:val="0"/>
        <w:jc w:val="both"/>
        <w:rPr>
          <w:rFonts w:ascii="Garamond" w:hAnsi="Garamond"/>
        </w:rPr>
      </w:pPr>
    </w:p>
    <w:p w14:paraId="1D8B50F6" w14:textId="6BD17552" w:rsidR="002C3A3C" w:rsidRPr="00381F61" w:rsidRDefault="0017090B" w:rsidP="00E71CEB">
      <w:pPr>
        <w:widowControl w:val="0"/>
        <w:autoSpaceDE w:val="0"/>
        <w:autoSpaceDN w:val="0"/>
        <w:adjustRightInd w:val="0"/>
        <w:jc w:val="both"/>
        <w:rPr>
          <w:rFonts w:ascii="Garamond" w:hAnsi="Garamond"/>
        </w:rPr>
      </w:pPr>
      <w:r w:rsidRPr="00381F61">
        <w:rPr>
          <w:rFonts w:ascii="Garamond" w:hAnsi="Garamond"/>
        </w:rPr>
        <w:t>The Retirement Commissioner’s 2016 Review was a wasted opportunity; an evidence-free zone</w:t>
      </w:r>
      <w:r w:rsidR="004F3C38" w:rsidRPr="00381F61">
        <w:rPr>
          <w:rStyle w:val="FootnoteReference"/>
          <w:rFonts w:ascii="Garamond" w:hAnsi="Garamond"/>
        </w:rPr>
        <w:footnoteReference w:id="6"/>
      </w:r>
      <w:r w:rsidRPr="00381F61">
        <w:rPr>
          <w:rFonts w:ascii="Garamond" w:hAnsi="Garamond"/>
        </w:rPr>
        <w:t xml:space="preserve">.  </w:t>
      </w:r>
      <w:r w:rsidR="002C3A3C" w:rsidRPr="00381F61">
        <w:rPr>
          <w:rFonts w:ascii="Garamond" w:hAnsi="Garamond"/>
        </w:rPr>
        <w:t xml:space="preserve">Asking people what they think about retirement and saving issues is particularly unhelpful; finding out what they do is much more important.  That requires </w:t>
      </w:r>
      <w:r w:rsidR="00F66312" w:rsidRPr="00381F61">
        <w:rPr>
          <w:rFonts w:ascii="Garamond" w:hAnsi="Garamond"/>
        </w:rPr>
        <w:t xml:space="preserve">the gathering of </w:t>
      </w:r>
      <w:r w:rsidR="002C3A3C" w:rsidRPr="00381F61">
        <w:rPr>
          <w:rFonts w:ascii="Garamond" w:hAnsi="Garamond"/>
        </w:rPr>
        <w:t>evidence.</w:t>
      </w:r>
      <w:r w:rsidR="005E3E30" w:rsidRPr="00381F61">
        <w:rPr>
          <w:rFonts w:ascii="Garamond" w:hAnsi="Garamond"/>
        </w:rPr>
        <w:t xml:space="preserve">  Unless evidence-gathering is at the heart of the 2019 Review, we </w:t>
      </w:r>
      <w:r w:rsidR="007306FB" w:rsidRPr="00381F61">
        <w:rPr>
          <w:rFonts w:ascii="Garamond" w:hAnsi="Garamond"/>
        </w:rPr>
        <w:t xml:space="preserve">are pessimistic about its contribution to </w:t>
      </w:r>
      <w:r w:rsidR="007306FB" w:rsidRPr="00381F61">
        <w:rPr>
          <w:rFonts w:ascii="Garamond" w:hAnsi="Garamond"/>
        </w:rPr>
        <w:lastRenderedPageBreak/>
        <w:t>needed debates on all aspects of New Zealand’s retirement and retirement income frameworks.</w:t>
      </w:r>
    </w:p>
    <w:p w14:paraId="7C59252B" w14:textId="77777777" w:rsidR="00AB534B" w:rsidRPr="00381F61" w:rsidRDefault="00AB534B" w:rsidP="00E71CEB">
      <w:pPr>
        <w:widowControl w:val="0"/>
        <w:autoSpaceDE w:val="0"/>
        <w:autoSpaceDN w:val="0"/>
        <w:adjustRightInd w:val="0"/>
        <w:jc w:val="both"/>
        <w:rPr>
          <w:rFonts w:ascii="Garamond" w:hAnsi="Garamond"/>
        </w:rPr>
      </w:pPr>
    </w:p>
    <w:p w14:paraId="5D1CE286" w14:textId="5EE27643" w:rsidR="001C3F6D" w:rsidRPr="00381F61" w:rsidRDefault="007F34A9" w:rsidP="00E71CEB">
      <w:pPr>
        <w:widowControl w:val="0"/>
        <w:autoSpaceDE w:val="0"/>
        <w:autoSpaceDN w:val="0"/>
        <w:adjustRightInd w:val="0"/>
        <w:jc w:val="both"/>
        <w:rPr>
          <w:rFonts w:ascii="Garamond" w:hAnsi="Garamond"/>
        </w:rPr>
      </w:pPr>
      <w:r w:rsidRPr="00F766D5">
        <w:rPr>
          <w:rFonts w:ascii="Garamond" w:hAnsi="Garamond"/>
          <w:noProof/>
        </w:rPr>
        <w:drawing>
          <wp:anchor distT="0" distB="0" distL="114300" distR="114300" simplePos="0" relativeHeight="251664384" behindDoc="1" locked="0" layoutInCell="1" allowOverlap="1" wp14:anchorId="205EF7CA" wp14:editId="0D3F6939">
            <wp:simplePos x="0" y="0"/>
            <wp:positionH relativeFrom="column">
              <wp:posOffset>2724658</wp:posOffset>
            </wp:positionH>
            <wp:positionV relativeFrom="paragraph">
              <wp:posOffset>65532</wp:posOffset>
            </wp:positionV>
            <wp:extent cx="2284977" cy="555538"/>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84977" cy="555538"/>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644"/>
      </w:tblGrid>
      <w:tr w:rsidR="004A6FB7" w:rsidRPr="00381F61" w14:paraId="2D39C2A1" w14:textId="77777777" w:rsidTr="00F766D5">
        <w:trPr>
          <w:trHeight w:val="824"/>
        </w:trPr>
        <w:tc>
          <w:tcPr>
            <w:tcW w:w="4384" w:type="dxa"/>
          </w:tcPr>
          <w:p w14:paraId="2B7E3FB2" w14:textId="33248AD7" w:rsidR="004A6FB7" w:rsidRPr="00381F61" w:rsidRDefault="007F34A9" w:rsidP="00E71CEB">
            <w:pPr>
              <w:widowControl w:val="0"/>
              <w:autoSpaceDE w:val="0"/>
              <w:autoSpaceDN w:val="0"/>
              <w:adjustRightInd w:val="0"/>
              <w:jc w:val="both"/>
              <w:rPr>
                <w:rFonts w:ascii="Garamond" w:hAnsi="Garamond"/>
              </w:rPr>
            </w:pPr>
            <w:r w:rsidRPr="00F766D5">
              <w:rPr>
                <w:noProof/>
              </w:rPr>
              <w:drawing>
                <wp:anchor distT="0" distB="0" distL="114300" distR="114300" simplePos="0" relativeHeight="251663360" behindDoc="0" locked="0" layoutInCell="1" allowOverlap="1" wp14:anchorId="08E98FBC" wp14:editId="5F3C09B4">
                  <wp:simplePos x="0" y="0"/>
                  <wp:positionH relativeFrom="margin">
                    <wp:posOffset>-49530</wp:posOffset>
                  </wp:positionH>
                  <wp:positionV relativeFrom="paragraph">
                    <wp:posOffset>-27177</wp:posOffset>
                  </wp:positionV>
                  <wp:extent cx="1647825" cy="419100"/>
                  <wp:effectExtent l="19050" t="57150" r="9525" b="38100"/>
                  <wp:wrapNone/>
                  <wp:docPr id="7" name="Picture 4" descr="michae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haelc"/>
                          <pic:cNvPicPr>
                            <a:picLocks noChangeAspect="1" noChangeArrowheads="1"/>
                          </pic:cNvPicPr>
                        </pic:nvPicPr>
                        <pic:blipFill>
                          <a:blip r:embed="rId15" cstate="print"/>
                          <a:srcRect/>
                          <a:stretch>
                            <a:fillRect/>
                          </a:stretch>
                        </pic:blipFill>
                        <pic:spPr bwMode="auto">
                          <a:xfrm rot="182579">
                            <a:off x="0" y="0"/>
                            <a:ext cx="1647825" cy="419100"/>
                          </a:xfrm>
                          <a:prstGeom prst="rect">
                            <a:avLst/>
                          </a:prstGeom>
                          <a:noFill/>
                          <a:ln w="9525">
                            <a:noFill/>
                            <a:miter lim="800000"/>
                            <a:headEnd/>
                            <a:tailEnd/>
                          </a:ln>
                        </pic:spPr>
                      </pic:pic>
                    </a:graphicData>
                  </a:graphic>
                </wp:anchor>
              </w:drawing>
            </w:r>
          </w:p>
        </w:tc>
        <w:tc>
          <w:tcPr>
            <w:tcW w:w="4644" w:type="dxa"/>
          </w:tcPr>
          <w:p w14:paraId="255E4996" w14:textId="5D534748" w:rsidR="004A6FB7" w:rsidRPr="00381F61" w:rsidRDefault="004A6FB7" w:rsidP="00E71CEB">
            <w:pPr>
              <w:widowControl w:val="0"/>
              <w:autoSpaceDE w:val="0"/>
              <w:autoSpaceDN w:val="0"/>
              <w:adjustRightInd w:val="0"/>
              <w:jc w:val="both"/>
              <w:rPr>
                <w:rFonts w:ascii="Garamond" w:hAnsi="Garamond"/>
              </w:rPr>
            </w:pPr>
          </w:p>
        </w:tc>
      </w:tr>
    </w:tbl>
    <w:p w14:paraId="382B0752" w14:textId="415086AB" w:rsidR="001C3F6D" w:rsidRPr="00381F61" w:rsidRDefault="001C3F6D" w:rsidP="00E71CEB">
      <w:pPr>
        <w:widowControl w:val="0"/>
        <w:autoSpaceDE w:val="0"/>
        <w:autoSpaceDN w:val="0"/>
        <w:adjustRightInd w:val="0"/>
        <w:jc w:val="both"/>
        <w:rPr>
          <w:rFonts w:ascii="Garamond" w:hAnsi="Garamond"/>
        </w:rPr>
      </w:pPr>
    </w:p>
    <w:p w14:paraId="65C4AA0E" w14:textId="356CCB6A" w:rsidR="001C3F6D" w:rsidRPr="00381F61" w:rsidRDefault="001C3F6D" w:rsidP="00E71CEB">
      <w:pPr>
        <w:widowControl w:val="0"/>
        <w:autoSpaceDE w:val="0"/>
        <w:autoSpaceDN w:val="0"/>
        <w:adjustRightInd w:val="0"/>
        <w:jc w:val="both"/>
        <w:rPr>
          <w:rFonts w:ascii="Garamond" w:hAnsi="Garamond"/>
        </w:rPr>
      </w:pPr>
      <w:r w:rsidRPr="00381F61">
        <w:rPr>
          <w:rFonts w:ascii="Garamond" w:hAnsi="Garamond"/>
        </w:rPr>
        <w:t>Michael Chamberlain</w:t>
      </w:r>
      <w:r w:rsidRPr="00381F61">
        <w:rPr>
          <w:rFonts w:ascii="Garamond" w:hAnsi="Garamond"/>
        </w:rPr>
        <w:tab/>
      </w:r>
      <w:r w:rsidRPr="00381F61">
        <w:rPr>
          <w:rFonts w:ascii="Garamond" w:hAnsi="Garamond"/>
        </w:rPr>
        <w:tab/>
      </w:r>
      <w:r w:rsidRPr="00381F61">
        <w:rPr>
          <w:rFonts w:ascii="Garamond" w:hAnsi="Garamond"/>
        </w:rPr>
        <w:tab/>
      </w:r>
      <w:r w:rsidR="00FE586A" w:rsidRPr="00381F61">
        <w:rPr>
          <w:rFonts w:ascii="Garamond" w:hAnsi="Garamond"/>
        </w:rPr>
        <w:tab/>
      </w:r>
      <w:r w:rsidRPr="00381F61">
        <w:rPr>
          <w:rFonts w:ascii="Garamond" w:hAnsi="Garamond"/>
        </w:rPr>
        <w:t>Michael Littlewood</w:t>
      </w:r>
    </w:p>
    <w:p w14:paraId="42EC992E" w14:textId="77777777" w:rsidR="00CC0513" w:rsidRPr="00381F61" w:rsidRDefault="00CC0513" w:rsidP="00E71CEB">
      <w:pPr>
        <w:widowControl w:val="0"/>
        <w:autoSpaceDE w:val="0"/>
        <w:autoSpaceDN w:val="0"/>
        <w:adjustRightInd w:val="0"/>
        <w:jc w:val="both"/>
        <w:rPr>
          <w:rFonts w:ascii="Garamond" w:hAnsi="Garamond"/>
        </w:rPr>
      </w:pPr>
    </w:p>
    <w:p w14:paraId="66701505" w14:textId="488346B1" w:rsidR="00002DC5" w:rsidRPr="00381F61" w:rsidRDefault="00C42A68" w:rsidP="00E71CEB">
      <w:pPr>
        <w:widowControl w:val="0"/>
        <w:autoSpaceDE w:val="0"/>
        <w:autoSpaceDN w:val="0"/>
        <w:adjustRightInd w:val="0"/>
        <w:jc w:val="both"/>
        <w:rPr>
          <w:rFonts w:ascii="Garamond" w:hAnsi="Garamond"/>
        </w:rPr>
      </w:pPr>
      <w:r w:rsidRPr="00381F61">
        <w:rPr>
          <w:rFonts w:ascii="Garamond" w:hAnsi="Garamond"/>
          <w:b/>
        </w:rPr>
        <w:t xml:space="preserve">E </w:t>
      </w:r>
      <w:r w:rsidR="00E55A9C" w:rsidRPr="00381F61">
        <w:rPr>
          <w:rFonts w:ascii="Garamond" w:hAnsi="Garamond"/>
        </w:rPr>
        <w:t>Michael@mcanz.co.nz</w:t>
      </w:r>
      <w:r w:rsidRPr="00381F61">
        <w:rPr>
          <w:rFonts w:ascii="Garamond" w:hAnsi="Garamond"/>
        </w:rPr>
        <w:tab/>
      </w:r>
      <w:r w:rsidRPr="00381F61">
        <w:rPr>
          <w:rFonts w:ascii="Garamond" w:hAnsi="Garamond"/>
        </w:rPr>
        <w:tab/>
      </w:r>
      <w:r w:rsidR="00FE586A" w:rsidRPr="00381F61">
        <w:rPr>
          <w:rFonts w:ascii="Garamond" w:hAnsi="Garamond"/>
        </w:rPr>
        <w:tab/>
      </w:r>
      <w:r w:rsidRPr="00381F61">
        <w:rPr>
          <w:rFonts w:ascii="Garamond" w:hAnsi="Garamond"/>
          <w:b/>
        </w:rPr>
        <w:t>E</w:t>
      </w:r>
      <w:r w:rsidRPr="00381F61">
        <w:rPr>
          <w:rFonts w:ascii="Garamond" w:hAnsi="Garamond"/>
        </w:rPr>
        <w:t xml:space="preserve"> </w:t>
      </w:r>
      <w:r w:rsidR="00E55A9C" w:rsidRPr="00381F61">
        <w:rPr>
          <w:rFonts w:ascii="Garamond" w:hAnsi="Garamond"/>
        </w:rPr>
        <w:t>MichaelR.Littlewood@gmail.com</w:t>
      </w:r>
    </w:p>
    <w:p w14:paraId="74E340B9" w14:textId="70D1219B" w:rsidR="00002DC5" w:rsidRPr="00381F61" w:rsidRDefault="00E55A9C" w:rsidP="00E71CEB">
      <w:pPr>
        <w:widowControl w:val="0"/>
        <w:autoSpaceDE w:val="0"/>
        <w:autoSpaceDN w:val="0"/>
        <w:adjustRightInd w:val="0"/>
        <w:jc w:val="both"/>
        <w:rPr>
          <w:rFonts w:ascii="Garamond" w:hAnsi="Garamond"/>
        </w:rPr>
      </w:pPr>
      <w:r w:rsidRPr="00381F61">
        <w:rPr>
          <w:rFonts w:ascii="Garamond" w:hAnsi="Garamond"/>
          <w:b/>
        </w:rPr>
        <w:t>P</w:t>
      </w:r>
      <w:r w:rsidRPr="00381F61">
        <w:rPr>
          <w:rFonts w:ascii="Garamond" w:hAnsi="Garamond"/>
        </w:rPr>
        <w:t xml:space="preserve"> +64 9 </w:t>
      </w:r>
      <w:r w:rsidR="008D7D27" w:rsidRPr="00381F61">
        <w:rPr>
          <w:rFonts w:ascii="Garamond" w:hAnsi="Garamond"/>
        </w:rPr>
        <w:t>930 7772</w:t>
      </w:r>
      <w:r w:rsidR="008D7D27" w:rsidRPr="00381F61">
        <w:rPr>
          <w:rFonts w:ascii="Garamond" w:hAnsi="Garamond"/>
        </w:rPr>
        <w:tab/>
      </w:r>
      <w:r w:rsidR="008D7D27" w:rsidRPr="00381F61">
        <w:rPr>
          <w:rFonts w:ascii="Garamond" w:hAnsi="Garamond"/>
        </w:rPr>
        <w:tab/>
      </w:r>
      <w:r w:rsidR="008D7D27" w:rsidRPr="00381F61">
        <w:rPr>
          <w:rFonts w:ascii="Garamond" w:hAnsi="Garamond"/>
        </w:rPr>
        <w:tab/>
      </w:r>
      <w:r w:rsidR="00FE586A" w:rsidRPr="00381F61">
        <w:rPr>
          <w:rFonts w:ascii="Garamond" w:hAnsi="Garamond"/>
        </w:rPr>
        <w:tab/>
      </w:r>
      <w:r w:rsidR="008D7D27" w:rsidRPr="00381F61">
        <w:rPr>
          <w:rFonts w:ascii="Garamond" w:hAnsi="Garamond"/>
          <w:b/>
        </w:rPr>
        <w:t>P</w:t>
      </w:r>
      <w:r w:rsidR="008D7D27" w:rsidRPr="00381F61">
        <w:rPr>
          <w:rFonts w:ascii="Garamond" w:hAnsi="Garamond"/>
        </w:rPr>
        <w:t xml:space="preserve"> +64 9 5200 367</w:t>
      </w:r>
    </w:p>
    <w:p w14:paraId="1AC7CD78" w14:textId="5351DE5A" w:rsidR="008D7D27" w:rsidRPr="00381F61" w:rsidRDefault="008D7D27" w:rsidP="00E71CEB">
      <w:pPr>
        <w:widowControl w:val="0"/>
        <w:autoSpaceDE w:val="0"/>
        <w:autoSpaceDN w:val="0"/>
        <w:adjustRightInd w:val="0"/>
        <w:jc w:val="both"/>
        <w:rPr>
          <w:rFonts w:ascii="Garamond" w:hAnsi="Garamond"/>
        </w:rPr>
      </w:pPr>
      <w:r w:rsidRPr="00381F61">
        <w:rPr>
          <w:rFonts w:ascii="Garamond" w:hAnsi="Garamond"/>
          <w:b/>
        </w:rPr>
        <w:t>M</w:t>
      </w:r>
      <w:r w:rsidRPr="00381F61">
        <w:rPr>
          <w:rFonts w:ascii="Garamond" w:hAnsi="Garamond"/>
        </w:rPr>
        <w:t xml:space="preserve"> +64 21 890 999</w:t>
      </w:r>
      <w:r w:rsidR="00570A28" w:rsidRPr="00381F61">
        <w:rPr>
          <w:rFonts w:ascii="Garamond" w:hAnsi="Garamond"/>
        </w:rPr>
        <w:tab/>
      </w:r>
      <w:r w:rsidR="00570A28" w:rsidRPr="00381F61">
        <w:rPr>
          <w:rFonts w:ascii="Garamond" w:hAnsi="Garamond"/>
        </w:rPr>
        <w:tab/>
      </w:r>
      <w:r w:rsidRPr="00381F61">
        <w:rPr>
          <w:rFonts w:ascii="Garamond" w:hAnsi="Garamond"/>
        </w:rPr>
        <w:tab/>
      </w:r>
      <w:r w:rsidR="00FE586A" w:rsidRPr="00381F61">
        <w:rPr>
          <w:rFonts w:ascii="Garamond" w:hAnsi="Garamond"/>
        </w:rPr>
        <w:tab/>
      </w:r>
      <w:r w:rsidRPr="00381F61">
        <w:rPr>
          <w:rFonts w:ascii="Garamond" w:hAnsi="Garamond"/>
          <w:b/>
        </w:rPr>
        <w:t xml:space="preserve">M </w:t>
      </w:r>
      <w:r w:rsidRPr="00381F61">
        <w:rPr>
          <w:rFonts w:ascii="Garamond" w:hAnsi="Garamond"/>
        </w:rPr>
        <w:t>+64 21 677 160</w:t>
      </w:r>
    </w:p>
    <w:p w14:paraId="4E2B2400" w14:textId="77777777" w:rsidR="00002DC5" w:rsidRPr="00381F61" w:rsidRDefault="00002DC5" w:rsidP="00002DC5">
      <w:pPr>
        <w:jc w:val="both"/>
        <w:rPr>
          <w:rFonts w:ascii="Garamond" w:hAnsi="Garamond"/>
        </w:rPr>
      </w:pPr>
    </w:p>
    <w:p w14:paraId="47F8AC03" w14:textId="10D50B1F" w:rsidR="00EA01F5" w:rsidRPr="00381F61" w:rsidRDefault="00EA01F5" w:rsidP="00002DC5">
      <w:pPr>
        <w:jc w:val="both"/>
        <w:rPr>
          <w:rFonts w:ascii="Garamond" w:hAnsi="Garamond"/>
        </w:rPr>
      </w:pPr>
      <w:r w:rsidRPr="00381F61">
        <w:rPr>
          <w:rFonts w:ascii="Garamond" w:hAnsi="Garamond"/>
          <w:b/>
        </w:rPr>
        <w:t>A footnote about this report:</w:t>
      </w:r>
      <w:r w:rsidRPr="00381F61">
        <w:rPr>
          <w:rFonts w:ascii="Garamond" w:hAnsi="Garamond"/>
        </w:rPr>
        <w:t xml:space="preserve"> Whoever runs the research-led, national discussion that we think is a necessary next step, </w:t>
      </w:r>
      <w:r w:rsidR="004206C9" w:rsidRPr="00381F61">
        <w:rPr>
          <w:rFonts w:ascii="Garamond" w:hAnsi="Garamond"/>
        </w:rPr>
        <w:t>should</w:t>
      </w:r>
      <w:r w:rsidRPr="00381F61">
        <w:rPr>
          <w:rFonts w:ascii="Garamond" w:hAnsi="Garamond"/>
        </w:rPr>
        <w:t xml:space="preserve"> address the </w:t>
      </w:r>
      <w:r w:rsidR="00885A2B" w:rsidRPr="00381F61">
        <w:rPr>
          <w:rFonts w:ascii="Garamond" w:hAnsi="Garamond"/>
        </w:rPr>
        <w:t>133</w:t>
      </w:r>
      <w:r w:rsidR="0052329C" w:rsidRPr="00381F61">
        <w:rPr>
          <w:rFonts w:ascii="Garamond" w:hAnsi="Garamond"/>
        </w:rPr>
        <w:t xml:space="preserve"> </w:t>
      </w:r>
      <w:r w:rsidRPr="00381F61">
        <w:rPr>
          <w:rFonts w:ascii="Garamond" w:hAnsi="Garamond"/>
        </w:rPr>
        <w:t>questions that we identify in this report.  As new evidence emerges</w:t>
      </w:r>
      <w:r w:rsidR="00102859" w:rsidRPr="00381F61">
        <w:rPr>
          <w:rFonts w:ascii="Garamond" w:hAnsi="Garamond"/>
        </w:rPr>
        <w:t>,</w:t>
      </w:r>
      <w:r w:rsidRPr="00381F61">
        <w:rPr>
          <w:rFonts w:ascii="Garamond" w:hAnsi="Garamond"/>
        </w:rPr>
        <w:t xml:space="preserve"> or additional issues arise, those </w:t>
      </w:r>
      <w:r w:rsidR="00102859" w:rsidRPr="00381F61">
        <w:rPr>
          <w:rFonts w:ascii="Garamond" w:hAnsi="Garamond"/>
        </w:rPr>
        <w:t>13</w:t>
      </w:r>
      <w:r w:rsidR="00885A2B" w:rsidRPr="00381F61">
        <w:rPr>
          <w:rFonts w:ascii="Garamond" w:hAnsi="Garamond"/>
        </w:rPr>
        <w:t>3</w:t>
      </w:r>
      <w:r w:rsidR="00102859" w:rsidRPr="00381F61">
        <w:rPr>
          <w:rFonts w:ascii="Garamond" w:hAnsi="Garamond"/>
        </w:rPr>
        <w:t xml:space="preserve"> </w:t>
      </w:r>
      <w:r w:rsidRPr="00381F61">
        <w:rPr>
          <w:rFonts w:ascii="Garamond" w:hAnsi="Garamond"/>
        </w:rPr>
        <w:t>questions will need updating.  This report will be a living document and will be updated by that new information.</w:t>
      </w:r>
    </w:p>
    <w:p w14:paraId="09BD4FF5" w14:textId="6144B694" w:rsidR="00492BD2" w:rsidRPr="00381F61" w:rsidRDefault="00492BD2">
      <w:pPr>
        <w:rPr>
          <w:rFonts w:ascii="Garamond" w:hAnsi="Garamond"/>
        </w:rPr>
      </w:pPr>
      <w:r w:rsidRPr="00381F61">
        <w:rPr>
          <w:rFonts w:ascii="Garamond" w:hAnsi="Garamond"/>
        </w:rPr>
        <w:br w:type="page"/>
      </w:r>
    </w:p>
    <w:p w14:paraId="241D400E" w14:textId="5A3785FA" w:rsidR="00CC0513" w:rsidRPr="00381F61" w:rsidRDefault="00492BD2" w:rsidP="00E71CEB">
      <w:pPr>
        <w:widowControl w:val="0"/>
        <w:autoSpaceDE w:val="0"/>
        <w:autoSpaceDN w:val="0"/>
        <w:adjustRightInd w:val="0"/>
        <w:jc w:val="both"/>
        <w:rPr>
          <w:rFonts w:ascii="Garamond" w:hAnsi="Garamond"/>
          <w:b/>
        </w:rPr>
      </w:pPr>
      <w:r w:rsidRPr="00381F61">
        <w:rPr>
          <w:rFonts w:ascii="Garamond" w:hAnsi="Garamond"/>
          <w:b/>
        </w:rPr>
        <w:lastRenderedPageBreak/>
        <w:t>Summary</w:t>
      </w:r>
    </w:p>
    <w:p w14:paraId="112F2F55" w14:textId="77777777" w:rsidR="00492BD2" w:rsidRPr="00381F61" w:rsidRDefault="00492BD2" w:rsidP="00E71CEB">
      <w:pPr>
        <w:widowControl w:val="0"/>
        <w:autoSpaceDE w:val="0"/>
        <w:autoSpaceDN w:val="0"/>
        <w:adjustRightInd w:val="0"/>
        <w:jc w:val="both"/>
        <w:rPr>
          <w:rFonts w:ascii="Garamond" w:hAnsi="Garamond"/>
          <w:b/>
        </w:rPr>
      </w:pPr>
    </w:p>
    <w:p w14:paraId="22C88620" w14:textId="77777777" w:rsidR="00002DC5" w:rsidRPr="00381F61" w:rsidRDefault="00416008" w:rsidP="00E71CEB">
      <w:pPr>
        <w:widowControl w:val="0"/>
        <w:autoSpaceDE w:val="0"/>
        <w:autoSpaceDN w:val="0"/>
        <w:adjustRightInd w:val="0"/>
        <w:jc w:val="both"/>
        <w:rPr>
          <w:rFonts w:ascii="Garamond" w:hAnsi="Garamond"/>
        </w:rPr>
      </w:pPr>
      <w:r w:rsidRPr="00381F61">
        <w:rPr>
          <w:rFonts w:ascii="Garamond" w:hAnsi="Garamond"/>
        </w:rPr>
        <w:t>The following summarise</w:t>
      </w:r>
      <w:r w:rsidR="00002DC5" w:rsidRPr="00381F61">
        <w:rPr>
          <w:rFonts w:ascii="Garamond" w:hAnsi="Garamond"/>
        </w:rPr>
        <w:t>s</w:t>
      </w:r>
      <w:r w:rsidR="00492BD2" w:rsidRPr="00381F61">
        <w:rPr>
          <w:rFonts w:ascii="Garamond" w:hAnsi="Garamond"/>
        </w:rPr>
        <w:t xml:space="preserve"> the key message</w:t>
      </w:r>
      <w:r w:rsidR="0052787C" w:rsidRPr="00381F61">
        <w:rPr>
          <w:rFonts w:ascii="Garamond" w:hAnsi="Garamond"/>
        </w:rPr>
        <w:t>s</w:t>
      </w:r>
      <w:r w:rsidR="00492BD2" w:rsidRPr="00381F61">
        <w:rPr>
          <w:rFonts w:ascii="Garamond" w:hAnsi="Garamond"/>
        </w:rPr>
        <w:t xml:space="preserve"> from each section of this report.</w:t>
      </w:r>
    </w:p>
    <w:p w14:paraId="5F45DD5D" w14:textId="77777777" w:rsidR="00002DC5" w:rsidRPr="00381F61" w:rsidRDefault="00002DC5" w:rsidP="00E71CEB">
      <w:pPr>
        <w:widowControl w:val="0"/>
        <w:autoSpaceDE w:val="0"/>
        <w:autoSpaceDN w:val="0"/>
        <w:adjustRightInd w:val="0"/>
        <w:jc w:val="both"/>
        <w:rPr>
          <w:rFonts w:ascii="Garamond" w:hAnsi="Garamond"/>
        </w:rPr>
      </w:pPr>
    </w:p>
    <w:p w14:paraId="75370E06" w14:textId="04D4369B" w:rsidR="00492BD2" w:rsidRPr="00381F61" w:rsidRDefault="00B036B7" w:rsidP="00E71CEB">
      <w:pPr>
        <w:widowControl w:val="0"/>
        <w:autoSpaceDE w:val="0"/>
        <w:autoSpaceDN w:val="0"/>
        <w:adjustRightInd w:val="0"/>
        <w:jc w:val="both"/>
        <w:rPr>
          <w:rFonts w:ascii="Garamond" w:hAnsi="Garamond"/>
        </w:rPr>
      </w:pPr>
      <w:r w:rsidRPr="00381F61">
        <w:rPr>
          <w:rFonts w:ascii="Garamond" w:hAnsi="Garamond"/>
        </w:rPr>
        <w:t>Each section concludes with a series of ‘Questions that New Zealand needs to discuss’.</w:t>
      </w:r>
      <w:r w:rsidR="00C7685B" w:rsidRPr="00381F61">
        <w:rPr>
          <w:rFonts w:ascii="Garamond" w:hAnsi="Garamond"/>
        </w:rPr>
        <w:t xml:space="preserve">  There are </w:t>
      </w:r>
      <w:r w:rsidR="00885A2B" w:rsidRPr="00381F61">
        <w:rPr>
          <w:rFonts w:ascii="Garamond" w:hAnsi="Garamond"/>
        </w:rPr>
        <w:t xml:space="preserve">133 </w:t>
      </w:r>
      <w:r w:rsidR="00C7685B" w:rsidRPr="00381F61">
        <w:rPr>
          <w:rFonts w:ascii="Garamond" w:hAnsi="Garamond"/>
        </w:rPr>
        <w:t>in all.</w:t>
      </w:r>
    </w:p>
    <w:p w14:paraId="1F660725" w14:textId="77777777" w:rsidR="00492BD2" w:rsidRPr="00381F61" w:rsidRDefault="00492BD2" w:rsidP="00E71CEB">
      <w:pPr>
        <w:widowControl w:val="0"/>
        <w:autoSpaceDE w:val="0"/>
        <w:autoSpaceDN w:val="0"/>
        <w:adjustRightInd w:val="0"/>
        <w:jc w:val="both"/>
        <w:rPr>
          <w:rFonts w:ascii="Garamond" w:hAnsi="Garamond"/>
        </w:rPr>
      </w:pPr>
    </w:p>
    <w:tbl>
      <w:tblPr>
        <w:tblStyle w:val="TableGrid"/>
        <w:tblW w:w="930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7643"/>
        <w:gridCol w:w="802"/>
      </w:tblGrid>
      <w:tr w:rsidR="00416008" w:rsidRPr="00381F61" w14:paraId="56DB5C65" w14:textId="04AF14DE" w:rsidTr="00F2146A">
        <w:tc>
          <w:tcPr>
            <w:tcW w:w="863" w:type="dxa"/>
          </w:tcPr>
          <w:p w14:paraId="4155D6A3" w14:textId="38746EFA" w:rsidR="00416008" w:rsidRPr="00381F61" w:rsidRDefault="00416008" w:rsidP="00E71CEB">
            <w:pPr>
              <w:widowControl w:val="0"/>
              <w:autoSpaceDE w:val="0"/>
              <w:autoSpaceDN w:val="0"/>
              <w:adjustRightInd w:val="0"/>
              <w:jc w:val="both"/>
              <w:rPr>
                <w:rFonts w:ascii="Garamond" w:hAnsi="Garamond"/>
                <w:b/>
                <w:sz w:val="20"/>
                <w:szCs w:val="20"/>
              </w:rPr>
            </w:pPr>
            <w:r w:rsidRPr="00381F61">
              <w:rPr>
                <w:rFonts w:ascii="Garamond" w:hAnsi="Garamond"/>
                <w:b/>
                <w:sz w:val="20"/>
                <w:szCs w:val="20"/>
              </w:rPr>
              <w:t>Section</w:t>
            </w:r>
          </w:p>
        </w:tc>
        <w:tc>
          <w:tcPr>
            <w:tcW w:w="7643" w:type="dxa"/>
          </w:tcPr>
          <w:p w14:paraId="15180DF0" w14:textId="77777777" w:rsidR="00416008" w:rsidRPr="00381F61" w:rsidRDefault="00416008" w:rsidP="00455AD2">
            <w:pPr>
              <w:widowControl w:val="0"/>
              <w:autoSpaceDE w:val="0"/>
              <w:autoSpaceDN w:val="0"/>
              <w:adjustRightInd w:val="0"/>
              <w:ind w:right="-26"/>
              <w:jc w:val="both"/>
              <w:rPr>
                <w:rFonts w:ascii="Garamond" w:hAnsi="Garamond"/>
                <w:b/>
              </w:rPr>
            </w:pPr>
          </w:p>
        </w:tc>
        <w:tc>
          <w:tcPr>
            <w:tcW w:w="802" w:type="dxa"/>
          </w:tcPr>
          <w:p w14:paraId="4BC04ACF" w14:textId="637ECE79" w:rsidR="00416008" w:rsidRPr="00381F61" w:rsidRDefault="00416008" w:rsidP="00455AD2">
            <w:pPr>
              <w:widowControl w:val="0"/>
              <w:autoSpaceDE w:val="0"/>
              <w:autoSpaceDN w:val="0"/>
              <w:adjustRightInd w:val="0"/>
              <w:ind w:right="-26"/>
              <w:jc w:val="both"/>
              <w:rPr>
                <w:rFonts w:ascii="Garamond" w:hAnsi="Garamond"/>
                <w:b/>
                <w:sz w:val="20"/>
                <w:szCs w:val="20"/>
              </w:rPr>
            </w:pPr>
            <w:r w:rsidRPr="00381F61">
              <w:rPr>
                <w:rFonts w:ascii="Garamond" w:hAnsi="Garamond"/>
                <w:b/>
                <w:sz w:val="20"/>
                <w:szCs w:val="20"/>
              </w:rPr>
              <w:t>Page</w:t>
            </w:r>
          </w:p>
        </w:tc>
      </w:tr>
      <w:tr w:rsidR="00043E1D" w:rsidRPr="00381F61" w14:paraId="354E7DE2" w14:textId="77777777" w:rsidTr="00F2146A">
        <w:tc>
          <w:tcPr>
            <w:tcW w:w="863" w:type="dxa"/>
          </w:tcPr>
          <w:p w14:paraId="1F4027E9" w14:textId="7B47E331" w:rsidR="00043E1D" w:rsidRPr="00381F61" w:rsidRDefault="00043E1D" w:rsidP="00E71CEB">
            <w:pPr>
              <w:widowControl w:val="0"/>
              <w:autoSpaceDE w:val="0"/>
              <w:autoSpaceDN w:val="0"/>
              <w:adjustRightInd w:val="0"/>
              <w:jc w:val="both"/>
              <w:rPr>
                <w:rFonts w:ascii="Garamond" w:hAnsi="Garamond"/>
                <w:b/>
                <w:sz w:val="16"/>
                <w:szCs w:val="16"/>
              </w:rPr>
            </w:pPr>
            <w:r w:rsidRPr="00381F61">
              <w:rPr>
                <w:rFonts w:ascii="Garamond" w:hAnsi="Garamond"/>
                <w:b/>
                <w:sz w:val="16"/>
                <w:szCs w:val="16"/>
              </w:rPr>
              <w:t>Summary</w:t>
            </w:r>
          </w:p>
          <w:p w14:paraId="130B4C2B" w14:textId="77777777" w:rsidR="00043E1D" w:rsidRPr="00381F61" w:rsidRDefault="00043E1D" w:rsidP="00E71CEB">
            <w:pPr>
              <w:widowControl w:val="0"/>
              <w:autoSpaceDE w:val="0"/>
              <w:autoSpaceDN w:val="0"/>
              <w:adjustRightInd w:val="0"/>
              <w:jc w:val="both"/>
              <w:rPr>
                <w:rFonts w:ascii="Garamond" w:hAnsi="Garamond"/>
              </w:rPr>
            </w:pPr>
          </w:p>
        </w:tc>
        <w:tc>
          <w:tcPr>
            <w:tcW w:w="7643" w:type="dxa"/>
          </w:tcPr>
          <w:p w14:paraId="3375CC7D" w14:textId="348EEBB4" w:rsidR="00043E1D" w:rsidRPr="00381F61" w:rsidRDefault="004A6FB7" w:rsidP="00455AD2">
            <w:pPr>
              <w:widowControl w:val="0"/>
              <w:autoSpaceDE w:val="0"/>
              <w:autoSpaceDN w:val="0"/>
              <w:adjustRightInd w:val="0"/>
              <w:ind w:right="-26"/>
              <w:jc w:val="both"/>
              <w:rPr>
                <w:rFonts w:ascii="Garamond" w:hAnsi="Garamond"/>
              </w:rPr>
            </w:pPr>
            <w:r w:rsidRPr="00381F61">
              <w:rPr>
                <w:rFonts w:ascii="Garamond" w:hAnsi="Garamond"/>
              </w:rPr>
              <w:t>We summarise each section.</w:t>
            </w:r>
          </w:p>
        </w:tc>
        <w:tc>
          <w:tcPr>
            <w:tcW w:w="802" w:type="dxa"/>
          </w:tcPr>
          <w:p w14:paraId="49329A19" w14:textId="58187183" w:rsidR="00043E1D" w:rsidRPr="00381F61" w:rsidRDefault="00043E1D" w:rsidP="00455AD2">
            <w:pPr>
              <w:widowControl w:val="0"/>
              <w:autoSpaceDE w:val="0"/>
              <w:autoSpaceDN w:val="0"/>
              <w:adjustRightInd w:val="0"/>
              <w:ind w:right="-26"/>
              <w:jc w:val="both"/>
              <w:rPr>
                <w:rFonts w:ascii="Garamond" w:hAnsi="Garamond"/>
              </w:rPr>
            </w:pPr>
            <w:r w:rsidRPr="00381F61">
              <w:rPr>
                <w:rFonts w:ascii="Garamond" w:hAnsi="Garamond"/>
              </w:rPr>
              <w:t xml:space="preserve">  </w:t>
            </w:r>
            <w:r w:rsidR="003B3D0E">
              <w:rPr>
                <w:rFonts w:ascii="Garamond" w:hAnsi="Garamond"/>
              </w:rPr>
              <w:t>8</w:t>
            </w:r>
          </w:p>
        </w:tc>
      </w:tr>
      <w:tr w:rsidR="005749ED" w:rsidRPr="00381F61" w14:paraId="076D7E56" w14:textId="77777777" w:rsidTr="00F2146A">
        <w:tc>
          <w:tcPr>
            <w:tcW w:w="863" w:type="dxa"/>
          </w:tcPr>
          <w:p w14:paraId="2D7734E8" w14:textId="0E9458E6" w:rsidR="005749ED" w:rsidRPr="00381F61" w:rsidRDefault="005749ED" w:rsidP="00E71CEB">
            <w:pPr>
              <w:widowControl w:val="0"/>
              <w:autoSpaceDE w:val="0"/>
              <w:autoSpaceDN w:val="0"/>
              <w:adjustRightInd w:val="0"/>
              <w:jc w:val="both"/>
              <w:rPr>
                <w:rFonts w:ascii="Garamond" w:hAnsi="Garamond"/>
              </w:rPr>
            </w:pPr>
            <w:r w:rsidRPr="00381F61">
              <w:rPr>
                <w:rFonts w:ascii="Garamond" w:hAnsi="Garamond"/>
              </w:rPr>
              <w:t xml:space="preserve">  1.</w:t>
            </w:r>
          </w:p>
        </w:tc>
        <w:tc>
          <w:tcPr>
            <w:tcW w:w="7643" w:type="dxa"/>
          </w:tcPr>
          <w:p w14:paraId="1CB600FA" w14:textId="61156F06" w:rsidR="005749ED" w:rsidRPr="00381F61" w:rsidRDefault="005749ED" w:rsidP="00455AD2">
            <w:pPr>
              <w:widowControl w:val="0"/>
              <w:autoSpaceDE w:val="0"/>
              <w:autoSpaceDN w:val="0"/>
              <w:adjustRightInd w:val="0"/>
              <w:ind w:right="-26"/>
              <w:jc w:val="both"/>
              <w:rPr>
                <w:rFonts w:ascii="Garamond" w:hAnsi="Garamond"/>
              </w:rPr>
            </w:pPr>
            <w:r w:rsidRPr="00381F61">
              <w:rPr>
                <w:rFonts w:ascii="Garamond" w:hAnsi="Garamond"/>
                <w:b/>
              </w:rPr>
              <w:t>Our vision</w:t>
            </w:r>
            <w:r w:rsidR="00E16E99" w:rsidRPr="00381F61">
              <w:rPr>
                <w:rFonts w:ascii="Garamond" w:hAnsi="Garamond"/>
                <w:b/>
              </w:rPr>
              <w:t xml:space="preserve"> – reforms that </w:t>
            </w:r>
            <w:r w:rsidR="00D3424D" w:rsidRPr="00381F61">
              <w:rPr>
                <w:rFonts w:ascii="Garamond" w:hAnsi="Garamond"/>
                <w:b/>
              </w:rPr>
              <w:t xml:space="preserve">really </w:t>
            </w:r>
            <w:r w:rsidR="00E16E99" w:rsidRPr="00381F61">
              <w:rPr>
                <w:rFonts w:ascii="Garamond" w:hAnsi="Garamond"/>
                <w:b/>
              </w:rPr>
              <w:t>matter</w:t>
            </w:r>
            <w:r w:rsidRPr="00381F61">
              <w:rPr>
                <w:rFonts w:ascii="Garamond" w:hAnsi="Garamond"/>
                <w:b/>
              </w:rPr>
              <w:t>:</w:t>
            </w:r>
            <w:r w:rsidRPr="00381F61">
              <w:rPr>
                <w:rFonts w:ascii="Garamond" w:hAnsi="Garamond"/>
              </w:rPr>
              <w:t xml:space="preserve"> So as to put this report in context, we list the nine key </w:t>
            </w:r>
            <w:r w:rsidR="00AD73A8" w:rsidRPr="00381F61">
              <w:rPr>
                <w:rFonts w:ascii="Garamond" w:hAnsi="Garamond"/>
              </w:rPr>
              <w:t xml:space="preserve">issues or reforms that </w:t>
            </w:r>
            <w:r w:rsidRPr="00381F61">
              <w:rPr>
                <w:rFonts w:ascii="Garamond" w:hAnsi="Garamond"/>
              </w:rPr>
              <w:t xml:space="preserve">we see as essential to </w:t>
            </w:r>
            <w:r w:rsidR="00F519BC" w:rsidRPr="00381F61">
              <w:rPr>
                <w:rFonts w:ascii="Garamond" w:hAnsi="Garamond"/>
              </w:rPr>
              <w:t xml:space="preserve">a sustainable, flexible, inclusive retirement income framework.  </w:t>
            </w:r>
            <w:r w:rsidR="00A253E3" w:rsidRPr="00381F61">
              <w:rPr>
                <w:rFonts w:ascii="Garamond" w:hAnsi="Garamond"/>
              </w:rPr>
              <w:t>We list them</w:t>
            </w:r>
            <w:r w:rsidR="00F519BC" w:rsidRPr="00381F61">
              <w:rPr>
                <w:rFonts w:ascii="Garamond" w:hAnsi="Garamond"/>
              </w:rPr>
              <w:t xml:space="preserve"> in order of significance to us, starting with greater economic growth.</w:t>
            </w:r>
          </w:p>
          <w:p w14:paraId="51357455" w14:textId="0875727E" w:rsidR="00F519BC" w:rsidRPr="00381F61" w:rsidRDefault="00F519BC" w:rsidP="00455AD2">
            <w:pPr>
              <w:widowControl w:val="0"/>
              <w:autoSpaceDE w:val="0"/>
              <w:autoSpaceDN w:val="0"/>
              <w:adjustRightInd w:val="0"/>
              <w:ind w:right="-26"/>
              <w:jc w:val="both"/>
              <w:rPr>
                <w:rFonts w:ascii="Garamond" w:hAnsi="Garamond"/>
              </w:rPr>
            </w:pPr>
          </w:p>
        </w:tc>
        <w:tc>
          <w:tcPr>
            <w:tcW w:w="802" w:type="dxa"/>
          </w:tcPr>
          <w:p w14:paraId="0ABCC8BC" w14:textId="2E85600B" w:rsidR="005749ED" w:rsidRPr="00381F61" w:rsidRDefault="003B3D0E" w:rsidP="00455AD2">
            <w:pPr>
              <w:widowControl w:val="0"/>
              <w:autoSpaceDE w:val="0"/>
              <w:autoSpaceDN w:val="0"/>
              <w:adjustRightInd w:val="0"/>
              <w:ind w:right="-26"/>
              <w:jc w:val="both"/>
              <w:rPr>
                <w:rFonts w:ascii="Garamond" w:hAnsi="Garamond"/>
              </w:rPr>
            </w:pPr>
            <w:r>
              <w:rPr>
                <w:rFonts w:ascii="Garamond" w:hAnsi="Garamond"/>
              </w:rPr>
              <w:t>11</w:t>
            </w:r>
          </w:p>
        </w:tc>
      </w:tr>
      <w:tr w:rsidR="00416008" w:rsidRPr="00381F61" w14:paraId="6565A3CE" w14:textId="2B02CFF3" w:rsidTr="00F2146A">
        <w:tc>
          <w:tcPr>
            <w:tcW w:w="863" w:type="dxa"/>
          </w:tcPr>
          <w:p w14:paraId="38298546" w14:textId="2EA686A7"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 xml:space="preserve">  </w:t>
            </w:r>
            <w:r w:rsidR="00F519BC" w:rsidRPr="00381F61">
              <w:rPr>
                <w:rFonts w:ascii="Garamond" w:hAnsi="Garamond"/>
              </w:rPr>
              <w:t>2</w:t>
            </w:r>
            <w:r w:rsidRPr="00381F61">
              <w:rPr>
                <w:rFonts w:ascii="Garamond" w:hAnsi="Garamond"/>
              </w:rPr>
              <w:t>.</w:t>
            </w:r>
          </w:p>
        </w:tc>
        <w:tc>
          <w:tcPr>
            <w:tcW w:w="7643" w:type="dxa"/>
          </w:tcPr>
          <w:p w14:paraId="0E2826D1" w14:textId="5C3F8411" w:rsidR="00416008" w:rsidRPr="00381F61" w:rsidRDefault="00416008" w:rsidP="00455AD2">
            <w:pPr>
              <w:widowControl w:val="0"/>
              <w:autoSpaceDE w:val="0"/>
              <w:autoSpaceDN w:val="0"/>
              <w:adjustRightInd w:val="0"/>
              <w:ind w:right="-26"/>
              <w:jc w:val="both"/>
              <w:rPr>
                <w:rFonts w:ascii="Garamond" w:hAnsi="Garamond"/>
              </w:rPr>
            </w:pPr>
            <w:r w:rsidRPr="00381F61">
              <w:rPr>
                <w:rFonts w:ascii="Garamond" w:hAnsi="Garamond"/>
                <w:b/>
              </w:rPr>
              <w:t xml:space="preserve">Economic growth: </w:t>
            </w:r>
            <w:r w:rsidRPr="00381F61">
              <w:rPr>
                <w:rFonts w:ascii="Garamond" w:hAnsi="Garamond"/>
              </w:rPr>
              <w:t>Growing the economy is the first priority in preparing for an ageing population.  A bigger pie means there is more to share amongst everyone, including the old.  I</w:t>
            </w:r>
            <w:r w:rsidR="00345B08" w:rsidRPr="00381F61">
              <w:rPr>
                <w:rFonts w:ascii="Garamond" w:hAnsi="Garamond"/>
              </w:rPr>
              <w:t>f we want a ‘better’ retirement, i</w:t>
            </w:r>
            <w:r w:rsidRPr="00381F61">
              <w:rPr>
                <w:rFonts w:ascii="Garamond" w:hAnsi="Garamond"/>
              </w:rPr>
              <w:t>mproving productivity is also important</w:t>
            </w:r>
            <w:r w:rsidR="00233DE4" w:rsidRPr="00381F61">
              <w:rPr>
                <w:rFonts w:ascii="Garamond" w:hAnsi="Garamond"/>
              </w:rPr>
              <w:t>, particularly</w:t>
            </w:r>
            <w:r w:rsidRPr="00381F61">
              <w:rPr>
                <w:rFonts w:ascii="Garamond" w:hAnsi="Garamond"/>
              </w:rPr>
              <w:t xml:space="preserve"> as the proportion of ‘workers’ shrinks.</w:t>
            </w:r>
          </w:p>
          <w:p w14:paraId="2BEAAFC3" w14:textId="0690A449" w:rsidR="00416008" w:rsidRPr="00381F61" w:rsidRDefault="00416008" w:rsidP="00455AD2">
            <w:pPr>
              <w:widowControl w:val="0"/>
              <w:autoSpaceDE w:val="0"/>
              <w:autoSpaceDN w:val="0"/>
              <w:adjustRightInd w:val="0"/>
              <w:ind w:right="-26"/>
              <w:jc w:val="both"/>
              <w:rPr>
                <w:rFonts w:ascii="Garamond" w:hAnsi="Garamond"/>
              </w:rPr>
            </w:pPr>
          </w:p>
        </w:tc>
        <w:tc>
          <w:tcPr>
            <w:tcW w:w="802" w:type="dxa"/>
          </w:tcPr>
          <w:p w14:paraId="25F07492" w14:textId="3533E2CB"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13</w:t>
            </w:r>
          </w:p>
        </w:tc>
      </w:tr>
      <w:tr w:rsidR="00416008" w:rsidRPr="00381F61" w14:paraId="1E8F92EF" w14:textId="14B4CFF8" w:rsidTr="00F2146A">
        <w:tc>
          <w:tcPr>
            <w:tcW w:w="863" w:type="dxa"/>
          </w:tcPr>
          <w:p w14:paraId="0749F91F" w14:textId="45888FA2"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 xml:space="preserve">  </w:t>
            </w:r>
            <w:r w:rsidR="00F519BC" w:rsidRPr="00381F61">
              <w:rPr>
                <w:rFonts w:ascii="Garamond" w:hAnsi="Garamond"/>
              </w:rPr>
              <w:t>3</w:t>
            </w:r>
            <w:r w:rsidRPr="00381F61">
              <w:rPr>
                <w:rFonts w:ascii="Garamond" w:hAnsi="Garamond"/>
              </w:rPr>
              <w:t>.</w:t>
            </w:r>
          </w:p>
        </w:tc>
        <w:tc>
          <w:tcPr>
            <w:tcW w:w="7643" w:type="dxa"/>
          </w:tcPr>
          <w:p w14:paraId="3565CA90" w14:textId="46C85BA0" w:rsidR="00416008" w:rsidRPr="00381F61" w:rsidRDefault="00416008" w:rsidP="00455AD2">
            <w:pPr>
              <w:widowControl w:val="0"/>
              <w:autoSpaceDE w:val="0"/>
              <w:autoSpaceDN w:val="0"/>
              <w:adjustRightInd w:val="0"/>
              <w:ind w:right="-26"/>
              <w:jc w:val="both"/>
              <w:rPr>
                <w:rFonts w:ascii="Garamond" w:hAnsi="Garamond"/>
              </w:rPr>
            </w:pPr>
            <w:r w:rsidRPr="00381F61">
              <w:rPr>
                <w:rFonts w:ascii="Garamond" w:hAnsi="Garamond"/>
                <w:b/>
              </w:rPr>
              <w:t xml:space="preserve">Economic claims: </w:t>
            </w:r>
            <w:r w:rsidRPr="00381F61">
              <w:rPr>
                <w:rFonts w:ascii="Garamond" w:hAnsi="Garamond"/>
              </w:rPr>
              <w:t>Public pensions and private retirement savings are both claims against the economy to support the old.  Neither is more ‘secure’ than the other</w:t>
            </w:r>
            <w:r w:rsidR="000F74B8" w:rsidRPr="00381F61">
              <w:rPr>
                <w:rFonts w:ascii="Garamond" w:hAnsi="Garamond"/>
              </w:rPr>
              <w:t xml:space="preserve"> as b</w:t>
            </w:r>
            <w:r w:rsidRPr="00381F61">
              <w:rPr>
                <w:rFonts w:ascii="Garamond" w:hAnsi="Garamond"/>
              </w:rPr>
              <w:t>oth depend on the strength of the contemporary economy.</w:t>
            </w:r>
            <w:r w:rsidR="002A0D34" w:rsidRPr="00381F61">
              <w:rPr>
                <w:rFonts w:ascii="Garamond" w:hAnsi="Garamond"/>
              </w:rPr>
              <w:t xml:space="preserve"> </w:t>
            </w:r>
            <w:r w:rsidR="00750A41" w:rsidRPr="00381F61">
              <w:rPr>
                <w:rFonts w:ascii="Garamond" w:hAnsi="Garamond"/>
              </w:rPr>
              <w:t xml:space="preserve"> Countries cannot ‘save for retirement’.</w:t>
            </w:r>
            <w:r w:rsidR="00233DE4" w:rsidRPr="00381F61">
              <w:rPr>
                <w:rFonts w:ascii="Garamond" w:hAnsi="Garamond"/>
              </w:rPr>
              <w:t xml:space="preserve">  Individuals save for retirement by building up claims on future economic activity.</w:t>
            </w:r>
          </w:p>
          <w:p w14:paraId="3BE6C13A" w14:textId="7FD6B025" w:rsidR="00416008" w:rsidRPr="00381F61" w:rsidRDefault="00416008" w:rsidP="00455AD2">
            <w:pPr>
              <w:widowControl w:val="0"/>
              <w:autoSpaceDE w:val="0"/>
              <w:autoSpaceDN w:val="0"/>
              <w:adjustRightInd w:val="0"/>
              <w:ind w:right="-26"/>
              <w:jc w:val="both"/>
              <w:rPr>
                <w:rFonts w:ascii="Garamond" w:hAnsi="Garamond"/>
              </w:rPr>
            </w:pPr>
          </w:p>
        </w:tc>
        <w:tc>
          <w:tcPr>
            <w:tcW w:w="802" w:type="dxa"/>
          </w:tcPr>
          <w:p w14:paraId="779B2925" w14:textId="22905ED7" w:rsidR="00416008" w:rsidRPr="00381F61" w:rsidRDefault="00043E1D" w:rsidP="00455AD2">
            <w:pPr>
              <w:widowControl w:val="0"/>
              <w:autoSpaceDE w:val="0"/>
              <w:autoSpaceDN w:val="0"/>
              <w:adjustRightInd w:val="0"/>
              <w:ind w:right="-26"/>
              <w:jc w:val="both"/>
              <w:rPr>
                <w:rFonts w:ascii="Garamond" w:hAnsi="Garamond"/>
              </w:rPr>
            </w:pPr>
            <w:r w:rsidRPr="00381F61">
              <w:rPr>
                <w:rFonts w:ascii="Garamond" w:hAnsi="Garamond"/>
              </w:rPr>
              <w:t>1</w:t>
            </w:r>
            <w:r w:rsidR="003B3D0E">
              <w:rPr>
                <w:rFonts w:ascii="Garamond" w:hAnsi="Garamond"/>
              </w:rPr>
              <w:t>6</w:t>
            </w:r>
          </w:p>
        </w:tc>
      </w:tr>
      <w:tr w:rsidR="00416008" w:rsidRPr="00381F61" w14:paraId="5FBCD260" w14:textId="1686584B" w:rsidTr="00F2146A">
        <w:tc>
          <w:tcPr>
            <w:tcW w:w="863" w:type="dxa"/>
          </w:tcPr>
          <w:p w14:paraId="05048B88" w14:textId="22FB00F6"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 xml:space="preserve">  </w:t>
            </w:r>
            <w:r w:rsidR="00F519BC" w:rsidRPr="00381F61">
              <w:rPr>
                <w:rFonts w:ascii="Garamond" w:hAnsi="Garamond"/>
              </w:rPr>
              <w:t>4</w:t>
            </w:r>
            <w:r w:rsidRPr="00381F61">
              <w:rPr>
                <w:rFonts w:ascii="Garamond" w:hAnsi="Garamond"/>
              </w:rPr>
              <w:t>.</w:t>
            </w:r>
          </w:p>
        </w:tc>
        <w:tc>
          <w:tcPr>
            <w:tcW w:w="7643" w:type="dxa"/>
          </w:tcPr>
          <w:p w14:paraId="62335633" w14:textId="0924C8ED" w:rsidR="00416008" w:rsidRPr="00381F61" w:rsidRDefault="00BE5938" w:rsidP="00455AD2">
            <w:pPr>
              <w:widowControl w:val="0"/>
              <w:autoSpaceDE w:val="0"/>
              <w:autoSpaceDN w:val="0"/>
              <w:adjustRightInd w:val="0"/>
              <w:ind w:right="-26"/>
              <w:jc w:val="both"/>
              <w:rPr>
                <w:rFonts w:ascii="Garamond" w:hAnsi="Garamond"/>
              </w:rPr>
            </w:pPr>
            <w:r w:rsidRPr="00381F61">
              <w:rPr>
                <w:rFonts w:ascii="Garamond" w:hAnsi="Garamond"/>
                <w:b/>
              </w:rPr>
              <w:t>Future cost of NZS</w:t>
            </w:r>
            <w:r w:rsidR="00416008" w:rsidRPr="00381F61">
              <w:rPr>
                <w:rFonts w:ascii="Garamond" w:hAnsi="Garamond"/>
                <w:b/>
              </w:rPr>
              <w:t xml:space="preserve">: </w:t>
            </w:r>
            <w:r w:rsidRPr="00381F61">
              <w:rPr>
                <w:rFonts w:ascii="Garamond" w:hAnsi="Garamond"/>
              </w:rPr>
              <w:t xml:space="preserve">The Treasury makes regular estimates of the future cost of New Zealand Superannuation.  However, tomorrow’s taxpayers will decide how much to </w:t>
            </w:r>
            <w:r w:rsidR="00845144" w:rsidRPr="00381F61">
              <w:rPr>
                <w:rFonts w:ascii="Garamond" w:hAnsi="Garamond"/>
              </w:rPr>
              <w:t xml:space="preserve">spend </w:t>
            </w:r>
            <w:r w:rsidR="00960E04" w:rsidRPr="00381F61">
              <w:rPr>
                <w:rFonts w:ascii="Garamond" w:hAnsi="Garamond"/>
              </w:rPr>
              <w:t>o</w:t>
            </w:r>
            <w:r w:rsidRPr="00381F61">
              <w:rPr>
                <w:rFonts w:ascii="Garamond" w:hAnsi="Garamond"/>
              </w:rPr>
              <w:t xml:space="preserve">n pensions and any decisions </w:t>
            </w:r>
            <w:r w:rsidR="00173684" w:rsidRPr="00381F61">
              <w:rPr>
                <w:rFonts w:ascii="Garamond" w:hAnsi="Garamond"/>
              </w:rPr>
              <w:t xml:space="preserve">that </w:t>
            </w:r>
            <w:r w:rsidRPr="00381F61">
              <w:rPr>
                <w:rFonts w:ascii="Garamond" w:hAnsi="Garamond"/>
              </w:rPr>
              <w:t>today’s voters make won’t make any difference to that.</w:t>
            </w:r>
          </w:p>
          <w:p w14:paraId="1A69966F" w14:textId="5C9F314E" w:rsidR="00416008" w:rsidRPr="00381F61" w:rsidRDefault="00416008" w:rsidP="00455AD2">
            <w:pPr>
              <w:widowControl w:val="0"/>
              <w:autoSpaceDE w:val="0"/>
              <w:autoSpaceDN w:val="0"/>
              <w:adjustRightInd w:val="0"/>
              <w:ind w:right="-26"/>
              <w:jc w:val="both"/>
              <w:rPr>
                <w:rFonts w:ascii="Garamond" w:hAnsi="Garamond"/>
              </w:rPr>
            </w:pPr>
          </w:p>
        </w:tc>
        <w:tc>
          <w:tcPr>
            <w:tcW w:w="802" w:type="dxa"/>
          </w:tcPr>
          <w:p w14:paraId="3AF605CB" w14:textId="17931076" w:rsidR="00416008" w:rsidRPr="00381F61" w:rsidRDefault="00FC18C1" w:rsidP="00455AD2">
            <w:pPr>
              <w:widowControl w:val="0"/>
              <w:autoSpaceDE w:val="0"/>
              <w:autoSpaceDN w:val="0"/>
              <w:adjustRightInd w:val="0"/>
              <w:ind w:right="-26"/>
              <w:jc w:val="both"/>
              <w:rPr>
                <w:rFonts w:ascii="Garamond" w:hAnsi="Garamond"/>
              </w:rPr>
            </w:pPr>
            <w:r w:rsidRPr="00381F61">
              <w:rPr>
                <w:rFonts w:ascii="Garamond" w:hAnsi="Garamond"/>
              </w:rPr>
              <w:t>1</w:t>
            </w:r>
            <w:r w:rsidR="003B3D0E">
              <w:rPr>
                <w:rFonts w:ascii="Garamond" w:hAnsi="Garamond"/>
              </w:rPr>
              <w:t>8</w:t>
            </w:r>
          </w:p>
        </w:tc>
      </w:tr>
      <w:tr w:rsidR="00416008" w:rsidRPr="00381F61" w14:paraId="29A292C1" w14:textId="0B4920B4" w:rsidTr="00F2146A">
        <w:tc>
          <w:tcPr>
            <w:tcW w:w="863" w:type="dxa"/>
          </w:tcPr>
          <w:p w14:paraId="69DF9399" w14:textId="12609F4F"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 xml:space="preserve">  </w:t>
            </w:r>
            <w:r w:rsidR="00F519BC" w:rsidRPr="00381F61">
              <w:rPr>
                <w:rFonts w:ascii="Garamond" w:hAnsi="Garamond"/>
              </w:rPr>
              <w:t>5</w:t>
            </w:r>
            <w:r w:rsidRPr="00381F61">
              <w:rPr>
                <w:rFonts w:ascii="Garamond" w:hAnsi="Garamond"/>
              </w:rPr>
              <w:t>.</w:t>
            </w:r>
          </w:p>
        </w:tc>
        <w:tc>
          <w:tcPr>
            <w:tcW w:w="7643" w:type="dxa"/>
          </w:tcPr>
          <w:p w14:paraId="583D02B1" w14:textId="1796B9A5" w:rsidR="00416008" w:rsidRPr="00381F61" w:rsidRDefault="00416008" w:rsidP="00455AD2">
            <w:pPr>
              <w:widowControl w:val="0"/>
              <w:autoSpaceDE w:val="0"/>
              <w:autoSpaceDN w:val="0"/>
              <w:adjustRightInd w:val="0"/>
              <w:ind w:right="-26"/>
              <w:jc w:val="both"/>
              <w:rPr>
                <w:rFonts w:ascii="Garamond" w:hAnsi="Garamond"/>
              </w:rPr>
            </w:pPr>
            <w:r w:rsidRPr="00381F61">
              <w:rPr>
                <w:rFonts w:ascii="Garamond" w:hAnsi="Garamond"/>
                <w:b/>
              </w:rPr>
              <w:t xml:space="preserve">NZS </w:t>
            </w:r>
            <w:r w:rsidR="000D43A4" w:rsidRPr="00381F61">
              <w:rPr>
                <w:rFonts w:ascii="Garamond" w:hAnsi="Garamond"/>
                <w:b/>
              </w:rPr>
              <w:t>un</w:t>
            </w:r>
            <w:r w:rsidRPr="00381F61">
              <w:rPr>
                <w:rFonts w:ascii="Garamond" w:hAnsi="Garamond"/>
                <w:b/>
              </w:rPr>
              <w:t xml:space="preserve">sustainable? </w:t>
            </w:r>
            <w:r w:rsidRPr="00381F61">
              <w:rPr>
                <w:rFonts w:ascii="Garamond" w:hAnsi="Garamond"/>
              </w:rPr>
              <w:t>NZS is ‘sustainable’</w:t>
            </w:r>
            <w:r w:rsidR="000F0BB0" w:rsidRPr="00381F61">
              <w:rPr>
                <w:rFonts w:ascii="Garamond" w:hAnsi="Garamond"/>
              </w:rPr>
              <w:t xml:space="preserve">.  In 2060, its expected cost </w:t>
            </w:r>
            <w:r w:rsidR="00102497" w:rsidRPr="00381F61">
              <w:rPr>
                <w:rFonts w:ascii="Garamond" w:hAnsi="Garamond"/>
              </w:rPr>
              <w:t xml:space="preserve">will be </w:t>
            </w:r>
            <w:r w:rsidRPr="00381F61">
              <w:rPr>
                <w:rFonts w:ascii="Garamond" w:hAnsi="Garamond"/>
              </w:rPr>
              <w:t xml:space="preserve">less than the OECD countries’ average cost </w:t>
            </w:r>
            <w:r w:rsidR="009A5280" w:rsidRPr="00381F61">
              <w:rPr>
                <w:rFonts w:ascii="Garamond" w:hAnsi="Garamond"/>
              </w:rPr>
              <w:t xml:space="preserve">of pensions </w:t>
            </w:r>
            <w:r w:rsidRPr="00381F61">
              <w:rPr>
                <w:rFonts w:ascii="Garamond" w:hAnsi="Garamond"/>
              </w:rPr>
              <w:t>in 2011.</w:t>
            </w:r>
            <w:r w:rsidR="000F0BB0" w:rsidRPr="00381F61">
              <w:rPr>
                <w:rFonts w:ascii="Garamond" w:hAnsi="Garamond"/>
              </w:rPr>
              <w:t xml:space="preserve">  As ever, </w:t>
            </w:r>
            <w:r w:rsidR="009A5280" w:rsidRPr="00381F61">
              <w:rPr>
                <w:rFonts w:ascii="Garamond" w:hAnsi="Garamond"/>
              </w:rPr>
              <w:t>it</w:t>
            </w:r>
            <w:r w:rsidR="000F0BB0" w:rsidRPr="00381F61">
              <w:rPr>
                <w:rFonts w:ascii="Garamond" w:hAnsi="Garamond"/>
              </w:rPr>
              <w:t xml:space="preserve"> will be for taxpayers of the day</w:t>
            </w:r>
            <w:r w:rsidR="000029B3" w:rsidRPr="00381F61">
              <w:rPr>
                <w:rFonts w:ascii="Garamond" w:hAnsi="Garamond"/>
              </w:rPr>
              <w:t xml:space="preserve"> (not today)</w:t>
            </w:r>
            <w:r w:rsidR="000F0BB0" w:rsidRPr="00381F61">
              <w:rPr>
                <w:rFonts w:ascii="Garamond" w:hAnsi="Garamond"/>
              </w:rPr>
              <w:t xml:space="preserve"> to resolve</w:t>
            </w:r>
            <w:r w:rsidR="00750A41" w:rsidRPr="00381F61">
              <w:rPr>
                <w:rFonts w:ascii="Garamond" w:hAnsi="Garamond"/>
              </w:rPr>
              <w:t xml:space="preserve"> their</w:t>
            </w:r>
            <w:r w:rsidR="00396BBD" w:rsidRPr="00381F61">
              <w:rPr>
                <w:rFonts w:ascii="Garamond" w:hAnsi="Garamond"/>
              </w:rPr>
              <w:t xml:space="preserve"> own</w:t>
            </w:r>
            <w:r w:rsidR="00750A41" w:rsidRPr="00381F61">
              <w:rPr>
                <w:rFonts w:ascii="Garamond" w:hAnsi="Garamond"/>
              </w:rPr>
              <w:t xml:space="preserve"> spending priorities</w:t>
            </w:r>
            <w:r w:rsidR="000F0BB0" w:rsidRPr="00381F61">
              <w:rPr>
                <w:rFonts w:ascii="Garamond" w:hAnsi="Garamond"/>
              </w:rPr>
              <w:t xml:space="preserve">. </w:t>
            </w:r>
          </w:p>
          <w:p w14:paraId="412E55E9" w14:textId="132A48F1" w:rsidR="00416008" w:rsidRPr="00381F61" w:rsidRDefault="00416008" w:rsidP="00455AD2">
            <w:pPr>
              <w:widowControl w:val="0"/>
              <w:autoSpaceDE w:val="0"/>
              <w:autoSpaceDN w:val="0"/>
              <w:adjustRightInd w:val="0"/>
              <w:ind w:right="-26"/>
              <w:jc w:val="both"/>
              <w:rPr>
                <w:rFonts w:ascii="Garamond" w:hAnsi="Garamond"/>
              </w:rPr>
            </w:pPr>
          </w:p>
        </w:tc>
        <w:tc>
          <w:tcPr>
            <w:tcW w:w="802" w:type="dxa"/>
          </w:tcPr>
          <w:p w14:paraId="0F7858B5" w14:textId="7D532780"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21</w:t>
            </w:r>
          </w:p>
        </w:tc>
      </w:tr>
      <w:tr w:rsidR="00416008" w:rsidRPr="00381F61" w14:paraId="34510455" w14:textId="16EFDDE4" w:rsidTr="00F2146A">
        <w:tc>
          <w:tcPr>
            <w:tcW w:w="863" w:type="dxa"/>
          </w:tcPr>
          <w:p w14:paraId="5CE4B80C" w14:textId="1FCC472F"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 xml:space="preserve">  </w:t>
            </w:r>
            <w:r w:rsidR="00F519BC" w:rsidRPr="00381F61">
              <w:rPr>
                <w:rFonts w:ascii="Garamond" w:hAnsi="Garamond"/>
              </w:rPr>
              <w:t>6</w:t>
            </w:r>
            <w:r w:rsidRPr="00381F61">
              <w:rPr>
                <w:rFonts w:ascii="Garamond" w:hAnsi="Garamond"/>
              </w:rPr>
              <w:t>.</w:t>
            </w:r>
          </w:p>
        </w:tc>
        <w:tc>
          <w:tcPr>
            <w:tcW w:w="7643" w:type="dxa"/>
          </w:tcPr>
          <w:p w14:paraId="08234D9F" w14:textId="0C5CA5CB" w:rsidR="00416008" w:rsidRPr="00381F61" w:rsidRDefault="00416008" w:rsidP="00455AD2">
            <w:pPr>
              <w:widowControl w:val="0"/>
              <w:autoSpaceDE w:val="0"/>
              <w:autoSpaceDN w:val="0"/>
              <w:adjustRightInd w:val="0"/>
              <w:ind w:right="-26"/>
              <w:jc w:val="both"/>
              <w:rPr>
                <w:rFonts w:ascii="Garamond" w:hAnsi="Garamond"/>
              </w:rPr>
            </w:pPr>
            <w:r w:rsidRPr="00381F61">
              <w:rPr>
                <w:rFonts w:ascii="Garamond" w:hAnsi="Garamond"/>
                <w:b/>
              </w:rPr>
              <w:t>Review NZS today:</w:t>
            </w:r>
            <w:r w:rsidRPr="00381F61">
              <w:rPr>
                <w:rFonts w:ascii="Garamond" w:hAnsi="Garamond"/>
              </w:rPr>
              <w:t xml:space="preserve"> We have never had a research-led national discussion on </w:t>
            </w:r>
            <w:r w:rsidR="00750A41" w:rsidRPr="00381F61">
              <w:rPr>
                <w:rFonts w:ascii="Garamond" w:hAnsi="Garamond"/>
              </w:rPr>
              <w:t xml:space="preserve">any of </w:t>
            </w:r>
            <w:r w:rsidRPr="00381F61">
              <w:rPr>
                <w:rFonts w:ascii="Garamond" w:hAnsi="Garamond"/>
              </w:rPr>
              <w:t>the 13 design components of NZS.  We should start that today.</w:t>
            </w:r>
            <w:r w:rsidR="000D43A4" w:rsidRPr="00381F61">
              <w:rPr>
                <w:rFonts w:ascii="Garamond" w:hAnsi="Garamond"/>
              </w:rPr>
              <w:t xml:space="preserve">  We spend a net $1</w:t>
            </w:r>
            <w:r w:rsidR="00980927" w:rsidRPr="00381F61">
              <w:rPr>
                <w:rFonts w:ascii="Garamond" w:hAnsi="Garamond"/>
              </w:rPr>
              <w:t>2.3</w:t>
            </w:r>
            <w:r w:rsidR="000D43A4" w:rsidRPr="00381F61">
              <w:rPr>
                <w:rFonts w:ascii="Garamond" w:hAnsi="Garamond"/>
              </w:rPr>
              <w:t xml:space="preserve"> billion on NZS today and should wonder whether it can be improved.  We have the best Tier 1 scheme in the world</w:t>
            </w:r>
            <w:r w:rsidR="00233DE4" w:rsidRPr="00381F61">
              <w:rPr>
                <w:rFonts w:ascii="Garamond" w:hAnsi="Garamond"/>
              </w:rPr>
              <w:t>,</w:t>
            </w:r>
            <w:r w:rsidR="000D43A4" w:rsidRPr="00381F61">
              <w:rPr>
                <w:rFonts w:ascii="Garamond" w:hAnsi="Garamond"/>
              </w:rPr>
              <w:t xml:space="preserve"> but it can be made better.</w:t>
            </w:r>
          </w:p>
          <w:p w14:paraId="4D759E91" w14:textId="5F277794" w:rsidR="00416008" w:rsidRPr="00381F61" w:rsidRDefault="00416008" w:rsidP="00455AD2">
            <w:pPr>
              <w:widowControl w:val="0"/>
              <w:autoSpaceDE w:val="0"/>
              <w:autoSpaceDN w:val="0"/>
              <w:adjustRightInd w:val="0"/>
              <w:ind w:right="-26"/>
              <w:jc w:val="both"/>
              <w:rPr>
                <w:rFonts w:ascii="Garamond" w:hAnsi="Garamond"/>
              </w:rPr>
            </w:pPr>
          </w:p>
        </w:tc>
        <w:tc>
          <w:tcPr>
            <w:tcW w:w="802" w:type="dxa"/>
          </w:tcPr>
          <w:p w14:paraId="0B2027E8" w14:textId="7A1F489E" w:rsidR="00416008" w:rsidRPr="00381F61" w:rsidRDefault="00AC3D0F" w:rsidP="005F6419">
            <w:pPr>
              <w:widowControl w:val="0"/>
              <w:autoSpaceDE w:val="0"/>
              <w:autoSpaceDN w:val="0"/>
              <w:adjustRightInd w:val="0"/>
              <w:ind w:right="-26"/>
              <w:jc w:val="both"/>
              <w:rPr>
                <w:rFonts w:ascii="Garamond" w:hAnsi="Garamond"/>
              </w:rPr>
            </w:pPr>
            <w:r w:rsidRPr="00381F61">
              <w:rPr>
                <w:rFonts w:ascii="Garamond" w:hAnsi="Garamond"/>
              </w:rPr>
              <w:t>2</w:t>
            </w:r>
            <w:r w:rsidR="003B3D0E">
              <w:rPr>
                <w:rFonts w:ascii="Garamond" w:hAnsi="Garamond"/>
              </w:rPr>
              <w:t>5</w:t>
            </w:r>
          </w:p>
        </w:tc>
      </w:tr>
      <w:tr w:rsidR="00416008" w:rsidRPr="00381F61" w14:paraId="7A524ABD" w14:textId="6BA7ABF9" w:rsidTr="00F2146A">
        <w:tc>
          <w:tcPr>
            <w:tcW w:w="863" w:type="dxa"/>
          </w:tcPr>
          <w:p w14:paraId="231FFAAF" w14:textId="7AD3935D"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 xml:space="preserve">  </w:t>
            </w:r>
            <w:r w:rsidR="00F519BC" w:rsidRPr="00381F61">
              <w:rPr>
                <w:rFonts w:ascii="Garamond" w:hAnsi="Garamond"/>
              </w:rPr>
              <w:t>7</w:t>
            </w:r>
            <w:r w:rsidRPr="00381F61">
              <w:rPr>
                <w:rFonts w:ascii="Garamond" w:hAnsi="Garamond"/>
              </w:rPr>
              <w:t>.</w:t>
            </w:r>
          </w:p>
        </w:tc>
        <w:tc>
          <w:tcPr>
            <w:tcW w:w="7643" w:type="dxa"/>
          </w:tcPr>
          <w:p w14:paraId="1E204607" w14:textId="0EAF4978" w:rsidR="00416008" w:rsidRPr="00381F61" w:rsidRDefault="00D50352" w:rsidP="00D50352">
            <w:pPr>
              <w:widowControl w:val="0"/>
              <w:autoSpaceDE w:val="0"/>
              <w:autoSpaceDN w:val="0"/>
              <w:adjustRightInd w:val="0"/>
              <w:ind w:right="-26"/>
              <w:jc w:val="both"/>
              <w:rPr>
                <w:rFonts w:ascii="Garamond" w:hAnsi="Garamond"/>
              </w:rPr>
            </w:pPr>
            <w:r w:rsidRPr="00381F61">
              <w:rPr>
                <w:rFonts w:ascii="Garamond" w:hAnsi="Garamond"/>
                <w:b/>
              </w:rPr>
              <w:t xml:space="preserve">Wind-up the New Zealand Superannuation Fund: </w:t>
            </w:r>
            <w:r w:rsidRPr="00381F61">
              <w:rPr>
                <w:rFonts w:ascii="Garamond" w:hAnsi="Garamond"/>
              </w:rPr>
              <w:t xml:space="preserve">The NZSF does not change the cost of NZS by one dollar.  Every dollar in the NZSF is effectively borrowed so the government’s risk profile is higher in its presence.  </w:t>
            </w:r>
            <w:r w:rsidR="000D43A4" w:rsidRPr="00381F61">
              <w:rPr>
                <w:rFonts w:ascii="Garamond" w:hAnsi="Garamond"/>
              </w:rPr>
              <w:t>Th</w:t>
            </w:r>
            <w:r w:rsidR="00916032" w:rsidRPr="00381F61">
              <w:rPr>
                <w:rFonts w:ascii="Garamond" w:hAnsi="Garamond"/>
              </w:rPr>
              <w:t>ose are</w:t>
            </w:r>
            <w:r w:rsidR="000D43A4" w:rsidRPr="00381F61">
              <w:rPr>
                <w:rFonts w:ascii="Garamond" w:hAnsi="Garamond"/>
              </w:rPr>
              <w:t xml:space="preserve"> not the only problem</w:t>
            </w:r>
            <w:r w:rsidR="00916032" w:rsidRPr="00381F61">
              <w:rPr>
                <w:rFonts w:ascii="Garamond" w:hAnsi="Garamond"/>
              </w:rPr>
              <w:t>s</w:t>
            </w:r>
            <w:r w:rsidR="000D43A4" w:rsidRPr="00381F61">
              <w:rPr>
                <w:rFonts w:ascii="Garamond" w:hAnsi="Garamond"/>
              </w:rPr>
              <w:t xml:space="preserve">.  </w:t>
            </w:r>
            <w:r w:rsidRPr="00381F61">
              <w:rPr>
                <w:rFonts w:ascii="Garamond" w:hAnsi="Garamond"/>
              </w:rPr>
              <w:t xml:space="preserve">The NZSF should be wound up and </w:t>
            </w:r>
            <w:r w:rsidR="00643E32" w:rsidRPr="00381F61">
              <w:rPr>
                <w:rFonts w:ascii="Garamond" w:hAnsi="Garamond"/>
              </w:rPr>
              <w:t xml:space="preserve">the proceeds </w:t>
            </w:r>
            <w:r w:rsidRPr="00381F61">
              <w:rPr>
                <w:rFonts w:ascii="Garamond" w:hAnsi="Garamond"/>
              </w:rPr>
              <w:t>used to repay debt</w:t>
            </w:r>
            <w:r w:rsidR="00233DE4" w:rsidRPr="00381F61">
              <w:rPr>
                <w:rFonts w:ascii="Garamond" w:hAnsi="Garamond"/>
              </w:rPr>
              <w:t xml:space="preserve"> or build infrastructure to increase economic growth</w:t>
            </w:r>
            <w:r w:rsidRPr="00381F61">
              <w:rPr>
                <w:rFonts w:ascii="Garamond" w:hAnsi="Garamond"/>
              </w:rPr>
              <w:t>.</w:t>
            </w:r>
          </w:p>
          <w:p w14:paraId="1CE0E232" w14:textId="15D81813" w:rsidR="00D50352" w:rsidRPr="00381F61" w:rsidRDefault="00D50352" w:rsidP="00D50352">
            <w:pPr>
              <w:widowControl w:val="0"/>
              <w:autoSpaceDE w:val="0"/>
              <w:autoSpaceDN w:val="0"/>
              <w:adjustRightInd w:val="0"/>
              <w:ind w:right="-26"/>
              <w:jc w:val="both"/>
              <w:rPr>
                <w:rFonts w:ascii="Garamond" w:hAnsi="Garamond"/>
              </w:rPr>
            </w:pPr>
          </w:p>
        </w:tc>
        <w:tc>
          <w:tcPr>
            <w:tcW w:w="802" w:type="dxa"/>
          </w:tcPr>
          <w:p w14:paraId="1A7D4E3E" w14:textId="18447014"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35</w:t>
            </w:r>
          </w:p>
        </w:tc>
      </w:tr>
    </w:tbl>
    <w:p w14:paraId="075AB572" w14:textId="77777777" w:rsidR="0052329C" w:rsidRPr="00381F61" w:rsidRDefault="0052329C">
      <w:r w:rsidRPr="00381F61">
        <w:br w:type="page"/>
      </w:r>
    </w:p>
    <w:tbl>
      <w:tblPr>
        <w:tblStyle w:val="TableGrid"/>
        <w:tblW w:w="930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7643"/>
        <w:gridCol w:w="802"/>
      </w:tblGrid>
      <w:tr w:rsidR="00416008" w:rsidRPr="00381F61" w14:paraId="657ED31C" w14:textId="542F71D2" w:rsidTr="00F2146A">
        <w:tc>
          <w:tcPr>
            <w:tcW w:w="863" w:type="dxa"/>
          </w:tcPr>
          <w:p w14:paraId="420A25CD" w14:textId="5F6D8380"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lastRenderedPageBreak/>
              <w:t xml:space="preserve">  </w:t>
            </w:r>
            <w:r w:rsidR="00F519BC" w:rsidRPr="00381F61">
              <w:rPr>
                <w:rFonts w:ascii="Garamond" w:hAnsi="Garamond"/>
              </w:rPr>
              <w:t>8</w:t>
            </w:r>
            <w:r w:rsidRPr="00381F61">
              <w:rPr>
                <w:rFonts w:ascii="Garamond" w:hAnsi="Garamond"/>
              </w:rPr>
              <w:t>.</w:t>
            </w:r>
          </w:p>
        </w:tc>
        <w:tc>
          <w:tcPr>
            <w:tcW w:w="7643" w:type="dxa"/>
          </w:tcPr>
          <w:p w14:paraId="4A8CC7C1" w14:textId="77777777" w:rsidR="00D50352" w:rsidRPr="00381F61" w:rsidRDefault="00D50352" w:rsidP="00D50352">
            <w:pPr>
              <w:widowControl w:val="0"/>
              <w:autoSpaceDE w:val="0"/>
              <w:autoSpaceDN w:val="0"/>
              <w:adjustRightInd w:val="0"/>
              <w:ind w:right="-26"/>
              <w:jc w:val="both"/>
              <w:rPr>
                <w:rFonts w:ascii="Garamond" w:hAnsi="Garamond"/>
              </w:rPr>
            </w:pPr>
            <w:r w:rsidRPr="00381F61">
              <w:rPr>
                <w:rFonts w:ascii="Garamond" w:hAnsi="Garamond"/>
                <w:b/>
              </w:rPr>
              <w:t>Overseas pensions and section 70:</w:t>
            </w:r>
            <w:r w:rsidRPr="00381F61">
              <w:rPr>
                <w:rFonts w:ascii="Garamond" w:hAnsi="Garamond"/>
              </w:rPr>
              <w:t xml:space="preserve"> Most, but not all, overseas state pensions should be deducted from NZS payments.  The detail of how this works today is a mess and needs urgent review.</w:t>
            </w:r>
          </w:p>
          <w:p w14:paraId="1A590E1B" w14:textId="28C24750" w:rsidR="000F0BB0" w:rsidRPr="00381F61" w:rsidRDefault="000F0BB0" w:rsidP="00D50352">
            <w:pPr>
              <w:widowControl w:val="0"/>
              <w:autoSpaceDE w:val="0"/>
              <w:autoSpaceDN w:val="0"/>
              <w:adjustRightInd w:val="0"/>
              <w:ind w:right="-26"/>
              <w:jc w:val="both"/>
              <w:rPr>
                <w:rFonts w:ascii="Garamond" w:hAnsi="Garamond"/>
              </w:rPr>
            </w:pPr>
          </w:p>
        </w:tc>
        <w:tc>
          <w:tcPr>
            <w:tcW w:w="802" w:type="dxa"/>
          </w:tcPr>
          <w:p w14:paraId="3B2E6233" w14:textId="6BD6E09C"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41</w:t>
            </w:r>
          </w:p>
        </w:tc>
      </w:tr>
      <w:tr w:rsidR="00416008" w:rsidRPr="00381F61" w14:paraId="3FCE5825" w14:textId="7D7A215B" w:rsidTr="00F2146A">
        <w:tc>
          <w:tcPr>
            <w:tcW w:w="863" w:type="dxa"/>
          </w:tcPr>
          <w:p w14:paraId="4D75C6F1" w14:textId="41B3D555"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 xml:space="preserve">  </w:t>
            </w:r>
            <w:r w:rsidR="00F519BC" w:rsidRPr="00381F61">
              <w:rPr>
                <w:rFonts w:ascii="Garamond" w:hAnsi="Garamond"/>
              </w:rPr>
              <w:t>9</w:t>
            </w:r>
            <w:r w:rsidRPr="00381F61">
              <w:rPr>
                <w:rFonts w:ascii="Garamond" w:hAnsi="Garamond"/>
              </w:rPr>
              <w:t>.</w:t>
            </w:r>
          </w:p>
        </w:tc>
        <w:tc>
          <w:tcPr>
            <w:tcW w:w="7643" w:type="dxa"/>
          </w:tcPr>
          <w:p w14:paraId="1430E28B" w14:textId="77777777" w:rsidR="00D50352" w:rsidRPr="00381F61" w:rsidRDefault="00D50352" w:rsidP="00D50352">
            <w:pPr>
              <w:widowControl w:val="0"/>
              <w:autoSpaceDE w:val="0"/>
              <w:autoSpaceDN w:val="0"/>
              <w:adjustRightInd w:val="0"/>
              <w:ind w:right="-26"/>
              <w:jc w:val="both"/>
              <w:rPr>
                <w:rFonts w:ascii="Garamond" w:hAnsi="Garamond"/>
              </w:rPr>
            </w:pPr>
            <w:r w:rsidRPr="00381F61">
              <w:rPr>
                <w:rFonts w:ascii="Garamond" w:hAnsi="Garamond"/>
                <w:b/>
              </w:rPr>
              <w:t>Tax subsidies for saving:</w:t>
            </w:r>
            <w:r w:rsidRPr="00381F61">
              <w:rPr>
                <w:rFonts w:ascii="Garamond" w:hAnsi="Garamond"/>
              </w:rPr>
              <w:t xml:space="preserve"> Tax breaks for retirement saving are expensive, complex, inequitable, distortionary and regressive.  But, worst of all, they seem not to work (raise saving levels).  They could even reduce saving levels.</w:t>
            </w:r>
          </w:p>
          <w:p w14:paraId="3A5DE95D" w14:textId="44729AC8" w:rsidR="000F0BB0" w:rsidRPr="00381F61" w:rsidRDefault="000F0BB0" w:rsidP="00D50352">
            <w:pPr>
              <w:widowControl w:val="0"/>
              <w:autoSpaceDE w:val="0"/>
              <w:autoSpaceDN w:val="0"/>
              <w:adjustRightInd w:val="0"/>
              <w:ind w:right="-26"/>
              <w:jc w:val="both"/>
              <w:rPr>
                <w:rFonts w:ascii="Garamond" w:hAnsi="Garamond"/>
                <w:b/>
              </w:rPr>
            </w:pPr>
          </w:p>
        </w:tc>
        <w:tc>
          <w:tcPr>
            <w:tcW w:w="802" w:type="dxa"/>
          </w:tcPr>
          <w:p w14:paraId="515E904D" w14:textId="4CD501E2"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46</w:t>
            </w:r>
          </w:p>
        </w:tc>
      </w:tr>
      <w:tr w:rsidR="00416008" w:rsidRPr="00381F61" w14:paraId="2C1467E6" w14:textId="33D2B7B6" w:rsidTr="00F2146A">
        <w:tc>
          <w:tcPr>
            <w:tcW w:w="863" w:type="dxa"/>
          </w:tcPr>
          <w:p w14:paraId="6A186898" w14:textId="2B0BFDCA" w:rsidR="00416008" w:rsidRPr="00381F61" w:rsidRDefault="00F519BC" w:rsidP="00E71CEB">
            <w:pPr>
              <w:widowControl w:val="0"/>
              <w:autoSpaceDE w:val="0"/>
              <w:autoSpaceDN w:val="0"/>
              <w:adjustRightInd w:val="0"/>
              <w:jc w:val="both"/>
              <w:rPr>
                <w:rFonts w:ascii="Garamond" w:hAnsi="Garamond"/>
              </w:rPr>
            </w:pPr>
            <w:r w:rsidRPr="00381F61">
              <w:rPr>
                <w:rFonts w:ascii="Garamond" w:hAnsi="Garamond"/>
              </w:rPr>
              <w:t>10</w:t>
            </w:r>
            <w:r w:rsidR="00416008" w:rsidRPr="00381F61">
              <w:rPr>
                <w:rFonts w:ascii="Garamond" w:hAnsi="Garamond"/>
              </w:rPr>
              <w:t>.</w:t>
            </w:r>
          </w:p>
        </w:tc>
        <w:tc>
          <w:tcPr>
            <w:tcW w:w="7643" w:type="dxa"/>
          </w:tcPr>
          <w:p w14:paraId="4D8D26D1" w14:textId="75A237F6" w:rsidR="00D50352" w:rsidRPr="00381F61" w:rsidRDefault="00D50352" w:rsidP="00D50352">
            <w:pPr>
              <w:widowControl w:val="0"/>
              <w:autoSpaceDE w:val="0"/>
              <w:autoSpaceDN w:val="0"/>
              <w:adjustRightInd w:val="0"/>
              <w:ind w:right="-26"/>
              <w:jc w:val="both"/>
              <w:rPr>
                <w:rFonts w:ascii="Garamond" w:hAnsi="Garamond"/>
              </w:rPr>
            </w:pPr>
            <w:r w:rsidRPr="00381F61">
              <w:rPr>
                <w:rFonts w:ascii="Garamond" w:hAnsi="Garamond"/>
                <w:b/>
              </w:rPr>
              <w:t>Compulsory private saving</w:t>
            </w:r>
            <w:r w:rsidRPr="00381F61">
              <w:rPr>
                <w:rFonts w:ascii="Garamond" w:hAnsi="Garamond"/>
              </w:rPr>
              <w:t>: Compulsory private provision for retirement (Australia, Chile etc.) is expensive, complex, inequitable</w:t>
            </w:r>
            <w:r w:rsidR="00C23E36" w:rsidRPr="00381F61">
              <w:rPr>
                <w:rFonts w:ascii="Garamond" w:hAnsi="Garamond"/>
              </w:rPr>
              <w:t>, inflexible</w:t>
            </w:r>
            <w:r w:rsidRPr="00381F61">
              <w:rPr>
                <w:rFonts w:ascii="Garamond" w:hAnsi="Garamond"/>
              </w:rPr>
              <w:t xml:space="preserve"> and distortionary.  Compulsion may not raise saving levels</w:t>
            </w:r>
            <w:r w:rsidR="00233DE4" w:rsidRPr="00381F61">
              <w:rPr>
                <w:rFonts w:ascii="Garamond" w:hAnsi="Garamond"/>
              </w:rPr>
              <w:t>,</w:t>
            </w:r>
            <w:r w:rsidRPr="00381F61">
              <w:rPr>
                <w:rFonts w:ascii="Garamond" w:hAnsi="Garamond"/>
              </w:rPr>
              <w:t xml:space="preserve"> but </w:t>
            </w:r>
            <w:r w:rsidR="00406799" w:rsidRPr="00381F61">
              <w:rPr>
                <w:rFonts w:ascii="Garamond" w:hAnsi="Garamond"/>
              </w:rPr>
              <w:t xml:space="preserve">it </w:t>
            </w:r>
            <w:r w:rsidRPr="00381F61">
              <w:rPr>
                <w:rFonts w:ascii="Garamond" w:hAnsi="Garamond"/>
              </w:rPr>
              <w:t>does require an increasingly intricate relationship with the state pension (means</w:t>
            </w:r>
            <w:r w:rsidR="00BC3FE2" w:rsidRPr="00381F61">
              <w:rPr>
                <w:rFonts w:ascii="Garamond" w:hAnsi="Garamond"/>
              </w:rPr>
              <w:t>-</w:t>
            </w:r>
            <w:r w:rsidRPr="00381F61">
              <w:rPr>
                <w:rFonts w:ascii="Garamond" w:hAnsi="Garamond"/>
              </w:rPr>
              <w:t>tests).</w:t>
            </w:r>
          </w:p>
          <w:p w14:paraId="4571714D" w14:textId="3A98DBA6" w:rsidR="00D50352" w:rsidRPr="00381F61" w:rsidRDefault="00D50352" w:rsidP="00D50352">
            <w:pPr>
              <w:widowControl w:val="0"/>
              <w:autoSpaceDE w:val="0"/>
              <w:autoSpaceDN w:val="0"/>
              <w:adjustRightInd w:val="0"/>
              <w:ind w:right="-26"/>
              <w:jc w:val="both"/>
              <w:rPr>
                <w:rFonts w:ascii="Garamond" w:hAnsi="Garamond"/>
              </w:rPr>
            </w:pPr>
          </w:p>
        </w:tc>
        <w:tc>
          <w:tcPr>
            <w:tcW w:w="802" w:type="dxa"/>
          </w:tcPr>
          <w:p w14:paraId="35DE7D83" w14:textId="3E6DD1CD"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52</w:t>
            </w:r>
          </w:p>
        </w:tc>
      </w:tr>
      <w:tr w:rsidR="00416008" w:rsidRPr="00381F61" w14:paraId="5DACA788" w14:textId="3381CD80" w:rsidTr="00F2146A">
        <w:tc>
          <w:tcPr>
            <w:tcW w:w="863" w:type="dxa"/>
          </w:tcPr>
          <w:p w14:paraId="25E29CA0" w14:textId="0613F50B"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1</w:t>
            </w:r>
            <w:r w:rsidR="00F519BC" w:rsidRPr="00381F61">
              <w:rPr>
                <w:rFonts w:ascii="Garamond" w:hAnsi="Garamond"/>
              </w:rPr>
              <w:t>1</w:t>
            </w:r>
            <w:r w:rsidRPr="00381F61">
              <w:rPr>
                <w:rFonts w:ascii="Garamond" w:hAnsi="Garamond"/>
              </w:rPr>
              <w:t>.</w:t>
            </w:r>
          </w:p>
        </w:tc>
        <w:tc>
          <w:tcPr>
            <w:tcW w:w="7643" w:type="dxa"/>
          </w:tcPr>
          <w:p w14:paraId="21485A6E" w14:textId="59510EB9" w:rsidR="00D50352" w:rsidRPr="00381F61" w:rsidRDefault="00D50352" w:rsidP="00D50352">
            <w:pPr>
              <w:widowControl w:val="0"/>
              <w:autoSpaceDE w:val="0"/>
              <w:autoSpaceDN w:val="0"/>
              <w:adjustRightInd w:val="0"/>
              <w:ind w:right="-26"/>
              <w:jc w:val="both"/>
              <w:rPr>
                <w:rFonts w:ascii="Garamond" w:hAnsi="Garamond"/>
              </w:rPr>
            </w:pPr>
            <w:r w:rsidRPr="00381F61">
              <w:rPr>
                <w:rFonts w:ascii="Garamond" w:hAnsi="Garamond"/>
                <w:b/>
              </w:rPr>
              <w:t>Government’s roles:</w:t>
            </w:r>
            <w:r w:rsidRPr="00381F61">
              <w:rPr>
                <w:rFonts w:ascii="Garamond" w:hAnsi="Garamond"/>
              </w:rPr>
              <w:t xml:space="preserve"> The government should concentrate on doing things that only governments can do</w:t>
            </w:r>
            <w:r w:rsidR="00AD17DD" w:rsidRPr="00381F61">
              <w:rPr>
                <w:rFonts w:ascii="Garamond" w:hAnsi="Garamond"/>
              </w:rPr>
              <w:t>.  There are five such roles</w:t>
            </w:r>
            <w:r w:rsidR="00406799" w:rsidRPr="00381F61">
              <w:rPr>
                <w:rFonts w:ascii="Garamond" w:hAnsi="Garamond"/>
              </w:rPr>
              <w:t>:</w:t>
            </w:r>
            <w:r w:rsidRPr="00381F61">
              <w:rPr>
                <w:rFonts w:ascii="Garamond" w:hAnsi="Garamond"/>
              </w:rPr>
              <w:t xml:space="preserve"> limiting or preventing poverty in old age; regulating disclosure and reporting; levelling the tax playing fields; obtaining and publishing high quality data and using those for information and education programmes.  Everything else should be left to individuals</w:t>
            </w:r>
            <w:r w:rsidR="00233DE4" w:rsidRPr="00381F61">
              <w:rPr>
                <w:rFonts w:ascii="Garamond" w:hAnsi="Garamond"/>
              </w:rPr>
              <w:t>,</w:t>
            </w:r>
            <w:r w:rsidRPr="00381F61">
              <w:rPr>
                <w:rFonts w:ascii="Garamond" w:hAnsi="Garamond"/>
              </w:rPr>
              <w:t xml:space="preserve"> their employers</w:t>
            </w:r>
            <w:r w:rsidR="00233DE4" w:rsidRPr="00381F61">
              <w:rPr>
                <w:rFonts w:ascii="Garamond" w:hAnsi="Garamond"/>
              </w:rPr>
              <w:t xml:space="preserve"> and the private sector</w:t>
            </w:r>
            <w:r w:rsidRPr="00381F61">
              <w:rPr>
                <w:rFonts w:ascii="Garamond" w:hAnsi="Garamond"/>
              </w:rPr>
              <w:t>.</w:t>
            </w:r>
          </w:p>
          <w:p w14:paraId="019F7734" w14:textId="77777777" w:rsidR="00416008" w:rsidRPr="00381F61" w:rsidRDefault="00416008" w:rsidP="00455AD2">
            <w:pPr>
              <w:widowControl w:val="0"/>
              <w:autoSpaceDE w:val="0"/>
              <w:autoSpaceDN w:val="0"/>
              <w:adjustRightInd w:val="0"/>
              <w:ind w:right="-26"/>
              <w:jc w:val="both"/>
              <w:rPr>
                <w:rFonts w:ascii="Garamond" w:hAnsi="Garamond"/>
              </w:rPr>
            </w:pPr>
          </w:p>
        </w:tc>
        <w:tc>
          <w:tcPr>
            <w:tcW w:w="802" w:type="dxa"/>
          </w:tcPr>
          <w:p w14:paraId="15B58936" w14:textId="77025E89"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57</w:t>
            </w:r>
          </w:p>
        </w:tc>
      </w:tr>
      <w:tr w:rsidR="00416008" w:rsidRPr="00381F61" w14:paraId="3C9D8664" w14:textId="705D8AB2" w:rsidTr="00F2146A">
        <w:tc>
          <w:tcPr>
            <w:tcW w:w="863" w:type="dxa"/>
          </w:tcPr>
          <w:p w14:paraId="43A3FB9A" w14:textId="46AC657C"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1</w:t>
            </w:r>
            <w:r w:rsidR="00F519BC" w:rsidRPr="00381F61">
              <w:rPr>
                <w:rFonts w:ascii="Garamond" w:hAnsi="Garamond"/>
              </w:rPr>
              <w:t>2</w:t>
            </w:r>
            <w:r w:rsidRPr="00381F61">
              <w:rPr>
                <w:rFonts w:ascii="Garamond" w:hAnsi="Garamond"/>
              </w:rPr>
              <w:t>.</w:t>
            </w:r>
          </w:p>
        </w:tc>
        <w:tc>
          <w:tcPr>
            <w:tcW w:w="7643" w:type="dxa"/>
          </w:tcPr>
          <w:p w14:paraId="3C1FF6C5" w14:textId="697B18D0" w:rsidR="00416008" w:rsidRPr="00381F61" w:rsidRDefault="00D50352" w:rsidP="00D50352">
            <w:pPr>
              <w:widowControl w:val="0"/>
              <w:autoSpaceDE w:val="0"/>
              <w:autoSpaceDN w:val="0"/>
              <w:adjustRightInd w:val="0"/>
              <w:ind w:right="-26"/>
              <w:jc w:val="both"/>
              <w:rPr>
                <w:rFonts w:ascii="Garamond" w:hAnsi="Garamond"/>
              </w:rPr>
            </w:pPr>
            <w:r w:rsidRPr="00381F61">
              <w:rPr>
                <w:rFonts w:ascii="Garamond" w:hAnsi="Garamond"/>
                <w:b/>
              </w:rPr>
              <w:t>Home ownership:</w:t>
            </w:r>
            <w:r w:rsidRPr="00381F61">
              <w:rPr>
                <w:rFonts w:ascii="Garamond" w:hAnsi="Garamond"/>
              </w:rPr>
              <w:t xml:space="preserve"> We do not know whether home ownership levels are falling as the Census questions </w:t>
            </w:r>
            <w:r w:rsidR="007109A9" w:rsidRPr="00381F61">
              <w:rPr>
                <w:rFonts w:ascii="Garamond" w:hAnsi="Garamond"/>
              </w:rPr>
              <w:t xml:space="preserve">(since 1996) </w:t>
            </w:r>
            <w:r w:rsidR="000372D0" w:rsidRPr="00381F61">
              <w:rPr>
                <w:rFonts w:ascii="Garamond" w:hAnsi="Garamond"/>
              </w:rPr>
              <w:t xml:space="preserve">have been </w:t>
            </w:r>
            <w:r w:rsidRPr="00381F61">
              <w:rPr>
                <w:rFonts w:ascii="Garamond" w:hAnsi="Garamond"/>
              </w:rPr>
              <w:t>porous</w:t>
            </w:r>
            <w:r w:rsidR="007109A9" w:rsidRPr="00381F61">
              <w:rPr>
                <w:rFonts w:ascii="Garamond" w:hAnsi="Garamond"/>
              </w:rPr>
              <w:t xml:space="preserve">.  </w:t>
            </w:r>
            <w:r w:rsidR="00F7119C" w:rsidRPr="00381F61">
              <w:rPr>
                <w:rFonts w:ascii="Garamond" w:hAnsi="Garamond"/>
              </w:rPr>
              <w:t>Until we have accurate data, we do not know if there is an issue to be concerned about.</w:t>
            </w:r>
            <w:r w:rsidR="00BC3FE2" w:rsidRPr="00381F61">
              <w:rPr>
                <w:rFonts w:ascii="Garamond" w:hAnsi="Garamond"/>
              </w:rPr>
              <w:t xml:space="preserve">  Having a paid-off home by retirement age is an important objective for </w:t>
            </w:r>
            <w:r w:rsidR="00233DE4" w:rsidRPr="00381F61">
              <w:rPr>
                <w:rFonts w:ascii="Garamond" w:hAnsi="Garamond"/>
              </w:rPr>
              <w:t xml:space="preserve">many </w:t>
            </w:r>
            <w:r w:rsidR="00BC3FE2" w:rsidRPr="00381F61">
              <w:rPr>
                <w:rFonts w:ascii="Garamond" w:hAnsi="Garamond"/>
              </w:rPr>
              <w:t>savers</w:t>
            </w:r>
            <w:r w:rsidR="00233DE4" w:rsidRPr="00381F61">
              <w:rPr>
                <w:rFonts w:ascii="Garamond" w:hAnsi="Garamond"/>
              </w:rPr>
              <w:t xml:space="preserve"> but there are countries (e.g. Germany) where this is less </w:t>
            </w:r>
            <w:r w:rsidR="001E08C6" w:rsidRPr="00381F61">
              <w:rPr>
                <w:rFonts w:ascii="Garamond" w:hAnsi="Garamond"/>
              </w:rPr>
              <w:t>of an issue</w:t>
            </w:r>
            <w:r w:rsidR="00BC3FE2" w:rsidRPr="00381F61">
              <w:rPr>
                <w:rFonts w:ascii="Garamond" w:hAnsi="Garamond"/>
              </w:rPr>
              <w:t>.</w:t>
            </w:r>
          </w:p>
          <w:p w14:paraId="04F8172B" w14:textId="5B464355" w:rsidR="00F7119C" w:rsidRPr="00381F61" w:rsidRDefault="00F7119C" w:rsidP="00D50352">
            <w:pPr>
              <w:widowControl w:val="0"/>
              <w:autoSpaceDE w:val="0"/>
              <w:autoSpaceDN w:val="0"/>
              <w:adjustRightInd w:val="0"/>
              <w:ind w:right="-26"/>
              <w:jc w:val="both"/>
              <w:rPr>
                <w:rFonts w:ascii="Garamond" w:hAnsi="Garamond"/>
              </w:rPr>
            </w:pPr>
          </w:p>
        </w:tc>
        <w:tc>
          <w:tcPr>
            <w:tcW w:w="802" w:type="dxa"/>
          </w:tcPr>
          <w:p w14:paraId="4F9EC3B4" w14:textId="4081343D"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61</w:t>
            </w:r>
          </w:p>
        </w:tc>
      </w:tr>
      <w:tr w:rsidR="00416008" w:rsidRPr="00381F61" w14:paraId="66F9951F" w14:textId="18C69FBE" w:rsidTr="00F2146A">
        <w:tc>
          <w:tcPr>
            <w:tcW w:w="863" w:type="dxa"/>
          </w:tcPr>
          <w:p w14:paraId="023985E5" w14:textId="5EBE329E"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1</w:t>
            </w:r>
            <w:r w:rsidR="00F519BC" w:rsidRPr="00381F61">
              <w:rPr>
                <w:rFonts w:ascii="Garamond" w:hAnsi="Garamond"/>
              </w:rPr>
              <w:t>3</w:t>
            </w:r>
            <w:r w:rsidRPr="00381F61">
              <w:rPr>
                <w:rFonts w:ascii="Garamond" w:hAnsi="Garamond"/>
              </w:rPr>
              <w:t>.</w:t>
            </w:r>
          </w:p>
        </w:tc>
        <w:tc>
          <w:tcPr>
            <w:tcW w:w="7643" w:type="dxa"/>
          </w:tcPr>
          <w:p w14:paraId="181DD550" w14:textId="50AD8B37" w:rsidR="00416008" w:rsidRPr="00381F61" w:rsidRDefault="00F7119C" w:rsidP="00455AD2">
            <w:pPr>
              <w:widowControl w:val="0"/>
              <w:autoSpaceDE w:val="0"/>
              <w:autoSpaceDN w:val="0"/>
              <w:adjustRightInd w:val="0"/>
              <w:ind w:right="-26"/>
              <w:jc w:val="both"/>
              <w:rPr>
                <w:rFonts w:ascii="Garamond" w:hAnsi="Garamond"/>
                <w:b/>
              </w:rPr>
            </w:pPr>
            <w:r w:rsidRPr="00381F61">
              <w:rPr>
                <w:rFonts w:ascii="Garamond" w:hAnsi="Garamond"/>
                <w:b/>
              </w:rPr>
              <w:t>The role of employers:</w:t>
            </w:r>
            <w:r w:rsidR="00570224" w:rsidRPr="00381F61">
              <w:rPr>
                <w:rFonts w:ascii="Garamond" w:hAnsi="Garamond"/>
              </w:rPr>
              <w:t xml:space="preserve"> We do not know what role employers currently play in helping their employees plan for retirement.  KiwiSaver has probably helped supplant occupational superannuation schemes but it would be nice to know. </w:t>
            </w:r>
            <w:r w:rsidR="0042296C" w:rsidRPr="00381F61">
              <w:rPr>
                <w:rFonts w:ascii="Garamond" w:hAnsi="Garamond"/>
              </w:rPr>
              <w:t xml:space="preserve"> </w:t>
            </w:r>
            <w:r w:rsidR="00570224" w:rsidRPr="00381F61">
              <w:rPr>
                <w:rFonts w:ascii="Garamond" w:hAnsi="Garamond"/>
              </w:rPr>
              <w:t>The p</w:t>
            </w:r>
            <w:r w:rsidR="00F248FB" w:rsidRPr="00381F61">
              <w:rPr>
                <w:rFonts w:ascii="Garamond" w:hAnsi="Garamond"/>
              </w:rPr>
              <w:t>otential</w:t>
            </w:r>
            <w:r w:rsidR="00570224" w:rsidRPr="00381F61">
              <w:rPr>
                <w:rFonts w:ascii="Garamond" w:hAnsi="Garamond"/>
              </w:rPr>
              <w:t xml:space="preserve"> shift to ‘total remuneration’ policies matters for the design and implementation of public policy on retirement saving generally.</w:t>
            </w:r>
          </w:p>
          <w:p w14:paraId="73D25451" w14:textId="77777777" w:rsidR="00F7119C" w:rsidRPr="00381F61" w:rsidRDefault="00F7119C" w:rsidP="00455AD2">
            <w:pPr>
              <w:widowControl w:val="0"/>
              <w:autoSpaceDE w:val="0"/>
              <w:autoSpaceDN w:val="0"/>
              <w:adjustRightInd w:val="0"/>
              <w:ind w:right="-26"/>
              <w:jc w:val="both"/>
              <w:rPr>
                <w:rFonts w:ascii="Garamond" w:hAnsi="Garamond"/>
                <w:b/>
              </w:rPr>
            </w:pPr>
          </w:p>
        </w:tc>
        <w:tc>
          <w:tcPr>
            <w:tcW w:w="802" w:type="dxa"/>
          </w:tcPr>
          <w:p w14:paraId="16EAFD37" w14:textId="0B0F861D"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65</w:t>
            </w:r>
          </w:p>
        </w:tc>
      </w:tr>
      <w:tr w:rsidR="00416008" w:rsidRPr="00381F61" w14:paraId="17CC4DFD" w14:textId="5000DB81" w:rsidTr="00F2146A">
        <w:tc>
          <w:tcPr>
            <w:tcW w:w="863" w:type="dxa"/>
          </w:tcPr>
          <w:p w14:paraId="0FDAB42F" w14:textId="41A8B8CE"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1</w:t>
            </w:r>
            <w:r w:rsidR="00F519BC" w:rsidRPr="00381F61">
              <w:rPr>
                <w:rFonts w:ascii="Garamond" w:hAnsi="Garamond"/>
              </w:rPr>
              <w:t>4</w:t>
            </w:r>
            <w:r w:rsidRPr="00381F61">
              <w:rPr>
                <w:rFonts w:ascii="Garamond" w:hAnsi="Garamond"/>
              </w:rPr>
              <w:t>.</w:t>
            </w:r>
          </w:p>
        </w:tc>
        <w:tc>
          <w:tcPr>
            <w:tcW w:w="7643" w:type="dxa"/>
          </w:tcPr>
          <w:p w14:paraId="142D3E50" w14:textId="3273D0A9" w:rsidR="00416008" w:rsidRPr="00381F61" w:rsidRDefault="00F7119C" w:rsidP="00455AD2">
            <w:pPr>
              <w:widowControl w:val="0"/>
              <w:autoSpaceDE w:val="0"/>
              <w:autoSpaceDN w:val="0"/>
              <w:adjustRightInd w:val="0"/>
              <w:ind w:right="-26"/>
              <w:jc w:val="both"/>
              <w:rPr>
                <w:rFonts w:ascii="Garamond" w:hAnsi="Garamond"/>
              </w:rPr>
            </w:pPr>
            <w:r w:rsidRPr="00381F61">
              <w:rPr>
                <w:rFonts w:ascii="Garamond" w:hAnsi="Garamond"/>
                <w:b/>
              </w:rPr>
              <w:t>KiwiSaver</w:t>
            </w:r>
            <w:r w:rsidRPr="00381F61">
              <w:rPr>
                <w:rFonts w:ascii="Garamond" w:hAnsi="Garamond"/>
              </w:rPr>
              <w:t>: Taxpayers have spent $</w:t>
            </w:r>
            <w:r w:rsidR="00662A6F" w:rsidRPr="00381F61">
              <w:rPr>
                <w:rFonts w:ascii="Garamond" w:hAnsi="Garamond"/>
              </w:rPr>
              <w:t>10.1</w:t>
            </w:r>
            <w:r w:rsidRPr="00381F61">
              <w:rPr>
                <w:rFonts w:ascii="Garamond" w:hAnsi="Garamond"/>
              </w:rPr>
              <w:t xml:space="preserve"> billion so far on KiwiSaver but we do not know whether it is ‘working’ (raising saving levels).  There seems to be no policy reason to prevent access to savings before age 65; nor to </w:t>
            </w:r>
            <w:r w:rsidR="00CA5E79" w:rsidRPr="00381F61">
              <w:rPr>
                <w:rFonts w:ascii="Garamond" w:hAnsi="Garamond"/>
              </w:rPr>
              <w:t xml:space="preserve">regulate </w:t>
            </w:r>
            <w:r w:rsidRPr="00381F61">
              <w:rPr>
                <w:rFonts w:ascii="Garamond" w:hAnsi="Garamond"/>
              </w:rPr>
              <w:t xml:space="preserve">contribution levels </w:t>
            </w:r>
            <w:r w:rsidR="001D6799" w:rsidRPr="00381F61">
              <w:rPr>
                <w:rFonts w:ascii="Garamond" w:hAnsi="Garamond"/>
              </w:rPr>
              <w:t>n</w:t>
            </w:r>
            <w:r w:rsidRPr="00381F61">
              <w:rPr>
                <w:rFonts w:ascii="Garamond" w:hAnsi="Garamond"/>
              </w:rPr>
              <w:t xml:space="preserve">or </w:t>
            </w:r>
            <w:r w:rsidR="001D6799" w:rsidRPr="00381F61">
              <w:rPr>
                <w:rFonts w:ascii="Garamond" w:hAnsi="Garamond"/>
              </w:rPr>
              <w:t xml:space="preserve">to </w:t>
            </w:r>
            <w:r w:rsidRPr="00381F61">
              <w:rPr>
                <w:rFonts w:ascii="Garamond" w:hAnsi="Garamond"/>
              </w:rPr>
              <w:t xml:space="preserve">limit </w:t>
            </w:r>
            <w:r w:rsidR="001E08C6" w:rsidRPr="00381F61">
              <w:rPr>
                <w:rFonts w:ascii="Garamond" w:hAnsi="Garamond"/>
              </w:rPr>
              <w:t>‘</w:t>
            </w:r>
            <w:r w:rsidR="0042296C" w:rsidRPr="00381F61">
              <w:rPr>
                <w:rFonts w:ascii="Garamond" w:hAnsi="Garamond"/>
              </w:rPr>
              <w:t>savings suspensions</w:t>
            </w:r>
            <w:r w:rsidR="001E08C6" w:rsidRPr="00381F61">
              <w:rPr>
                <w:rFonts w:ascii="Garamond" w:hAnsi="Garamond"/>
              </w:rPr>
              <w:t>’</w:t>
            </w:r>
            <w:r w:rsidR="0042296C" w:rsidRPr="00381F61">
              <w:rPr>
                <w:rFonts w:ascii="Garamond" w:hAnsi="Garamond"/>
              </w:rPr>
              <w:t xml:space="preserve"> (previously contributions holidays)</w:t>
            </w:r>
            <w:r w:rsidRPr="00381F61">
              <w:rPr>
                <w:rFonts w:ascii="Garamond" w:hAnsi="Garamond"/>
              </w:rPr>
              <w:t>.</w:t>
            </w:r>
            <w:r w:rsidR="00FF263D" w:rsidRPr="00381F61">
              <w:rPr>
                <w:rFonts w:ascii="Garamond" w:hAnsi="Garamond"/>
              </w:rPr>
              <w:t xml:space="preserve">  KiwiSaver should </w:t>
            </w:r>
            <w:r w:rsidR="00F248FB" w:rsidRPr="00381F61">
              <w:rPr>
                <w:rFonts w:ascii="Garamond" w:hAnsi="Garamond"/>
              </w:rPr>
              <w:t xml:space="preserve">probably </w:t>
            </w:r>
            <w:r w:rsidR="00FF263D" w:rsidRPr="00381F61">
              <w:rPr>
                <w:rFonts w:ascii="Garamond" w:hAnsi="Garamond"/>
              </w:rPr>
              <w:t>stay but should be reformed</w:t>
            </w:r>
            <w:r w:rsidR="00BC3FE2" w:rsidRPr="00381F61">
              <w:rPr>
                <w:rFonts w:ascii="Garamond" w:hAnsi="Garamond"/>
              </w:rPr>
              <w:t xml:space="preserve"> by making it more, not less, flexible</w:t>
            </w:r>
            <w:r w:rsidR="00FF263D" w:rsidRPr="00381F61">
              <w:rPr>
                <w:rFonts w:ascii="Garamond" w:hAnsi="Garamond"/>
              </w:rPr>
              <w:t>.</w:t>
            </w:r>
          </w:p>
          <w:p w14:paraId="543F3475" w14:textId="7664CD84" w:rsidR="00F7119C" w:rsidRPr="00381F61" w:rsidRDefault="00F7119C" w:rsidP="00455AD2">
            <w:pPr>
              <w:widowControl w:val="0"/>
              <w:autoSpaceDE w:val="0"/>
              <w:autoSpaceDN w:val="0"/>
              <w:adjustRightInd w:val="0"/>
              <w:ind w:right="-26"/>
              <w:jc w:val="both"/>
              <w:rPr>
                <w:rFonts w:ascii="Garamond" w:hAnsi="Garamond"/>
              </w:rPr>
            </w:pPr>
          </w:p>
        </w:tc>
        <w:tc>
          <w:tcPr>
            <w:tcW w:w="802" w:type="dxa"/>
          </w:tcPr>
          <w:p w14:paraId="4BF1CA5D" w14:textId="19441E52"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73</w:t>
            </w:r>
          </w:p>
        </w:tc>
      </w:tr>
      <w:tr w:rsidR="00416008" w:rsidRPr="00381F61" w14:paraId="4F0F5000" w14:textId="15ED3E36" w:rsidTr="00F2146A">
        <w:tc>
          <w:tcPr>
            <w:tcW w:w="863" w:type="dxa"/>
          </w:tcPr>
          <w:p w14:paraId="13D8A274" w14:textId="00C695C6"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1</w:t>
            </w:r>
            <w:r w:rsidR="00F519BC" w:rsidRPr="00381F61">
              <w:rPr>
                <w:rFonts w:ascii="Garamond" w:hAnsi="Garamond"/>
              </w:rPr>
              <w:t>5</w:t>
            </w:r>
            <w:r w:rsidRPr="00381F61">
              <w:rPr>
                <w:rFonts w:ascii="Garamond" w:hAnsi="Garamond"/>
              </w:rPr>
              <w:t>.</w:t>
            </w:r>
          </w:p>
        </w:tc>
        <w:tc>
          <w:tcPr>
            <w:tcW w:w="7643" w:type="dxa"/>
          </w:tcPr>
          <w:p w14:paraId="02F5BCC1" w14:textId="297D423A" w:rsidR="00416008" w:rsidRPr="00381F61" w:rsidRDefault="00F7119C" w:rsidP="00455AD2">
            <w:pPr>
              <w:widowControl w:val="0"/>
              <w:autoSpaceDE w:val="0"/>
              <w:autoSpaceDN w:val="0"/>
              <w:adjustRightInd w:val="0"/>
              <w:ind w:right="-26"/>
              <w:jc w:val="both"/>
              <w:rPr>
                <w:rFonts w:ascii="Garamond" w:hAnsi="Garamond"/>
              </w:rPr>
            </w:pPr>
            <w:r w:rsidRPr="00381F61">
              <w:rPr>
                <w:rFonts w:ascii="Garamond" w:hAnsi="Garamond"/>
                <w:b/>
              </w:rPr>
              <w:t>Households’ financial position:</w:t>
            </w:r>
            <w:r w:rsidRPr="00381F61">
              <w:rPr>
                <w:rFonts w:ascii="Garamond" w:hAnsi="Garamond"/>
              </w:rPr>
              <w:t xml:space="preserve"> Before KiwiSaver, New Zealanders were probably saving ‘enough’ for retirement.  Also, they probably did not have ‘too much’ invested in housing</w:t>
            </w:r>
            <w:r w:rsidR="00527AE2" w:rsidRPr="00381F61">
              <w:rPr>
                <w:rFonts w:ascii="Garamond" w:hAnsi="Garamond"/>
              </w:rPr>
              <w:t>;</w:t>
            </w:r>
            <w:r w:rsidRPr="00381F61">
              <w:rPr>
                <w:rFonts w:ascii="Garamond" w:hAnsi="Garamond"/>
              </w:rPr>
              <w:t xml:space="preserve"> nor too much debt.  New Zealand must have a proper longitudinal survey of households’ finances</w:t>
            </w:r>
            <w:r w:rsidR="00FB48C5" w:rsidRPr="00381F61">
              <w:rPr>
                <w:rFonts w:ascii="Garamond" w:hAnsi="Garamond"/>
              </w:rPr>
              <w:t xml:space="preserve"> otherwise we do not know what is really happening</w:t>
            </w:r>
            <w:r w:rsidR="008E0F6F" w:rsidRPr="00381F61">
              <w:rPr>
                <w:rFonts w:ascii="Garamond" w:hAnsi="Garamond"/>
              </w:rPr>
              <w:t>; nor whether anything needs ‘fixing’</w:t>
            </w:r>
            <w:r w:rsidRPr="00381F61">
              <w:rPr>
                <w:rFonts w:ascii="Garamond" w:hAnsi="Garamond"/>
              </w:rPr>
              <w:t xml:space="preserve">.  That </w:t>
            </w:r>
            <w:r w:rsidR="00FB48C5" w:rsidRPr="00381F61">
              <w:rPr>
                <w:rFonts w:ascii="Garamond" w:hAnsi="Garamond"/>
              </w:rPr>
              <w:t xml:space="preserve">survey </w:t>
            </w:r>
            <w:r w:rsidRPr="00381F61">
              <w:rPr>
                <w:rFonts w:ascii="Garamond" w:hAnsi="Garamond"/>
              </w:rPr>
              <w:t>is the government’s responsibility.</w:t>
            </w:r>
            <w:r w:rsidR="00F248FB" w:rsidRPr="00381F61">
              <w:rPr>
                <w:rFonts w:ascii="Garamond" w:hAnsi="Garamond"/>
              </w:rPr>
              <w:t xml:space="preserve">  It is the only organisation that can make it happen.</w:t>
            </w:r>
          </w:p>
          <w:p w14:paraId="78DCF0D0" w14:textId="74BFF3B7" w:rsidR="00F7119C" w:rsidRPr="00381F61" w:rsidRDefault="00F7119C" w:rsidP="00455AD2">
            <w:pPr>
              <w:widowControl w:val="0"/>
              <w:autoSpaceDE w:val="0"/>
              <w:autoSpaceDN w:val="0"/>
              <w:adjustRightInd w:val="0"/>
              <w:ind w:right="-26"/>
              <w:jc w:val="both"/>
              <w:rPr>
                <w:rFonts w:ascii="Garamond" w:hAnsi="Garamond"/>
              </w:rPr>
            </w:pPr>
          </w:p>
        </w:tc>
        <w:tc>
          <w:tcPr>
            <w:tcW w:w="802" w:type="dxa"/>
          </w:tcPr>
          <w:p w14:paraId="49784AB9" w14:textId="2F4E4BDB"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79</w:t>
            </w:r>
          </w:p>
        </w:tc>
      </w:tr>
      <w:tr w:rsidR="00416008" w:rsidRPr="00381F61" w14:paraId="0A76CA61" w14:textId="26D78263" w:rsidTr="00F2146A">
        <w:tc>
          <w:tcPr>
            <w:tcW w:w="863" w:type="dxa"/>
          </w:tcPr>
          <w:p w14:paraId="197CF455" w14:textId="5D6C85B9"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1</w:t>
            </w:r>
            <w:r w:rsidR="00F519BC" w:rsidRPr="00381F61">
              <w:rPr>
                <w:rFonts w:ascii="Garamond" w:hAnsi="Garamond"/>
              </w:rPr>
              <w:t>6</w:t>
            </w:r>
            <w:r w:rsidRPr="00381F61">
              <w:rPr>
                <w:rFonts w:ascii="Garamond" w:hAnsi="Garamond"/>
              </w:rPr>
              <w:t>.</w:t>
            </w:r>
          </w:p>
        </w:tc>
        <w:tc>
          <w:tcPr>
            <w:tcW w:w="7643" w:type="dxa"/>
          </w:tcPr>
          <w:p w14:paraId="020EF015" w14:textId="4F40F8F4" w:rsidR="00416008" w:rsidRPr="00381F61" w:rsidRDefault="00F7119C" w:rsidP="00455AD2">
            <w:pPr>
              <w:widowControl w:val="0"/>
              <w:autoSpaceDE w:val="0"/>
              <w:autoSpaceDN w:val="0"/>
              <w:adjustRightInd w:val="0"/>
              <w:ind w:right="-26"/>
              <w:jc w:val="both"/>
              <w:rPr>
                <w:rFonts w:ascii="Garamond" w:hAnsi="Garamond"/>
              </w:rPr>
            </w:pPr>
            <w:r w:rsidRPr="00381F61">
              <w:rPr>
                <w:rFonts w:ascii="Garamond" w:hAnsi="Garamond"/>
                <w:b/>
              </w:rPr>
              <w:t>Labour force data:</w:t>
            </w:r>
            <w:r w:rsidRPr="00381F61">
              <w:rPr>
                <w:rFonts w:ascii="Garamond" w:hAnsi="Garamond"/>
              </w:rPr>
              <w:t xml:space="preserve"> We do not know enough about labour force participation amongst older workers; about how we progress from fulltime work to ‘fulltime</w:t>
            </w:r>
            <w:r w:rsidR="00690238" w:rsidRPr="00381F61">
              <w:rPr>
                <w:rFonts w:ascii="Garamond" w:hAnsi="Garamond"/>
              </w:rPr>
              <w:t>’</w:t>
            </w:r>
            <w:r w:rsidRPr="00381F61">
              <w:rPr>
                <w:rFonts w:ascii="Garamond" w:hAnsi="Garamond"/>
              </w:rPr>
              <w:t xml:space="preserve"> retirement, nor what the implications of raising the state pension age might be.  Again, finding these out is the government’s responsibility.</w:t>
            </w:r>
          </w:p>
          <w:p w14:paraId="69B61CAB" w14:textId="13E81BF9" w:rsidR="004F6612" w:rsidRPr="00381F61" w:rsidRDefault="004F6612" w:rsidP="00455AD2">
            <w:pPr>
              <w:widowControl w:val="0"/>
              <w:autoSpaceDE w:val="0"/>
              <w:autoSpaceDN w:val="0"/>
              <w:adjustRightInd w:val="0"/>
              <w:ind w:right="-26"/>
              <w:jc w:val="both"/>
              <w:rPr>
                <w:rFonts w:ascii="Garamond" w:hAnsi="Garamond"/>
              </w:rPr>
            </w:pPr>
          </w:p>
        </w:tc>
        <w:tc>
          <w:tcPr>
            <w:tcW w:w="802" w:type="dxa"/>
          </w:tcPr>
          <w:p w14:paraId="34B1C803" w14:textId="2430134E"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85</w:t>
            </w:r>
          </w:p>
        </w:tc>
      </w:tr>
      <w:tr w:rsidR="00416008" w:rsidRPr="00381F61" w14:paraId="50C8EBF3" w14:textId="2352EFD6" w:rsidTr="00F2146A">
        <w:trPr>
          <w:trHeight w:val="1103"/>
        </w:trPr>
        <w:tc>
          <w:tcPr>
            <w:tcW w:w="863" w:type="dxa"/>
          </w:tcPr>
          <w:p w14:paraId="0A3EA131" w14:textId="2752FE46"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lastRenderedPageBreak/>
              <w:t>1</w:t>
            </w:r>
            <w:r w:rsidR="00F519BC" w:rsidRPr="00381F61">
              <w:rPr>
                <w:rFonts w:ascii="Garamond" w:hAnsi="Garamond"/>
              </w:rPr>
              <w:t>7</w:t>
            </w:r>
            <w:r w:rsidRPr="00381F61">
              <w:rPr>
                <w:rFonts w:ascii="Garamond" w:hAnsi="Garamond"/>
              </w:rPr>
              <w:t>.</w:t>
            </w:r>
          </w:p>
        </w:tc>
        <w:tc>
          <w:tcPr>
            <w:tcW w:w="7643" w:type="dxa"/>
          </w:tcPr>
          <w:p w14:paraId="3BE33B81" w14:textId="75E7ADA2" w:rsidR="00416008" w:rsidRPr="00381F61" w:rsidRDefault="00B036B7" w:rsidP="00455AD2">
            <w:pPr>
              <w:widowControl w:val="0"/>
              <w:autoSpaceDE w:val="0"/>
              <w:autoSpaceDN w:val="0"/>
              <w:adjustRightInd w:val="0"/>
              <w:ind w:right="-26"/>
              <w:jc w:val="both"/>
              <w:rPr>
                <w:rFonts w:ascii="Garamond" w:hAnsi="Garamond"/>
              </w:rPr>
            </w:pPr>
            <w:r w:rsidRPr="00381F61">
              <w:rPr>
                <w:rFonts w:ascii="Garamond" w:hAnsi="Garamond"/>
                <w:b/>
              </w:rPr>
              <w:t>Income tax and saving:</w:t>
            </w:r>
            <w:r w:rsidR="00321602" w:rsidRPr="00381F61">
              <w:rPr>
                <w:rFonts w:ascii="Garamond" w:hAnsi="Garamond"/>
                <w:b/>
              </w:rPr>
              <w:t xml:space="preserve"> </w:t>
            </w:r>
            <w:r w:rsidR="00321602" w:rsidRPr="00381F61">
              <w:rPr>
                <w:rFonts w:ascii="Garamond" w:hAnsi="Garamond"/>
              </w:rPr>
              <w:t xml:space="preserve">The tax treatment of ‘income’ </w:t>
            </w:r>
            <w:r w:rsidR="0004367A" w:rsidRPr="00381F61">
              <w:rPr>
                <w:rFonts w:ascii="Garamond" w:hAnsi="Garamond"/>
              </w:rPr>
              <w:t xml:space="preserve">currently </w:t>
            </w:r>
            <w:r w:rsidR="00321602" w:rsidRPr="00381F61">
              <w:rPr>
                <w:rFonts w:ascii="Garamond" w:hAnsi="Garamond"/>
              </w:rPr>
              <w:t xml:space="preserve">favours some investments over others.  Definitions of ‘income’ also matter for income-tested state benefits like Working for Families.  These </w:t>
            </w:r>
            <w:r w:rsidR="00CA59F1" w:rsidRPr="00381F61">
              <w:rPr>
                <w:rFonts w:ascii="Garamond" w:hAnsi="Garamond"/>
              </w:rPr>
              <w:t xml:space="preserve">both </w:t>
            </w:r>
            <w:r w:rsidR="00321602" w:rsidRPr="00381F61">
              <w:rPr>
                <w:rFonts w:ascii="Garamond" w:hAnsi="Garamond"/>
              </w:rPr>
              <w:t>need fixing.</w:t>
            </w:r>
            <w:r w:rsidR="00CA59F1" w:rsidRPr="00381F61">
              <w:rPr>
                <w:rFonts w:ascii="Garamond" w:hAnsi="Garamond"/>
              </w:rPr>
              <w:t xml:space="preserve">  We suggest a ‘first principles’ approach to reform.</w:t>
            </w:r>
          </w:p>
          <w:p w14:paraId="1FBA7FE3" w14:textId="563EA23F" w:rsidR="00B036B7" w:rsidRPr="00381F61" w:rsidRDefault="00B036B7" w:rsidP="00455AD2">
            <w:pPr>
              <w:widowControl w:val="0"/>
              <w:autoSpaceDE w:val="0"/>
              <w:autoSpaceDN w:val="0"/>
              <w:adjustRightInd w:val="0"/>
              <w:ind w:right="-26"/>
              <w:jc w:val="both"/>
              <w:rPr>
                <w:rFonts w:ascii="Garamond" w:hAnsi="Garamond"/>
              </w:rPr>
            </w:pPr>
          </w:p>
        </w:tc>
        <w:tc>
          <w:tcPr>
            <w:tcW w:w="802" w:type="dxa"/>
          </w:tcPr>
          <w:p w14:paraId="3FC7A8ED" w14:textId="28574A07"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89</w:t>
            </w:r>
          </w:p>
        </w:tc>
      </w:tr>
      <w:tr w:rsidR="00416008" w:rsidRPr="00381F61" w14:paraId="0273E857" w14:textId="69A8712C" w:rsidTr="00F2146A">
        <w:tc>
          <w:tcPr>
            <w:tcW w:w="863" w:type="dxa"/>
          </w:tcPr>
          <w:p w14:paraId="4710A3DE" w14:textId="35F1903B"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1</w:t>
            </w:r>
            <w:r w:rsidR="00F519BC" w:rsidRPr="00381F61">
              <w:rPr>
                <w:rFonts w:ascii="Garamond" w:hAnsi="Garamond"/>
              </w:rPr>
              <w:t>8</w:t>
            </w:r>
            <w:r w:rsidRPr="00381F61">
              <w:rPr>
                <w:rFonts w:ascii="Garamond" w:hAnsi="Garamond"/>
              </w:rPr>
              <w:t>.</w:t>
            </w:r>
          </w:p>
        </w:tc>
        <w:tc>
          <w:tcPr>
            <w:tcW w:w="7643" w:type="dxa"/>
          </w:tcPr>
          <w:p w14:paraId="09AD73AE" w14:textId="2018A8DB" w:rsidR="00416008" w:rsidRPr="00381F61" w:rsidRDefault="00B036B7" w:rsidP="00455AD2">
            <w:pPr>
              <w:widowControl w:val="0"/>
              <w:autoSpaceDE w:val="0"/>
              <w:autoSpaceDN w:val="0"/>
              <w:adjustRightInd w:val="0"/>
              <w:ind w:right="-26"/>
              <w:jc w:val="both"/>
              <w:rPr>
                <w:rFonts w:ascii="Garamond" w:hAnsi="Garamond"/>
              </w:rPr>
            </w:pPr>
            <w:r w:rsidRPr="00381F61">
              <w:rPr>
                <w:rFonts w:ascii="Garamond" w:hAnsi="Garamond"/>
                <w:b/>
              </w:rPr>
              <w:t>Disclosure requirements:</w:t>
            </w:r>
            <w:r w:rsidR="00570224" w:rsidRPr="00381F61">
              <w:rPr>
                <w:rFonts w:ascii="Garamond" w:hAnsi="Garamond"/>
                <w:b/>
              </w:rPr>
              <w:t xml:space="preserve"> </w:t>
            </w:r>
            <w:r w:rsidR="00570224" w:rsidRPr="00381F61">
              <w:rPr>
                <w:rFonts w:ascii="Garamond" w:hAnsi="Garamond"/>
              </w:rPr>
              <w:t xml:space="preserve">The regulatory disclosure requirements for ‘collective investment vehicles’ (like </w:t>
            </w:r>
            <w:r w:rsidR="001D2AC6" w:rsidRPr="00381F61">
              <w:rPr>
                <w:rFonts w:ascii="Garamond" w:hAnsi="Garamond"/>
              </w:rPr>
              <w:t xml:space="preserve">KiwiSaver and </w:t>
            </w:r>
            <w:r w:rsidR="001E08C6" w:rsidRPr="00381F61">
              <w:rPr>
                <w:rFonts w:ascii="Garamond" w:hAnsi="Garamond"/>
              </w:rPr>
              <w:t xml:space="preserve">other </w:t>
            </w:r>
            <w:r w:rsidR="00570224" w:rsidRPr="00381F61">
              <w:rPr>
                <w:rFonts w:ascii="Garamond" w:hAnsi="Garamond"/>
              </w:rPr>
              <w:t>superannuation) have changed a lot recently.  Some of the changes are positive; others negative.  Overall, we rate the new environment as ‘could do better if tried’.  Savers are still not central to regulatory objectives</w:t>
            </w:r>
            <w:r w:rsidR="00F248FB" w:rsidRPr="00381F61">
              <w:rPr>
                <w:rFonts w:ascii="Garamond" w:hAnsi="Garamond"/>
              </w:rPr>
              <w:t xml:space="preserve"> and there needs to be research as to whether the new disclosure regime is improving the understanding </w:t>
            </w:r>
            <w:r w:rsidR="001D2AC6" w:rsidRPr="00381F61">
              <w:rPr>
                <w:rFonts w:ascii="Garamond" w:hAnsi="Garamond"/>
              </w:rPr>
              <w:t>and decision</w:t>
            </w:r>
            <w:r w:rsidR="001E08C6" w:rsidRPr="00381F61">
              <w:rPr>
                <w:rFonts w:ascii="Garamond" w:hAnsi="Garamond"/>
              </w:rPr>
              <w:t>-</w:t>
            </w:r>
            <w:r w:rsidR="001D2AC6" w:rsidRPr="00381F61">
              <w:rPr>
                <w:rFonts w:ascii="Garamond" w:hAnsi="Garamond"/>
              </w:rPr>
              <w:t xml:space="preserve">making </w:t>
            </w:r>
            <w:r w:rsidR="00F248FB" w:rsidRPr="00381F61">
              <w:rPr>
                <w:rFonts w:ascii="Garamond" w:hAnsi="Garamond"/>
              </w:rPr>
              <w:t>of investors</w:t>
            </w:r>
            <w:r w:rsidR="00570224" w:rsidRPr="00381F61">
              <w:rPr>
                <w:rFonts w:ascii="Garamond" w:hAnsi="Garamond"/>
              </w:rPr>
              <w:t>.</w:t>
            </w:r>
          </w:p>
          <w:p w14:paraId="646B4646" w14:textId="176E9DEE" w:rsidR="00B036B7" w:rsidRPr="00381F61" w:rsidRDefault="00B036B7" w:rsidP="00455AD2">
            <w:pPr>
              <w:widowControl w:val="0"/>
              <w:autoSpaceDE w:val="0"/>
              <w:autoSpaceDN w:val="0"/>
              <w:adjustRightInd w:val="0"/>
              <w:ind w:right="-26"/>
              <w:jc w:val="both"/>
              <w:rPr>
                <w:rFonts w:ascii="Garamond" w:hAnsi="Garamond"/>
              </w:rPr>
            </w:pPr>
          </w:p>
        </w:tc>
        <w:tc>
          <w:tcPr>
            <w:tcW w:w="802" w:type="dxa"/>
          </w:tcPr>
          <w:p w14:paraId="7E0AA675" w14:textId="37BFB042"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96</w:t>
            </w:r>
          </w:p>
        </w:tc>
      </w:tr>
      <w:tr w:rsidR="00416008" w:rsidRPr="00381F61" w14:paraId="2FEFB3D9" w14:textId="79A0D1E8" w:rsidTr="00F2146A">
        <w:tc>
          <w:tcPr>
            <w:tcW w:w="863" w:type="dxa"/>
          </w:tcPr>
          <w:p w14:paraId="33A4FD37" w14:textId="0F37083F"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1</w:t>
            </w:r>
            <w:r w:rsidR="00F519BC" w:rsidRPr="00381F61">
              <w:rPr>
                <w:rFonts w:ascii="Garamond" w:hAnsi="Garamond"/>
              </w:rPr>
              <w:t>9</w:t>
            </w:r>
            <w:r w:rsidRPr="00381F61">
              <w:rPr>
                <w:rFonts w:ascii="Garamond" w:hAnsi="Garamond"/>
              </w:rPr>
              <w:t>.</w:t>
            </w:r>
          </w:p>
        </w:tc>
        <w:tc>
          <w:tcPr>
            <w:tcW w:w="7643" w:type="dxa"/>
          </w:tcPr>
          <w:p w14:paraId="2584EF4A" w14:textId="7DE9EAB8" w:rsidR="00416008" w:rsidRPr="00381F61" w:rsidRDefault="00B036B7" w:rsidP="00455AD2">
            <w:pPr>
              <w:widowControl w:val="0"/>
              <w:autoSpaceDE w:val="0"/>
              <w:autoSpaceDN w:val="0"/>
              <w:adjustRightInd w:val="0"/>
              <w:ind w:right="-26"/>
              <w:jc w:val="both"/>
              <w:rPr>
                <w:rFonts w:ascii="Garamond" w:hAnsi="Garamond"/>
              </w:rPr>
            </w:pPr>
            <w:r w:rsidRPr="00381F61">
              <w:rPr>
                <w:rFonts w:ascii="Garamond" w:hAnsi="Garamond"/>
                <w:b/>
              </w:rPr>
              <w:t>Regulation – standards of conduct:</w:t>
            </w:r>
            <w:r w:rsidR="00537741" w:rsidRPr="00381F61">
              <w:rPr>
                <w:rFonts w:ascii="Garamond" w:hAnsi="Garamond"/>
                <w:b/>
              </w:rPr>
              <w:t xml:space="preserve"> </w:t>
            </w:r>
            <w:r w:rsidR="00537741" w:rsidRPr="00381F61">
              <w:rPr>
                <w:rFonts w:ascii="Garamond" w:hAnsi="Garamond"/>
              </w:rPr>
              <w:t xml:space="preserve">The Financial Markets Authority is trying to improve standards of conduct in financial markets. </w:t>
            </w:r>
            <w:r w:rsidR="00173684" w:rsidRPr="00381F61">
              <w:rPr>
                <w:rFonts w:ascii="Garamond" w:hAnsi="Garamond"/>
              </w:rPr>
              <w:t xml:space="preserve"> </w:t>
            </w:r>
            <w:r w:rsidR="00537741" w:rsidRPr="00381F61">
              <w:rPr>
                <w:rFonts w:ascii="Garamond" w:hAnsi="Garamond"/>
              </w:rPr>
              <w:t xml:space="preserve">We think the government should take the initiative on the publication of investment performance returns and support better disclosure on fees.  </w:t>
            </w:r>
            <w:r w:rsidR="001D2AC6" w:rsidRPr="00381F61">
              <w:rPr>
                <w:rFonts w:ascii="Garamond" w:hAnsi="Garamond"/>
              </w:rPr>
              <w:t xml:space="preserve">This is more than the disclosure of historical data and requires disclosure </w:t>
            </w:r>
            <w:r w:rsidR="001E08C6" w:rsidRPr="00381F61">
              <w:rPr>
                <w:rFonts w:ascii="Garamond" w:hAnsi="Garamond"/>
              </w:rPr>
              <w:t>o</w:t>
            </w:r>
            <w:r w:rsidR="001D2AC6" w:rsidRPr="00381F61">
              <w:rPr>
                <w:rFonts w:ascii="Garamond" w:hAnsi="Garamond"/>
              </w:rPr>
              <w:t xml:space="preserve">f the drivers behind the numbers.  </w:t>
            </w:r>
            <w:r w:rsidR="00537741" w:rsidRPr="00381F61">
              <w:rPr>
                <w:rFonts w:ascii="Garamond" w:hAnsi="Garamond"/>
              </w:rPr>
              <w:t>We wonder though</w:t>
            </w:r>
            <w:r w:rsidR="001D2AC6" w:rsidRPr="00381F61">
              <w:rPr>
                <w:rFonts w:ascii="Garamond" w:hAnsi="Garamond"/>
              </w:rPr>
              <w:t>,</w:t>
            </w:r>
            <w:r w:rsidR="00537741" w:rsidRPr="00381F61">
              <w:rPr>
                <w:rFonts w:ascii="Garamond" w:hAnsi="Garamond"/>
              </w:rPr>
              <w:t xml:space="preserve"> whether these will make any long-term difference to the management of collective investment vehicles.</w:t>
            </w:r>
            <w:r w:rsidR="009F7F50" w:rsidRPr="00381F61">
              <w:rPr>
                <w:rFonts w:ascii="Garamond" w:hAnsi="Garamond"/>
              </w:rPr>
              <w:t xml:space="preserve"> </w:t>
            </w:r>
            <w:r w:rsidR="00DC4E01" w:rsidRPr="00381F61">
              <w:rPr>
                <w:rFonts w:ascii="Garamond" w:hAnsi="Garamond"/>
              </w:rPr>
              <w:t xml:space="preserve"> </w:t>
            </w:r>
            <w:r w:rsidR="009F7F50" w:rsidRPr="00381F61">
              <w:rPr>
                <w:rFonts w:ascii="Garamond" w:hAnsi="Garamond"/>
              </w:rPr>
              <w:t>An old set of problems has been replaced by a new set.</w:t>
            </w:r>
          </w:p>
          <w:p w14:paraId="5B92F5E2" w14:textId="081EED5E" w:rsidR="00B036B7" w:rsidRPr="00381F61" w:rsidRDefault="00B036B7" w:rsidP="00455AD2">
            <w:pPr>
              <w:widowControl w:val="0"/>
              <w:autoSpaceDE w:val="0"/>
              <w:autoSpaceDN w:val="0"/>
              <w:adjustRightInd w:val="0"/>
              <w:ind w:right="-26"/>
              <w:jc w:val="both"/>
              <w:rPr>
                <w:rFonts w:ascii="Garamond" w:hAnsi="Garamond"/>
              </w:rPr>
            </w:pPr>
          </w:p>
        </w:tc>
        <w:tc>
          <w:tcPr>
            <w:tcW w:w="802" w:type="dxa"/>
          </w:tcPr>
          <w:p w14:paraId="29A1B7C7" w14:textId="68E60B06"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102</w:t>
            </w:r>
          </w:p>
        </w:tc>
      </w:tr>
      <w:tr w:rsidR="00416008" w:rsidRPr="00381F61" w14:paraId="68B5D284" w14:textId="3C1428EE" w:rsidTr="00F2146A">
        <w:tc>
          <w:tcPr>
            <w:tcW w:w="863" w:type="dxa"/>
          </w:tcPr>
          <w:p w14:paraId="19D35005" w14:textId="4D440013" w:rsidR="00416008" w:rsidRPr="00381F61" w:rsidRDefault="00F519BC" w:rsidP="00E71CEB">
            <w:pPr>
              <w:widowControl w:val="0"/>
              <w:autoSpaceDE w:val="0"/>
              <w:autoSpaceDN w:val="0"/>
              <w:adjustRightInd w:val="0"/>
              <w:jc w:val="both"/>
              <w:rPr>
                <w:rFonts w:ascii="Garamond" w:hAnsi="Garamond"/>
              </w:rPr>
            </w:pPr>
            <w:r w:rsidRPr="00381F61">
              <w:rPr>
                <w:rFonts w:ascii="Garamond" w:hAnsi="Garamond"/>
              </w:rPr>
              <w:t>20</w:t>
            </w:r>
            <w:r w:rsidR="00416008" w:rsidRPr="00381F61">
              <w:rPr>
                <w:rFonts w:ascii="Garamond" w:hAnsi="Garamond"/>
              </w:rPr>
              <w:t>.</w:t>
            </w:r>
          </w:p>
        </w:tc>
        <w:tc>
          <w:tcPr>
            <w:tcW w:w="7643" w:type="dxa"/>
          </w:tcPr>
          <w:p w14:paraId="77DCAFF0" w14:textId="11DE96B3" w:rsidR="00416008" w:rsidRPr="00381F61" w:rsidRDefault="00B036B7" w:rsidP="00455AD2">
            <w:pPr>
              <w:widowControl w:val="0"/>
              <w:autoSpaceDE w:val="0"/>
              <w:autoSpaceDN w:val="0"/>
              <w:adjustRightInd w:val="0"/>
              <w:ind w:right="-26"/>
              <w:jc w:val="both"/>
              <w:rPr>
                <w:rFonts w:ascii="Garamond" w:hAnsi="Garamond"/>
              </w:rPr>
            </w:pPr>
            <w:r w:rsidRPr="00381F61">
              <w:rPr>
                <w:rFonts w:ascii="Garamond" w:hAnsi="Garamond"/>
                <w:b/>
              </w:rPr>
              <w:t xml:space="preserve">Information and education: </w:t>
            </w:r>
            <w:r w:rsidRPr="00381F61">
              <w:rPr>
                <w:rFonts w:ascii="Garamond" w:hAnsi="Garamond"/>
              </w:rPr>
              <w:t>One of a government’s five roles (section 1</w:t>
            </w:r>
            <w:r w:rsidR="000856CF" w:rsidRPr="00381F61">
              <w:rPr>
                <w:rFonts w:ascii="Garamond" w:hAnsi="Garamond"/>
              </w:rPr>
              <w:t>1</w:t>
            </w:r>
            <w:r w:rsidRPr="00381F61">
              <w:rPr>
                <w:rFonts w:ascii="Garamond" w:hAnsi="Garamond"/>
              </w:rPr>
              <w:t>) is to gather and disseminate high quality data; another is to use th</w:t>
            </w:r>
            <w:r w:rsidR="00263C7C" w:rsidRPr="00381F61">
              <w:rPr>
                <w:rFonts w:ascii="Garamond" w:hAnsi="Garamond"/>
              </w:rPr>
              <w:t>at</w:t>
            </w:r>
            <w:r w:rsidRPr="00381F61">
              <w:rPr>
                <w:rFonts w:ascii="Garamond" w:hAnsi="Garamond"/>
              </w:rPr>
              <w:t xml:space="preserve"> for information and education programmes.  We already do some of the latter</w:t>
            </w:r>
            <w:r w:rsidR="001D2AC6" w:rsidRPr="00381F61">
              <w:rPr>
                <w:rFonts w:ascii="Garamond" w:hAnsi="Garamond"/>
              </w:rPr>
              <w:t>,</w:t>
            </w:r>
            <w:r w:rsidRPr="00381F61">
              <w:rPr>
                <w:rFonts w:ascii="Garamond" w:hAnsi="Garamond"/>
              </w:rPr>
              <w:t xml:space="preserve"> but we need to know what’s happening – what works and what doesn’t. </w:t>
            </w:r>
            <w:r w:rsidR="00002DC5" w:rsidRPr="00381F61">
              <w:rPr>
                <w:rFonts w:ascii="Garamond" w:hAnsi="Garamond"/>
              </w:rPr>
              <w:t>One problem is</w:t>
            </w:r>
            <w:r w:rsidR="006D6313" w:rsidRPr="00381F61">
              <w:rPr>
                <w:rFonts w:ascii="Garamond" w:hAnsi="Garamond"/>
              </w:rPr>
              <w:t>, again,</w:t>
            </w:r>
            <w:r w:rsidR="00002DC5" w:rsidRPr="00381F61">
              <w:rPr>
                <w:rFonts w:ascii="Garamond" w:hAnsi="Garamond"/>
              </w:rPr>
              <w:t xml:space="preserve"> the absence of high</w:t>
            </w:r>
            <w:r w:rsidR="001D2AC6" w:rsidRPr="00381F61">
              <w:rPr>
                <w:rFonts w:ascii="Garamond" w:hAnsi="Garamond"/>
              </w:rPr>
              <w:t>-</w:t>
            </w:r>
            <w:r w:rsidR="00002DC5" w:rsidRPr="00381F61">
              <w:rPr>
                <w:rFonts w:ascii="Garamond" w:hAnsi="Garamond"/>
              </w:rPr>
              <w:t>quality data.</w:t>
            </w:r>
          </w:p>
          <w:p w14:paraId="5AB18E88" w14:textId="77777777" w:rsidR="00B036B7" w:rsidRPr="00381F61" w:rsidRDefault="00B036B7" w:rsidP="00455AD2">
            <w:pPr>
              <w:widowControl w:val="0"/>
              <w:autoSpaceDE w:val="0"/>
              <w:autoSpaceDN w:val="0"/>
              <w:adjustRightInd w:val="0"/>
              <w:ind w:right="-26"/>
              <w:jc w:val="both"/>
              <w:rPr>
                <w:rFonts w:ascii="Garamond" w:hAnsi="Garamond"/>
                <w:b/>
              </w:rPr>
            </w:pPr>
          </w:p>
        </w:tc>
        <w:tc>
          <w:tcPr>
            <w:tcW w:w="802" w:type="dxa"/>
          </w:tcPr>
          <w:p w14:paraId="6C7311EB" w14:textId="64776FE3"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107</w:t>
            </w:r>
          </w:p>
        </w:tc>
      </w:tr>
      <w:tr w:rsidR="00416008" w:rsidRPr="00381F61" w14:paraId="1031DD48" w14:textId="15834DF3" w:rsidTr="00F2146A">
        <w:tc>
          <w:tcPr>
            <w:tcW w:w="863" w:type="dxa"/>
          </w:tcPr>
          <w:p w14:paraId="225A0D5D" w14:textId="22AA14D4"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2</w:t>
            </w:r>
            <w:r w:rsidR="00F519BC" w:rsidRPr="00381F61">
              <w:rPr>
                <w:rFonts w:ascii="Garamond" w:hAnsi="Garamond"/>
              </w:rPr>
              <w:t>1</w:t>
            </w:r>
            <w:r w:rsidRPr="00381F61">
              <w:rPr>
                <w:rFonts w:ascii="Garamond" w:hAnsi="Garamond"/>
              </w:rPr>
              <w:t>.</w:t>
            </w:r>
          </w:p>
        </w:tc>
        <w:tc>
          <w:tcPr>
            <w:tcW w:w="7643" w:type="dxa"/>
          </w:tcPr>
          <w:p w14:paraId="5A139B24" w14:textId="10EE8B5F" w:rsidR="00416008" w:rsidRPr="00381F61" w:rsidRDefault="00B036B7" w:rsidP="00455AD2">
            <w:pPr>
              <w:widowControl w:val="0"/>
              <w:autoSpaceDE w:val="0"/>
              <w:autoSpaceDN w:val="0"/>
              <w:adjustRightInd w:val="0"/>
              <w:ind w:right="-26"/>
              <w:jc w:val="both"/>
              <w:rPr>
                <w:rFonts w:ascii="Garamond" w:hAnsi="Garamond"/>
              </w:rPr>
            </w:pPr>
            <w:r w:rsidRPr="00381F61">
              <w:rPr>
                <w:rFonts w:ascii="Garamond" w:hAnsi="Garamond"/>
                <w:b/>
              </w:rPr>
              <w:t>The review process:</w:t>
            </w:r>
            <w:r w:rsidRPr="00381F61">
              <w:rPr>
                <w:rFonts w:ascii="Garamond" w:hAnsi="Garamond"/>
              </w:rPr>
              <w:t xml:space="preserve"> Despite the </w:t>
            </w:r>
            <w:r w:rsidR="00B83075" w:rsidRPr="00381F61">
              <w:rPr>
                <w:rFonts w:ascii="Garamond" w:hAnsi="Garamond"/>
              </w:rPr>
              <w:t xml:space="preserve">six </w:t>
            </w:r>
            <w:r w:rsidRPr="00381F61">
              <w:rPr>
                <w:rFonts w:ascii="Garamond" w:hAnsi="Garamond"/>
              </w:rPr>
              <w:t>reviews since the present</w:t>
            </w:r>
            <w:r w:rsidR="00527D9D" w:rsidRPr="00381F61">
              <w:rPr>
                <w:rFonts w:ascii="Garamond" w:hAnsi="Garamond"/>
              </w:rPr>
              <w:t xml:space="preserve"> retirement policy review</w:t>
            </w:r>
            <w:r w:rsidRPr="00381F61">
              <w:rPr>
                <w:rFonts w:ascii="Garamond" w:hAnsi="Garamond"/>
              </w:rPr>
              <w:t xml:space="preserve"> framework was established in 1993, very little has</w:t>
            </w:r>
            <w:r w:rsidR="00AD17DD" w:rsidRPr="00381F61">
              <w:rPr>
                <w:rFonts w:ascii="Garamond" w:hAnsi="Garamond"/>
              </w:rPr>
              <w:t xml:space="preserve"> actually</w:t>
            </w:r>
            <w:r w:rsidRPr="00381F61">
              <w:rPr>
                <w:rFonts w:ascii="Garamond" w:hAnsi="Garamond"/>
              </w:rPr>
              <w:t xml:space="preserve"> happened</w:t>
            </w:r>
            <w:r w:rsidR="00AD17DD" w:rsidRPr="00381F61">
              <w:rPr>
                <w:rFonts w:ascii="Garamond" w:hAnsi="Garamond"/>
              </w:rPr>
              <w:t xml:space="preserve"> as a result</w:t>
            </w:r>
            <w:r w:rsidRPr="00381F61">
              <w:rPr>
                <w:rFonts w:ascii="Garamond" w:hAnsi="Garamond"/>
              </w:rPr>
              <w:t xml:space="preserve">.  </w:t>
            </w:r>
            <w:r w:rsidR="00002DC5" w:rsidRPr="00381F61">
              <w:rPr>
                <w:rFonts w:ascii="Garamond" w:hAnsi="Garamond"/>
              </w:rPr>
              <w:t xml:space="preserve">The present three-yearly review needs to change and </w:t>
            </w:r>
            <w:r w:rsidR="00750A41" w:rsidRPr="00381F61">
              <w:rPr>
                <w:rFonts w:ascii="Garamond" w:hAnsi="Garamond"/>
              </w:rPr>
              <w:t>the Retirement Commissioner</w:t>
            </w:r>
            <w:r w:rsidR="00261A3F" w:rsidRPr="00381F61">
              <w:rPr>
                <w:rFonts w:ascii="Garamond" w:hAnsi="Garamond"/>
              </w:rPr>
              <w:t>’s role</w:t>
            </w:r>
            <w:r w:rsidR="00817507" w:rsidRPr="00381F61">
              <w:rPr>
                <w:rFonts w:ascii="Garamond" w:hAnsi="Garamond"/>
              </w:rPr>
              <w:t>s</w:t>
            </w:r>
            <w:r w:rsidR="00750A41" w:rsidRPr="00381F61">
              <w:rPr>
                <w:rFonts w:ascii="Garamond" w:hAnsi="Garamond"/>
              </w:rPr>
              <w:t xml:space="preserve"> </w:t>
            </w:r>
            <w:r w:rsidR="00261A3F" w:rsidRPr="00381F61">
              <w:rPr>
                <w:rFonts w:ascii="Garamond" w:hAnsi="Garamond"/>
              </w:rPr>
              <w:t>should return to those</w:t>
            </w:r>
            <w:r w:rsidR="00002DC5" w:rsidRPr="00381F61">
              <w:rPr>
                <w:rFonts w:ascii="Garamond" w:hAnsi="Garamond"/>
              </w:rPr>
              <w:t xml:space="preserve"> described in the 1992 Task Force’s report.</w:t>
            </w:r>
          </w:p>
          <w:p w14:paraId="73BF627A" w14:textId="77777777" w:rsidR="00B036B7" w:rsidRPr="00381F61" w:rsidRDefault="00B036B7" w:rsidP="00455AD2">
            <w:pPr>
              <w:widowControl w:val="0"/>
              <w:autoSpaceDE w:val="0"/>
              <w:autoSpaceDN w:val="0"/>
              <w:adjustRightInd w:val="0"/>
              <w:ind w:right="-26"/>
              <w:jc w:val="both"/>
              <w:rPr>
                <w:rFonts w:ascii="Garamond" w:hAnsi="Garamond"/>
                <w:b/>
              </w:rPr>
            </w:pPr>
          </w:p>
        </w:tc>
        <w:tc>
          <w:tcPr>
            <w:tcW w:w="802" w:type="dxa"/>
          </w:tcPr>
          <w:p w14:paraId="69521434" w14:textId="532D8814"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114</w:t>
            </w:r>
          </w:p>
        </w:tc>
      </w:tr>
      <w:tr w:rsidR="00416008" w:rsidRPr="00381F61" w14:paraId="23F9D3EB" w14:textId="0CDE0030" w:rsidTr="00F2146A">
        <w:tc>
          <w:tcPr>
            <w:tcW w:w="863" w:type="dxa"/>
          </w:tcPr>
          <w:p w14:paraId="6402C97A" w14:textId="0122D686" w:rsidR="00416008" w:rsidRPr="00381F61" w:rsidRDefault="00416008" w:rsidP="00E71CEB">
            <w:pPr>
              <w:widowControl w:val="0"/>
              <w:autoSpaceDE w:val="0"/>
              <w:autoSpaceDN w:val="0"/>
              <w:adjustRightInd w:val="0"/>
              <w:jc w:val="both"/>
              <w:rPr>
                <w:rFonts w:ascii="Garamond" w:hAnsi="Garamond"/>
              </w:rPr>
            </w:pPr>
            <w:r w:rsidRPr="00381F61">
              <w:rPr>
                <w:rFonts w:ascii="Garamond" w:hAnsi="Garamond"/>
              </w:rPr>
              <w:t>2</w:t>
            </w:r>
            <w:r w:rsidR="00F519BC" w:rsidRPr="00381F61">
              <w:rPr>
                <w:rFonts w:ascii="Garamond" w:hAnsi="Garamond"/>
              </w:rPr>
              <w:t>2</w:t>
            </w:r>
            <w:r w:rsidRPr="00381F61">
              <w:rPr>
                <w:rFonts w:ascii="Garamond" w:hAnsi="Garamond"/>
              </w:rPr>
              <w:t>.</w:t>
            </w:r>
          </w:p>
        </w:tc>
        <w:tc>
          <w:tcPr>
            <w:tcW w:w="7643" w:type="dxa"/>
          </w:tcPr>
          <w:p w14:paraId="59F8419C" w14:textId="533EE93F" w:rsidR="00416008" w:rsidRPr="00381F61" w:rsidRDefault="00515018" w:rsidP="000D558B">
            <w:pPr>
              <w:widowControl w:val="0"/>
              <w:autoSpaceDE w:val="0"/>
              <w:autoSpaceDN w:val="0"/>
              <w:adjustRightInd w:val="0"/>
              <w:ind w:right="-26"/>
              <w:jc w:val="both"/>
              <w:rPr>
                <w:rFonts w:ascii="Garamond" w:hAnsi="Garamond"/>
              </w:rPr>
            </w:pPr>
            <w:r w:rsidRPr="00381F61">
              <w:rPr>
                <w:rFonts w:ascii="Garamond" w:hAnsi="Garamond"/>
                <w:b/>
              </w:rPr>
              <w:t>Policy nirvana:</w:t>
            </w:r>
            <w:r w:rsidRPr="00381F61">
              <w:rPr>
                <w:rFonts w:ascii="Garamond" w:hAnsi="Garamond"/>
              </w:rPr>
              <w:t xml:space="preserve"> </w:t>
            </w:r>
            <w:r w:rsidR="000372D0" w:rsidRPr="00381F61">
              <w:rPr>
                <w:rFonts w:ascii="Garamond" w:hAnsi="Garamond"/>
              </w:rPr>
              <w:t>Political parties’ policies</w:t>
            </w:r>
            <w:r w:rsidR="00EC7621" w:rsidRPr="00381F61">
              <w:rPr>
                <w:rFonts w:ascii="Garamond" w:hAnsi="Garamond"/>
              </w:rPr>
              <w:t xml:space="preserve"> are</w:t>
            </w:r>
            <w:r w:rsidR="00750A41" w:rsidRPr="00381F61">
              <w:rPr>
                <w:rFonts w:ascii="Garamond" w:hAnsi="Garamond"/>
              </w:rPr>
              <w:t xml:space="preserve"> an inappropriate </w:t>
            </w:r>
            <w:r w:rsidR="000372D0" w:rsidRPr="00381F61">
              <w:rPr>
                <w:rFonts w:ascii="Garamond" w:hAnsi="Garamond"/>
              </w:rPr>
              <w:t xml:space="preserve">vehicle </w:t>
            </w:r>
            <w:r w:rsidR="00750A41" w:rsidRPr="00381F61">
              <w:rPr>
                <w:rFonts w:ascii="Garamond" w:hAnsi="Garamond"/>
              </w:rPr>
              <w:t>to resolve retirement income issues.  We should aim for a 202</w:t>
            </w:r>
            <w:r w:rsidR="00662A6F" w:rsidRPr="00381F61">
              <w:rPr>
                <w:rFonts w:ascii="Garamond" w:hAnsi="Garamond"/>
              </w:rPr>
              <w:t>3</w:t>
            </w:r>
            <w:r w:rsidR="00750A41" w:rsidRPr="00381F61">
              <w:rPr>
                <w:rFonts w:ascii="Garamond" w:hAnsi="Garamond"/>
              </w:rPr>
              <w:t xml:space="preserve"> version of the 1993 </w:t>
            </w:r>
            <w:r w:rsidR="00750A41" w:rsidRPr="00381F61">
              <w:rPr>
                <w:rFonts w:ascii="Garamond" w:hAnsi="Garamond"/>
                <w:i/>
              </w:rPr>
              <w:t>Superannuation Accord</w:t>
            </w:r>
            <w:r w:rsidR="00750A41" w:rsidRPr="00381F61">
              <w:rPr>
                <w:rFonts w:ascii="Garamond" w:hAnsi="Garamond"/>
              </w:rPr>
              <w:t xml:space="preserve">.  We need first to strengthen the review process and establish its credibility as a way to </w:t>
            </w:r>
            <w:r w:rsidR="00EE6896" w:rsidRPr="00381F61">
              <w:rPr>
                <w:rFonts w:ascii="Garamond" w:hAnsi="Garamond"/>
              </w:rPr>
              <w:t>facilitate</w:t>
            </w:r>
            <w:r w:rsidR="00750A41" w:rsidRPr="00381F61">
              <w:rPr>
                <w:rFonts w:ascii="Garamond" w:hAnsi="Garamond"/>
              </w:rPr>
              <w:t xml:space="preserve"> public and political consensus.</w:t>
            </w:r>
            <w:r w:rsidR="00576652" w:rsidRPr="00381F61">
              <w:rPr>
                <w:rFonts w:ascii="Garamond" w:hAnsi="Garamond"/>
              </w:rPr>
              <w:t xml:space="preserve">  </w:t>
            </w:r>
            <w:r w:rsidR="0020472B" w:rsidRPr="00381F61">
              <w:rPr>
                <w:rFonts w:ascii="Garamond" w:hAnsi="Garamond"/>
              </w:rPr>
              <w:t>Again, g</w:t>
            </w:r>
            <w:r w:rsidR="00576652" w:rsidRPr="00381F61">
              <w:rPr>
                <w:rFonts w:ascii="Garamond" w:hAnsi="Garamond"/>
              </w:rPr>
              <w:t xml:space="preserve">athering impeccable, deep data </w:t>
            </w:r>
            <w:r w:rsidR="000D558B" w:rsidRPr="00381F61">
              <w:rPr>
                <w:rFonts w:ascii="Garamond" w:hAnsi="Garamond"/>
              </w:rPr>
              <w:t>must</w:t>
            </w:r>
            <w:r w:rsidR="00576652" w:rsidRPr="00381F61">
              <w:rPr>
                <w:rFonts w:ascii="Garamond" w:hAnsi="Garamond"/>
              </w:rPr>
              <w:t xml:space="preserve"> be at the heart of that.</w:t>
            </w:r>
          </w:p>
        </w:tc>
        <w:tc>
          <w:tcPr>
            <w:tcW w:w="802" w:type="dxa"/>
          </w:tcPr>
          <w:p w14:paraId="3BB9D721" w14:textId="31F36F28" w:rsidR="00416008" w:rsidRPr="00381F61" w:rsidRDefault="003B3D0E" w:rsidP="00455AD2">
            <w:pPr>
              <w:widowControl w:val="0"/>
              <w:autoSpaceDE w:val="0"/>
              <w:autoSpaceDN w:val="0"/>
              <w:adjustRightInd w:val="0"/>
              <w:ind w:right="-26"/>
              <w:jc w:val="both"/>
              <w:rPr>
                <w:rFonts w:ascii="Garamond" w:hAnsi="Garamond"/>
              </w:rPr>
            </w:pPr>
            <w:r>
              <w:rPr>
                <w:rFonts w:ascii="Garamond" w:hAnsi="Garamond"/>
              </w:rPr>
              <w:t>117</w:t>
            </w:r>
          </w:p>
        </w:tc>
      </w:tr>
    </w:tbl>
    <w:p w14:paraId="259F5199" w14:textId="4FFFAD6F" w:rsidR="00492BD2" w:rsidRPr="00381F61" w:rsidRDefault="00492BD2" w:rsidP="00E71CEB">
      <w:pPr>
        <w:widowControl w:val="0"/>
        <w:autoSpaceDE w:val="0"/>
        <w:autoSpaceDN w:val="0"/>
        <w:adjustRightInd w:val="0"/>
        <w:jc w:val="both"/>
        <w:rPr>
          <w:rFonts w:ascii="Garamond" w:hAnsi="Garamond"/>
          <w:b/>
        </w:rPr>
      </w:pPr>
    </w:p>
    <w:p w14:paraId="60B99414" w14:textId="495A945E" w:rsidR="00695EF3" w:rsidRPr="00381F61" w:rsidRDefault="00A97583" w:rsidP="00E71CEB">
      <w:pPr>
        <w:jc w:val="both"/>
        <w:rPr>
          <w:rFonts w:ascii="Garamond" w:hAnsi="Garamond"/>
        </w:rPr>
      </w:pPr>
      <w:r w:rsidRPr="00381F61">
        <w:rPr>
          <w:rFonts w:ascii="Garamond" w:hAnsi="Garamond"/>
        </w:rPr>
        <w:br w:type="page"/>
      </w:r>
    </w:p>
    <w:p w14:paraId="52BBA4E5" w14:textId="737D0C59" w:rsidR="00F519BC" w:rsidRPr="00381F61" w:rsidRDefault="00F519BC" w:rsidP="00E71CEB">
      <w:pPr>
        <w:jc w:val="both"/>
        <w:rPr>
          <w:rFonts w:ascii="Garamond" w:hAnsi="Garamond"/>
          <w:b/>
        </w:rPr>
      </w:pPr>
      <w:r w:rsidRPr="00381F61">
        <w:rPr>
          <w:rFonts w:ascii="Garamond" w:hAnsi="Garamond"/>
          <w:b/>
        </w:rPr>
        <w:lastRenderedPageBreak/>
        <w:t>1.</w:t>
      </w:r>
      <w:r w:rsidRPr="00381F61">
        <w:rPr>
          <w:rFonts w:ascii="Garamond" w:hAnsi="Garamond"/>
          <w:b/>
        </w:rPr>
        <w:tab/>
        <w:t>Our vision</w:t>
      </w:r>
      <w:r w:rsidR="00E16E99" w:rsidRPr="00381F61">
        <w:rPr>
          <w:rFonts w:ascii="Garamond" w:hAnsi="Garamond"/>
          <w:b/>
        </w:rPr>
        <w:t xml:space="preserve"> – reforms </w:t>
      </w:r>
      <w:r w:rsidR="00D3424D" w:rsidRPr="00381F61">
        <w:rPr>
          <w:rFonts w:ascii="Garamond" w:hAnsi="Garamond"/>
          <w:b/>
        </w:rPr>
        <w:t>that really matt</w:t>
      </w:r>
      <w:r w:rsidR="00E16E99" w:rsidRPr="00381F61">
        <w:rPr>
          <w:rFonts w:ascii="Garamond" w:hAnsi="Garamond"/>
          <w:b/>
        </w:rPr>
        <w:t>er</w:t>
      </w:r>
    </w:p>
    <w:p w14:paraId="65708AAD" w14:textId="77777777" w:rsidR="00206A2C" w:rsidRPr="00381F61" w:rsidRDefault="00206A2C" w:rsidP="00E71CEB">
      <w:pPr>
        <w:jc w:val="both"/>
        <w:rPr>
          <w:rFonts w:ascii="Garamond" w:hAnsi="Garamond"/>
          <w:b/>
        </w:rPr>
      </w:pPr>
    </w:p>
    <w:p w14:paraId="54199266" w14:textId="680BF434" w:rsidR="00206A2C" w:rsidRPr="00381F61" w:rsidRDefault="00B033F3" w:rsidP="00E71CEB">
      <w:pPr>
        <w:jc w:val="both"/>
        <w:rPr>
          <w:rFonts w:ascii="Garamond" w:hAnsi="Garamond"/>
        </w:rPr>
      </w:pPr>
      <w:r w:rsidRPr="00381F61">
        <w:rPr>
          <w:rFonts w:ascii="Garamond" w:hAnsi="Garamond"/>
        </w:rPr>
        <w:t xml:space="preserve">As explained in the introduction to this report, we were extremely disappointed with the Retirement Commissioner’s 2016 review of retirement income policies. </w:t>
      </w:r>
      <w:r w:rsidR="000372D0" w:rsidRPr="00381F61">
        <w:rPr>
          <w:rFonts w:ascii="Garamond" w:hAnsi="Garamond"/>
        </w:rPr>
        <w:t>For the reasons described</w:t>
      </w:r>
      <w:r w:rsidR="00D9483F" w:rsidRPr="00381F61">
        <w:rPr>
          <w:rFonts w:ascii="Garamond" w:hAnsi="Garamond"/>
        </w:rPr>
        <w:t xml:space="preserve"> in the Introduction</w:t>
      </w:r>
      <w:r w:rsidR="00780651" w:rsidRPr="00381F61">
        <w:rPr>
          <w:rFonts w:ascii="Garamond" w:hAnsi="Garamond"/>
        </w:rPr>
        <w:t>, w</w:t>
      </w:r>
      <w:r w:rsidR="00EC7621" w:rsidRPr="00381F61">
        <w:rPr>
          <w:rFonts w:ascii="Garamond" w:hAnsi="Garamond"/>
        </w:rPr>
        <w:t>e suspect th</w:t>
      </w:r>
      <w:r w:rsidR="00371308" w:rsidRPr="00381F61">
        <w:rPr>
          <w:rFonts w:ascii="Garamond" w:hAnsi="Garamond"/>
        </w:rPr>
        <w:t>e 2019 Review will see</w:t>
      </w:r>
      <w:r w:rsidR="00EC7621" w:rsidRPr="00381F61">
        <w:rPr>
          <w:rFonts w:ascii="Garamond" w:hAnsi="Garamond"/>
        </w:rPr>
        <w:t xml:space="preserve"> no real progress.  </w:t>
      </w:r>
      <w:r w:rsidRPr="00381F61">
        <w:rPr>
          <w:rFonts w:ascii="Garamond" w:hAnsi="Garamond"/>
        </w:rPr>
        <w:t xml:space="preserve">Sections 2 to 22 below describe </w:t>
      </w:r>
      <w:r w:rsidR="00E16E99" w:rsidRPr="00381F61">
        <w:rPr>
          <w:rFonts w:ascii="Garamond" w:hAnsi="Garamond"/>
        </w:rPr>
        <w:t>the issues and the questions that New Zealand needs to discuss.</w:t>
      </w:r>
    </w:p>
    <w:p w14:paraId="5599EA55" w14:textId="77777777" w:rsidR="00E16E99" w:rsidRPr="00381F61" w:rsidRDefault="00E16E99" w:rsidP="00E71CEB">
      <w:pPr>
        <w:jc w:val="both"/>
        <w:rPr>
          <w:rFonts w:ascii="Garamond" w:hAnsi="Garamond"/>
        </w:rPr>
      </w:pPr>
    </w:p>
    <w:p w14:paraId="4F681FB6" w14:textId="6BE2A58E" w:rsidR="00E16E99" w:rsidRPr="00381F61" w:rsidRDefault="00E16E99" w:rsidP="00E71CEB">
      <w:pPr>
        <w:jc w:val="both"/>
        <w:rPr>
          <w:rFonts w:ascii="Garamond" w:hAnsi="Garamond"/>
        </w:rPr>
      </w:pPr>
      <w:r w:rsidRPr="00381F61">
        <w:rPr>
          <w:rFonts w:ascii="Garamond" w:hAnsi="Garamond"/>
        </w:rPr>
        <w:t>So as to put that detail in</w:t>
      </w:r>
      <w:r w:rsidR="002B12A3" w:rsidRPr="00381F61">
        <w:rPr>
          <w:rFonts w:ascii="Garamond" w:hAnsi="Garamond"/>
        </w:rPr>
        <w:t>to</w:t>
      </w:r>
      <w:r w:rsidRPr="00381F61">
        <w:rPr>
          <w:rFonts w:ascii="Garamond" w:hAnsi="Garamond"/>
        </w:rPr>
        <w:t xml:space="preserve"> context, we have picked out the nine key elements that we think should form the framework of a sustainable, flexible, inclusive</w:t>
      </w:r>
      <w:r w:rsidR="00AA2B9E" w:rsidRPr="00381F61">
        <w:rPr>
          <w:rFonts w:ascii="Garamond" w:hAnsi="Garamond"/>
        </w:rPr>
        <w:t>, successful</w:t>
      </w:r>
      <w:r w:rsidRPr="00381F61">
        <w:rPr>
          <w:rFonts w:ascii="Garamond" w:hAnsi="Garamond"/>
        </w:rPr>
        <w:t xml:space="preserve"> retirement income framework.  We list them in order of significance to us.</w:t>
      </w:r>
    </w:p>
    <w:p w14:paraId="52B12A1A" w14:textId="77777777" w:rsidR="00D3424D" w:rsidRPr="00381F61" w:rsidRDefault="00D3424D" w:rsidP="00E71CEB">
      <w:pPr>
        <w:jc w:val="both"/>
        <w:rPr>
          <w:rFonts w:ascii="Garamond" w:hAnsi="Garamond"/>
        </w:rPr>
      </w:pPr>
    </w:p>
    <w:p w14:paraId="5CE12AE2" w14:textId="2347FC43" w:rsidR="00D3424D" w:rsidRPr="00381F61" w:rsidRDefault="00D3424D" w:rsidP="00E71CEB">
      <w:pPr>
        <w:jc w:val="both"/>
        <w:rPr>
          <w:rFonts w:ascii="Garamond" w:hAnsi="Garamond"/>
        </w:rPr>
      </w:pPr>
      <w:r w:rsidRPr="00381F61">
        <w:rPr>
          <w:rFonts w:ascii="Garamond" w:hAnsi="Garamond"/>
          <w:b/>
        </w:rPr>
        <w:t>1.1</w:t>
      </w:r>
      <w:r w:rsidRPr="00381F61">
        <w:rPr>
          <w:rFonts w:ascii="Garamond" w:hAnsi="Garamond"/>
          <w:b/>
        </w:rPr>
        <w:tab/>
        <w:t>Economic growth:</w:t>
      </w:r>
      <w:r w:rsidRPr="00381F61">
        <w:rPr>
          <w:rFonts w:ascii="Garamond" w:hAnsi="Garamond"/>
        </w:rPr>
        <w:t xml:space="preserve"> Greater economic growth (than expected) should be central to discussions on every aspect of public policy, including retirement incomes.  At the foot of every significant </w:t>
      </w:r>
      <w:r w:rsidR="002B12A3" w:rsidRPr="00381F61">
        <w:rPr>
          <w:rFonts w:ascii="Garamond" w:hAnsi="Garamond"/>
        </w:rPr>
        <w:t xml:space="preserve">retirement </w:t>
      </w:r>
      <w:r w:rsidR="000867D5" w:rsidRPr="00381F61">
        <w:rPr>
          <w:rFonts w:ascii="Garamond" w:hAnsi="Garamond"/>
        </w:rPr>
        <w:t xml:space="preserve">or pension </w:t>
      </w:r>
      <w:r w:rsidRPr="00381F61">
        <w:rPr>
          <w:rFonts w:ascii="Garamond" w:hAnsi="Garamond"/>
        </w:rPr>
        <w:t xml:space="preserve">policy proposal should be the question: ‘How does this help New Zealand grow more than under current settings?’  </w:t>
      </w:r>
      <w:r w:rsidR="00561762" w:rsidRPr="00381F61">
        <w:rPr>
          <w:rFonts w:ascii="Garamond" w:hAnsi="Garamond"/>
        </w:rPr>
        <w:t xml:space="preserve">Not all policy changes have to be about economic growth, but if we do not get </w:t>
      </w:r>
      <w:r w:rsidR="001E08C6" w:rsidRPr="00381F61">
        <w:rPr>
          <w:rFonts w:ascii="Garamond" w:hAnsi="Garamond"/>
        </w:rPr>
        <w:t>that</w:t>
      </w:r>
      <w:r w:rsidR="00561762" w:rsidRPr="00381F61">
        <w:rPr>
          <w:rFonts w:ascii="Garamond" w:hAnsi="Garamond"/>
        </w:rPr>
        <w:t xml:space="preserve"> growth, we will not see material improvements in the standard of living of the population</w:t>
      </w:r>
      <w:r w:rsidR="001E08C6" w:rsidRPr="00381F61">
        <w:rPr>
          <w:rFonts w:ascii="Garamond" w:hAnsi="Garamond"/>
        </w:rPr>
        <w:t>,</w:t>
      </w:r>
      <w:r w:rsidR="00561762" w:rsidRPr="00381F61">
        <w:rPr>
          <w:rFonts w:ascii="Garamond" w:hAnsi="Garamond"/>
        </w:rPr>
        <w:t xml:space="preserve"> including retirees.  </w:t>
      </w:r>
      <w:r w:rsidRPr="00381F61">
        <w:rPr>
          <w:rFonts w:ascii="Garamond" w:hAnsi="Garamond"/>
        </w:rPr>
        <w:t>See section 2 for more.</w:t>
      </w:r>
    </w:p>
    <w:p w14:paraId="012B0CA1" w14:textId="77777777" w:rsidR="00D3424D" w:rsidRPr="00381F61" w:rsidRDefault="00D3424D" w:rsidP="00E71CEB">
      <w:pPr>
        <w:jc w:val="both"/>
        <w:rPr>
          <w:rFonts w:ascii="Garamond" w:hAnsi="Garamond"/>
        </w:rPr>
      </w:pPr>
    </w:p>
    <w:p w14:paraId="07250968" w14:textId="26DE5830" w:rsidR="00D3424D" w:rsidRPr="00381F61" w:rsidRDefault="00D3424D" w:rsidP="00E71CEB">
      <w:pPr>
        <w:jc w:val="both"/>
        <w:rPr>
          <w:rFonts w:ascii="Garamond" w:hAnsi="Garamond"/>
        </w:rPr>
      </w:pPr>
      <w:r w:rsidRPr="00381F61">
        <w:rPr>
          <w:rFonts w:ascii="Garamond" w:hAnsi="Garamond"/>
          <w:b/>
        </w:rPr>
        <w:t>1.2</w:t>
      </w:r>
      <w:r w:rsidRPr="00381F61">
        <w:rPr>
          <w:rFonts w:ascii="Garamond" w:hAnsi="Garamond"/>
          <w:b/>
        </w:rPr>
        <w:tab/>
        <w:t>Longitudinal household survey:</w:t>
      </w:r>
      <w:r w:rsidRPr="00381F61">
        <w:rPr>
          <w:rFonts w:ascii="Garamond" w:hAnsi="Garamond"/>
        </w:rPr>
        <w:t xml:space="preserve"> Unless we know what households are doing in their financial lives and what their aspirations are over time, public policy debates will take place in a vacuum.  We won’t know whether things need changing, nor </w:t>
      </w:r>
      <w:r w:rsidR="00FF3030" w:rsidRPr="00381F61">
        <w:rPr>
          <w:rFonts w:ascii="Garamond" w:hAnsi="Garamond"/>
        </w:rPr>
        <w:t>the chances that</w:t>
      </w:r>
      <w:r w:rsidRPr="00381F61">
        <w:rPr>
          <w:rFonts w:ascii="Garamond" w:hAnsi="Garamond"/>
        </w:rPr>
        <w:t xml:space="preserve"> any proposed change</w:t>
      </w:r>
      <w:r w:rsidR="00FF3030" w:rsidRPr="00381F61">
        <w:rPr>
          <w:rFonts w:ascii="Garamond" w:hAnsi="Garamond"/>
        </w:rPr>
        <w:t xml:space="preserve"> might actually work.  </w:t>
      </w:r>
      <w:r w:rsidR="00D6314A" w:rsidRPr="00381F61">
        <w:rPr>
          <w:rFonts w:ascii="Garamond" w:hAnsi="Garamond"/>
        </w:rPr>
        <w:t xml:space="preserve">We can’t even see whether </w:t>
      </w:r>
      <w:r w:rsidR="00F87341" w:rsidRPr="00381F61">
        <w:rPr>
          <w:rFonts w:ascii="Garamond" w:hAnsi="Garamond"/>
        </w:rPr>
        <w:t xml:space="preserve">current </w:t>
      </w:r>
      <w:r w:rsidR="00D6314A" w:rsidRPr="00381F61">
        <w:rPr>
          <w:rFonts w:ascii="Garamond" w:hAnsi="Garamond"/>
        </w:rPr>
        <w:t xml:space="preserve">policy is </w:t>
      </w:r>
      <w:r w:rsidR="00780651" w:rsidRPr="00381F61">
        <w:rPr>
          <w:rFonts w:ascii="Garamond" w:hAnsi="Garamond"/>
        </w:rPr>
        <w:t>achieving its objectives</w:t>
      </w:r>
      <w:r w:rsidR="00D6314A" w:rsidRPr="00381F61">
        <w:rPr>
          <w:rFonts w:ascii="Garamond" w:hAnsi="Garamond"/>
        </w:rPr>
        <w:t xml:space="preserve">.  </w:t>
      </w:r>
      <w:r w:rsidR="00FF3030" w:rsidRPr="00381F61">
        <w:rPr>
          <w:rFonts w:ascii="Garamond" w:hAnsi="Garamond"/>
        </w:rPr>
        <w:t>See section 15 for more.</w:t>
      </w:r>
    </w:p>
    <w:p w14:paraId="5D268E9F" w14:textId="77777777" w:rsidR="00FF3030" w:rsidRPr="00381F61" w:rsidRDefault="00FF3030" w:rsidP="00E71CEB">
      <w:pPr>
        <w:jc w:val="both"/>
        <w:rPr>
          <w:rFonts w:ascii="Garamond" w:hAnsi="Garamond"/>
        </w:rPr>
      </w:pPr>
    </w:p>
    <w:p w14:paraId="409276C5" w14:textId="3F0EF2A2" w:rsidR="00FF3030" w:rsidRPr="00381F61" w:rsidRDefault="00FF3030" w:rsidP="00E71CEB">
      <w:pPr>
        <w:jc w:val="both"/>
        <w:rPr>
          <w:rFonts w:ascii="Garamond" w:hAnsi="Garamond"/>
        </w:rPr>
      </w:pPr>
      <w:r w:rsidRPr="00381F61">
        <w:rPr>
          <w:rFonts w:ascii="Garamond" w:hAnsi="Garamond"/>
          <w:b/>
        </w:rPr>
        <w:t>1.3</w:t>
      </w:r>
      <w:r w:rsidRPr="00381F61">
        <w:rPr>
          <w:rFonts w:ascii="Garamond" w:hAnsi="Garamond"/>
          <w:b/>
        </w:rPr>
        <w:tab/>
        <w:t>Review process:</w:t>
      </w:r>
      <w:r w:rsidRPr="00381F61">
        <w:rPr>
          <w:rFonts w:ascii="Garamond" w:hAnsi="Garamond"/>
        </w:rPr>
        <w:t xml:space="preserve"> The current triennial review of retirement income policies isn’t working and must change</w:t>
      </w:r>
      <w:r w:rsidR="00AA2B9E" w:rsidRPr="00381F61">
        <w:rPr>
          <w:rFonts w:ascii="Garamond" w:hAnsi="Garamond"/>
        </w:rPr>
        <w:t xml:space="preserve">.  New Zealand should aim to create a world-class centre of research excellence </w:t>
      </w:r>
      <w:r w:rsidR="00AF2038" w:rsidRPr="00381F61">
        <w:rPr>
          <w:rFonts w:ascii="Garamond" w:hAnsi="Garamond"/>
        </w:rPr>
        <w:t>on financi</w:t>
      </w:r>
      <w:r w:rsidR="00F86C65" w:rsidRPr="00381F61">
        <w:rPr>
          <w:rFonts w:ascii="Garamond" w:hAnsi="Garamond"/>
        </w:rPr>
        <w:t xml:space="preserve">al issues at a household level </w:t>
      </w:r>
      <w:r w:rsidR="00AA2B9E" w:rsidRPr="00381F61">
        <w:rPr>
          <w:rFonts w:ascii="Garamond" w:hAnsi="Garamond"/>
        </w:rPr>
        <w:t>– the Dunedin Multi-Disciplinary Health and Development Study is a model for our recommendation.  See section 21 for more.</w:t>
      </w:r>
    </w:p>
    <w:p w14:paraId="269855B0" w14:textId="77777777" w:rsidR="00AA2B9E" w:rsidRPr="00381F61" w:rsidRDefault="00AA2B9E" w:rsidP="00E71CEB">
      <w:pPr>
        <w:jc w:val="both"/>
        <w:rPr>
          <w:rFonts w:ascii="Garamond" w:hAnsi="Garamond"/>
        </w:rPr>
      </w:pPr>
    </w:p>
    <w:p w14:paraId="10619D3C" w14:textId="2DA4625B" w:rsidR="00AA2B9E" w:rsidRPr="00381F61" w:rsidRDefault="00AA2B9E" w:rsidP="00E71CEB">
      <w:pPr>
        <w:jc w:val="both"/>
        <w:rPr>
          <w:rFonts w:ascii="Garamond" w:hAnsi="Garamond"/>
        </w:rPr>
      </w:pPr>
      <w:r w:rsidRPr="00381F61">
        <w:rPr>
          <w:rFonts w:ascii="Garamond" w:hAnsi="Garamond"/>
          <w:b/>
        </w:rPr>
        <w:t>1.4</w:t>
      </w:r>
      <w:r w:rsidRPr="00381F61">
        <w:rPr>
          <w:rFonts w:ascii="Garamond" w:hAnsi="Garamond"/>
          <w:b/>
        </w:rPr>
        <w:tab/>
        <w:t xml:space="preserve">First principles review of New Zealand Superannuation: </w:t>
      </w:r>
      <w:r w:rsidRPr="00381F61">
        <w:rPr>
          <w:rFonts w:ascii="Garamond" w:hAnsi="Garamond"/>
        </w:rPr>
        <w:t>New Zealand needs a research-led review of every aspect of NZS</w:t>
      </w:r>
      <w:r w:rsidR="00EC7621" w:rsidRPr="00381F61">
        <w:rPr>
          <w:rFonts w:ascii="Garamond" w:hAnsi="Garamond"/>
        </w:rPr>
        <w:t xml:space="preserve"> and, based on </w:t>
      </w:r>
      <w:r w:rsidR="000372D0" w:rsidRPr="00381F61">
        <w:rPr>
          <w:rFonts w:ascii="Garamond" w:hAnsi="Garamond"/>
        </w:rPr>
        <w:t xml:space="preserve">its </w:t>
      </w:r>
      <w:r w:rsidR="00EC7621" w:rsidRPr="00381F61">
        <w:rPr>
          <w:rFonts w:ascii="Garamond" w:hAnsi="Garamond"/>
        </w:rPr>
        <w:t xml:space="preserve">Terms of Reference, we do not expect the </w:t>
      </w:r>
      <w:r w:rsidR="00371308" w:rsidRPr="00381F61">
        <w:rPr>
          <w:rFonts w:ascii="Garamond" w:hAnsi="Garamond"/>
        </w:rPr>
        <w:t xml:space="preserve">2019 </w:t>
      </w:r>
      <w:r w:rsidR="00EC7621" w:rsidRPr="00381F61">
        <w:rPr>
          <w:rFonts w:ascii="Garamond" w:hAnsi="Garamond"/>
        </w:rPr>
        <w:t>Review to achieve our recommendation</w:t>
      </w:r>
      <w:r w:rsidRPr="00381F61">
        <w:rPr>
          <w:rFonts w:ascii="Garamond" w:hAnsi="Garamond"/>
        </w:rPr>
        <w:t xml:space="preserve">.  </w:t>
      </w:r>
      <w:r w:rsidR="00EC7621" w:rsidRPr="00381F61">
        <w:rPr>
          <w:rFonts w:ascii="Garamond" w:hAnsi="Garamond"/>
        </w:rPr>
        <w:t xml:space="preserve">New Zealand has </w:t>
      </w:r>
      <w:r w:rsidRPr="00381F61">
        <w:rPr>
          <w:rFonts w:ascii="Garamond" w:hAnsi="Garamond"/>
        </w:rPr>
        <w:t xml:space="preserve">never done </w:t>
      </w:r>
      <w:r w:rsidR="00E56D97" w:rsidRPr="00381F61">
        <w:rPr>
          <w:rFonts w:ascii="Garamond" w:hAnsi="Garamond"/>
        </w:rPr>
        <w:t>such a review</w:t>
      </w:r>
      <w:r w:rsidRPr="00381F61">
        <w:rPr>
          <w:rFonts w:ascii="Garamond" w:hAnsi="Garamond"/>
        </w:rPr>
        <w:t xml:space="preserve"> before.  NZS is the best Tier 1 scheme in the world but it can undoubtedly be improved.  See section 6 for more.</w:t>
      </w:r>
    </w:p>
    <w:p w14:paraId="22DA894F" w14:textId="77777777" w:rsidR="00AA2B9E" w:rsidRPr="00381F61" w:rsidRDefault="00AA2B9E" w:rsidP="00E71CEB">
      <w:pPr>
        <w:jc w:val="both"/>
        <w:rPr>
          <w:rFonts w:ascii="Garamond" w:hAnsi="Garamond"/>
        </w:rPr>
      </w:pPr>
    </w:p>
    <w:p w14:paraId="08AC240B" w14:textId="33FCDCE1" w:rsidR="00AA2B9E" w:rsidRPr="00381F61" w:rsidRDefault="00AA2B9E" w:rsidP="00E71CEB">
      <w:pPr>
        <w:jc w:val="both"/>
        <w:rPr>
          <w:rFonts w:ascii="Garamond" w:hAnsi="Garamond"/>
        </w:rPr>
      </w:pPr>
      <w:r w:rsidRPr="00381F61">
        <w:rPr>
          <w:rFonts w:ascii="Garamond" w:hAnsi="Garamond"/>
          <w:b/>
        </w:rPr>
        <w:t>1.5</w:t>
      </w:r>
      <w:r w:rsidRPr="00381F61">
        <w:rPr>
          <w:rFonts w:ascii="Garamond" w:hAnsi="Garamond"/>
          <w:b/>
        </w:rPr>
        <w:tab/>
        <w:t>First principles review of KiwiSaver:</w:t>
      </w:r>
      <w:r w:rsidRPr="00381F61">
        <w:rPr>
          <w:rFonts w:ascii="Garamond" w:hAnsi="Garamond"/>
        </w:rPr>
        <w:t xml:space="preserve"> We </w:t>
      </w:r>
      <w:r w:rsidR="00F86C65" w:rsidRPr="00381F61">
        <w:rPr>
          <w:rFonts w:ascii="Garamond" w:hAnsi="Garamond"/>
        </w:rPr>
        <w:t>think</w:t>
      </w:r>
      <w:r w:rsidRPr="00381F61">
        <w:rPr>
          <w:rFonts w:ascii="Garamond" w:hAnsi="Garamond"/>
        </w:rPr>
        <w:t xml:space="preserve"> KiwiSaver was the ‘answer’ to a ‘problem’ that New Zealand probably didn’t have.  </w:t>
      </w:r>
      <w:r w:rsidR="00E56D97" w:rsidRPr="00381F61">
        <w:rPr>
          <w:rFonts w:ascii="Garamond" w:hAnsi="Garamond"/>
        </w:rPr>
        <w:t xml:space="preserve">New Zealand needs a research-led review of every aspect of KiwiSaver – what exactly are its policy objectives?  Does New Zealand need KiwiSaver </w:t>
      </w:r>
      <w:r w:rsidR="00561762" w:rsidRPr="00381F61">
        <w:rPr>
          <w:rFonts w:ascii="Garamond" w:hAnsi="Garamond"/>
        </w:rPr>
        <w:t xml:space="preserve">in its current form </w:t>
      </w:r>
      <w:r w:rsidR="00E56D97" w:rsidRPr="00381F61">
        <w:rPr>
          <w:rFonts w:ascii="Garamond" w:hAnsi="Garamond"/>
        </w:rPr>
        <w:t xml:space="preserve">and, if </w:t>
      </w:r>
      <w:r w:rsidR="00AF2038" w:rsidRPr="00381F61">
        <w:rPr>
          <w:rFonts w:ascii="Garamond" w:hAnsi="Garamond"/>
        </w:rPr>
        <w:t>New Zealand does</w:t>
      </w:r>
      <w:r w:rsidR="00E56D97" w:rsidRPr="00381F61">
        <w:rPr>
          <w:rFonts w:ascii="Garamond" w:hAnsi="Garamond"/>
        </w:rPr>
        <w:t xml:space="preserve">, how can </w:t>
      </w:r>
      <w:r w:rsidR="00AF2038" w:rsidRPr="00381F61">
        <w:rPr>
          <w:rFonts w:ascii="Garamond" w:hAnsi="Garamond"/>
        </w:rPr>
        <w:t>KiwiSaver</w:t>
      </w:r>
      <w:r w:rsidR="00E56D97" w:rsidRPr="00381F61">
        <w:rPr>
          <w:rFonts w:ascii="Garamond" w:hAnsi="Garamond"/>
        </w:rPr>
        <w:t xml:space="preserve"> be made better?  See section 14 for more.</w:t>
      </w:r>
    </w:p>
    <w:p w14:paraId="784EC019" w14:textId="77777777" w:rsidR="00E56D97" w:rsidRPr="00381F61" w:rsidRDefault="00E56D97" w:rsidP="00E71CEB">
      <w:pPr>
        <w:jc w:val="both"/>
        <w:rPr>
          <w:rFonts w:ascii="Garamond" w:hAnsi="Garamond"/>
        </w:rPr>
      </w:pPr>
    </w:p>
    <w:p w14:paraId="1ECADA7D" w14:textId="06B26E85" w:rsidR="00E56D97" w:rsidRPr="00381F61" w:rsidRDefault="001564C7" w:rsidP="00E71CEB">
      <w:pPr>
        <w:jc w:val="both"/>
        <w:rPr>
          <w:rFonts w:ascii="Garamond" w:hAnsi="Garamond"/>
        </w:rPr>
      </w:pPr>
      <w:r w:rsidRPr="00381F61">
        <w:rPr>
          <w:rFonts w:ascii="Garamond" w:hAnsi="Garamond"/>
          <w:b/>
        </w:rPr>
        <w:t>1.6</w:t>
      </w:r>
      <w:r w:rsidR="00E56D97" w:rsidRPr="00381F61">
        <w:rPr>
          <w:rFonts w:ascii="Garamond" w:hAnsi="Garamond"/>
          <w:b/>
        </w:rPr>
        <w:tab/>
        <w:t>First principles review of disclosure:</w:t>
      </w:r>
      <w:r w:rsidR="00E56D97" w:rsidRPr="00381F61">
        <w:rPr>
          <w:rFonts w:ascii="Garamond" w:hAnsi="Garamond"/>
        </w:rPr>
        <w:t xml:space="preserve"> </w:t>
      </w:r>
      <w:r w:rsidR="002D7082" w:rsidRPr="00381F61">
        <w:rPr>
          <w:rFonts w:ascii="Garamond" w:hAnsi="Garamond"/>
        </w:rPr>
        <w:t xml:space="preserve">Knowing what financial service providers are actually doing and how </w:t>
      </w:r>
      <w:r w:rsidR="00DB326A" w:rsidRPr="00381F61">
        <w:rPr>
          <w:rFonts w:ascii="Garamond" w:hAnsi="Garamond"/>
        </w:rPr>
        <w:t xml:space="preserve">financial </w:t>
      </w:r>
      <w:r w:rsidR="002D7082" w:rsidRPr="00381F61">
        <w:rPr>
          <w:rFonts w:ascii="Garamond" w:hAnsi="Garamond"/>
        </w:rPr>
        <w:t>products might suit consumers should be at the heart of regulatory supervision.  New Zealand has tried to fix this</w:t>
      </w:r>
      <w:r w:rsidR="00561762" w:rsidRPr="00381F61">
        <w:rPr>
          <w:rFonts w:ascii="Garamond" w:hAnsi="Garamond"/>
        </w:rPr>
        <w:t>,</w:t>
      </w:r>
      <w:r w:rsidR="002D7082" w:rsidRPr="00381F61">
        <w:rPr>
          <w:rFonts w:ascii="Garamond" w:hAnsi="Garamond"/>
        </w:rPr>
        <w:t xml:space="preserve"> but we need to return to the beginning.  See section 18 for more.</w:t>
      </w:r>
    </w:p>
    <w:p w14:paraId="62C357F8" w14:textId="77777777" w:rsidR="002D7082" w:rsidRPr="00381F61" w:rsidRDefault="002D7082" w:rsidP="00E71CEB">
      <w:pPr>
        <w:jc w:val="both"/>
        <w:rPr>
          <w:rFonts w:ascii="Garamond" w:hAnsi="Garamond"/>
        </w:rPr>
      </w:pPr>
    </w:p>
    <w:p w14:paraId="196A36DC" w14:textId="6FD07363" w:rsidR="002D7082" w:rsidRPr="00381F61" w:rsidRDefault="001564C7" w:rsidP="00E71CEB">
      <w:pPr>
        <w:jc w:val="both"/>
        <w:rPr>
          <w:rFonts w:ascii="Garamond" w:hAnsi="Garamond"/>
        </w:rPr>
      </w:pPr>
      <w:r w:rsidRPr="00381F61">
        <w:rPr>
          <w:rFonts w:ascii="Garamond" w:hAnsi="Garamond"/>
          <w:b/>
        </w:rPr>
        <w:t>1.7</w:t>
      </w:r>
      <w:r w:rsidR="002D7082" w:rsidRPr="00381F61">
        <w:rPr>
          <w:rFonts w:ascii="Garamond" w:hAnsi="Garamond"/>
          <w:b/>
        </w:rPr>
        <w:tab/>
        <w:t xml:space="preserve">Uniform income tax system: </w:t>
      </w:r>
      <w:r w:rsidR="006A7752" w:rsidRPr="00381F61">
        <w:rPr>
          <w:rFonts w:ascii="Garamond" w:hAnsi="Garamond"/>
        </w:rPr>
        <w:t xml:space="preserve">All ‘income’ should be aggregated and taxed at the saver’s appropriate marginal rate.  </w:t>
      </w:r>
      <w:r w:rsidR="00F2146A" w:rsidRPr="00381F61">
        <w:rPr>
          <w:rFonts w:ascii="Garamond" w:hAnsi="Garamond"/>
        </w:rPr>
        <w:t xml:space="preserve">All ‘income’ should be used for income-tested welfare benefits.  </w:t>
      </w:r>
      <w:r w:rsidR="006A7752" w:rsidRPr="00381F61">
        <w:rPr>
          <w:rFonts w:ascii="Garamond" w:hAnsi="Garamond"/>
        </w:rPr>
        <w:t>What happens now doesn’t come close to th</w:t>
      </w:r>
      <w:r w:rsidR="00F2146A" w:rsidRPr="00381F61">
        <w:rPr>
          <w:rFonts w:ascii="Garamond" w:hAnsi="Garamond"/>
        </w:rPr>
        <w:t>ose</w:t>
      </w:r>
      <w:r w:rsidR="006A7752" w:rsidRPr="00381F61">
        <w:rPr>
          <w:rFonts w:ascii="Garamond" w:hAnsi="Garamond"/>
        </w:rPr>
        <w:t xml:space="preserve"> objective</w:t>
      </w:r>
      <w:r w:rsidR="00F2146A" w:rsidRPr="00381F61">
        <w:rPr>
          <w:rFonts w:ascii="Garamond" w:hAnsi="Garamond"/>
        </w:rPr>
        <w:t>s</w:t>
      </w:r>
      <w:r w:rsidR="006A7752" w:rsidRPr="00381F61">
        <w:rPr>
          <w:rFonts w:ascii="Garamond" w:hAnsi="Garamond"/>
        </w:rPr>
        <w:t xml:space="preserve"> and must change if tax treatment is to be removed as an influence on saving decisions.  The present system is illogical, inconsistent, complex and unfair.  See section 17 for more.</w:t>
      </w:r>
    </w:p>
    <w:p w14:paraId="6C59B3E0" w14:textId="77777777" w:rsidR="006A7752" w:rsidRPr="00381F61" w:rsidRDefault="006A7752" w:rsidP="00E71CEB">
      <w:pPr>
        <w:jc w:val="both"/>
        <w:rPr>
          <w:rFonts w:ascii="Garamond" w:hAnsi="Garamond"/>
        </w:rPr>
      </w:pPr>
    </w:p>
    <w:p w14:paraId="349B0F74" w14:textId="137F430A" w:rsidR="006A7752" w:rsidRPr="00381F61" w:rsidRDefault="001564C7" w:rsidP="00E71CEB">
      <w:pPr>
        <w:jc w:val="both"/>
        <w:rPr>
          <w:rFonts w:ascii="Garamond" w:hAnsi="Garamond"/>
        </w:rPr>
      </w:pPr>
      <w:r w:rsidRPr="00381F61">
        <w:rPr>
          <w:rFonts w:ascii="Garamond" w:hAnsi="Garamond"/>
          <w:b/>
        </w:rPr>
        <w:t>1.8</w:t>
      </w:r>
      <w:r w:rsidR="006A7752" w:rsidRPr="00381F61">
        <w:rPr>
          <w:rFonts w:ascii="Garamond" w:hAnsi="Garamond"/>
          <w:b/>
        </w:rPr>
        <w:tab/>
        <w:t xml:space="preserve">Mathematical competence: </w:t>
      </w:r>
      <w:bookmarkStart w:id="2" w:name="OLE_LINK2"/>
      <w:r w:rsidR="009676B1" w:rsidRPr="00381F61">
        <w:rPr>
          <w:rFonts w:ascii="Garamond" w:hAnsi="Garamond"/>
        </w:rPr>
        <w:t xml:space="preserve">We think that governments </w:t>
      </w:r>
      <w:r w:rsidR="00D57E8A" w:rsidRPr="00381F61">
        <w:rPr>
          <w:rFonts w:ascii="Garamond" w:hAnsi="Garamond"/>
        </w:rPr>
        <w:t xml:space="preserve">probably </w:t>
      </w:r>
      <w:r w:rsidR="009676B1" w:rsidRPr="00381F61">
        <w:rPr>
          <w:rFonts w:ascii="Garamond" w:hAnsi="Garamond"/>
        </w:rPr>
        <w:t>cannot improve citizens’ ‘financial capability’ but we strongly believe that encouraging mathematical competence should be at the heart of every aspect of school curriculums</w:t>
      </w:r>
      <w:r w:rsidR="004661CF" w:rsidRPr="00381F61">
        <w:rPr>
          <w:rFonts w:ascii="Garamond" w:hAnsi="Garamond"/>
        </w:rPr>
        <w:t>, not just mathematics</w:t>
      </w:r>
      <w:r w:rsidR="009676B1" w:rsidRPr="00381F61">
        <w:rPr>
          <w:rFonts w:ascii="Garamond" w:hAnsi="Garamond"/>
        </w:rPr>
        <w:t>.  Mathematical competence</w:t>
      </w:r>
      <w:r w:rsidR="00D57E8A" w:rsidRPr="00381F61">
        <w:rPr>
          <w:rFonts w:ascii="Garamond" w:hAnsi="Garamond"/>
        </w:rPr>
        <w:t xml:space="preserve"> is central to</w:t>
      </w:r>
      <w:r w:rsidR="009676B1" w:rsidRPr="00381F61">
        <w:rPr>
          <w:rFonts w:ascii="Garamond" w:hAnsi="Garamond"/>
        </w:rPr>
        <w:t xml:space="preserve"> making </w:t>
      </w:r>
      <w:r w:rsidR="0071212D" w:rsidRPr="00381F61">
        <w:rPr>
          <w:rFonts w:ascii="Garamond" w:hAnsi="Garamond"/>
        </w:rPr>
        <w:t xml:space="preserve">personal </w:t>
      </w:r>
      <w:r w:rsidR="009676B1" w:rsidRPr="00381F61">
        <w:rPr>
          <w:rFonts w:ascii="Garamond" w:hAnsi="Garamond"/>
        </w:rPr>
        <w:t>financial decisions about retirement and</w:t>
      </w:r>
      <w:r w:rsidR="00D57E8A" w:rsidRPr="00381F61">
        <w:rPr>
          <w:rFonts w:ascii="Garamond" w:hAnsi="Garamond"/>
        </w:rPr>
        <w:t xml:space="preserve"> </w:t>
      </w:r>
      <w:r w:rsidR="009676B1" w:rsidRPr="00381F61">
        <w:rPr>
          <w:rFonts w:ascii="Garamond" w:hAnsi="Garamond"/>
        </w:rPr>
        <w:t xml:space="preserve">also to nearly every other part of our lives.  </w:t>
      </w:r>
      <w:bookmarkEnd w:id="2"/>
      <w:r w:rsidR="009676B1" w:rsidRPr="00381F61">
        <w:rPr>
          <w:rFonts w:ascii="Garamond" w:hAnsi="Garamond"/>
        </w:rPr>
        <w:t>See section 20 for more.</w:t>
      </w:r>
    </w:p>
    <w:p w14:paraId="53D2AA9D" w14:textId="77777777" w:rsidR="009676B1" w:rsidRPr="00381F61" w:rsidRDefault="009676B1" w:rsidP="00E71CEB">
      <w:pPr>
        <w:jc w:val="both"/>
        <w:rPr>
          <w:rFonts w:ascii="Garamond" w:hAnsi="Garamond"/>
        </w:rPr>
      </w:pPr>
    </w:p>
    <w:p w14:paraId="0E9F79BF" w14:textId="1BA568C3" w:rsidR="009676B1" w:rsidRPr="00381F61" w:rsidRDefault="001564C7" w:rsidP="00E71CEB">
      <w:pPr>
        <w:jc w:val="both"/>
        <w:rPr>
          <w:rFonts w:ascii="Garamond" w:hAnsi="Garamond"/>
        </w:rPr>
      </w:pPr>
      <w:r w:rsidRPr="00381F61">
        <w:rPr>
          <w:rFonts w:ascii="Garamond" w:hAnsi="Garamond"/>
          <w:b/>
        </w:rPr>
        <w:t>1.9</w:t>
      </w:r>
      <w:r w:rsidR="00DB326A" w:rsidRPr="00381F61">
        <w:rPr>
          <w:rFonts w:ascii="Garamond" w:hAnsi="Garamond"/>
          <w:b/>
        </w:rPr>
        <w:tab/>
        <w:t xml:space="preserve">Retirement incomes ‘accord’: </w:t>
      </w:r>
      <w:r w:rsidR="00D57E8A" w:rsidRPr="00381F61">
        <w:rPr>
          <w:rFonts w:ascii="Garamond" w:hAnsi="Garamond"/>
        </w:rPr>
        <w:t xml:space="preserve"> Retirement income policies are particularly unsuited to political contests.  The </w:t>
      </w:r>
      <w:r w:rsidR="00AF2038" w:rsidRPr="00381F61">
        <w:rPr>
          <w:rFonts w:ascii="Garamond" w:hAnsi="Garamond"/>
        </w:rPr>
        <w:t xml:space="preserve">eventual objective </w:t>
      </w:r>
      <w:r w:rsidR="00D57E8A" w:rsidRPr="00381F61">
        <w:rPr>
          <w:rFonts w:ascii="Garamond" w:hAnsi="Garamond"/>
        </w:rPr>
        <w:t xml:space="preserve">of </w:t>
      </w:r>
      <w:r w:rsidR="00F86C65" w:rsidRPr="00381F61">
        <w:rPr>
          <w:rFonts w:ascii="Garamond" w:hAnsi="Garamond"/>
        </w:rPr>
        <w:t>the</w:t>
      </w:r>
      <w:r w:rsidR="00D57E8A" w:rsidRPr="00381F61">
        <w:rPr>
          <w:rFonts w:ascii="Garamond" w:hAnsi="Garamond"/>
        </w:rPr>
        <w:t xml:space="preserve"> </w:t>
      </w:r>
      <w:r w:rsidR="00F306B8" w:rsidRPr="00381F61">
        <w:rPr>
          <w:rFonts w:ascii="Garamond" w:hAnsi="Garamond"/>
        </w:rPr>
        <w:t xml:space="preserve">first-principles </w:t>
      </w:r>
      <w:r w:rsidR="00D57E8A" w:rsidRPr="00381F61">
        <w:rPr>
          <w:rFonts w:ascii="Garamond" w:hAnsi="Garamond"/>
        </w:rPr>
        <w:t xml:space="preserve">review </w:t>
      </w:r>
      <w:r w:rsidR="00F86C65" w:rsidRPr="00381F61">
        <w:rPr>
          <w:rFonts w:ascii="Garamond" w:hAnsi="Garamond"/>
        </w:rPr>
        <w:t xml:space="preserve">we propose </w:t>
      </w:r>
      <w:r w:rsidR="00D57E8A" w:rsidRPr="00381F61">
        <w:rPr>
          <w:rFonts w:ascii="Garamond" w:hAnsi="Garamond"/>
        </w:rPr>
        <w:t>should be a 202</w:t>
      </w:r>
      <w:r w:rsidR="00780651" w:rsidRPr="00381F61">
        <w:rPr>
          <w:rFonts w:ascii="Garamond" w:hAnsi="Garamond"/>
        </w:rPr>
        <w:t>3</w:t>
      </w:r>
      <w:r w:rsidR="00D57E8A" w:rsidRPr="00381F61">
        <w:rPr>
          <w:rFonts w:ascii="Garamond" w:hAnsi="Garamond"/>
        </w:rPr>
        <w:t xml:space="preserve"> version of the 1993 </w:t>
      </w:r>
      <w:r w:rsidR="00D57E8A" w:rsidRPr="00381F61">
        <w:rPr>
          <w:rFonts w:ascii="Garamond" w:hAnsi="Garamond"/>
          <w:i/>
        </w:rPr>
        <w:t>Superannuation Accord</w:t>
      </w:r>
      <w:r w:rsidR="00D57E8A" w:rsidRPr="00381F61">
        <w:rPr>
          <w:rFonts w:ascii="Garamond" w:hAnsi="Garamond"/>
        </w:rPr>
        <w:t xml:space="preserve">.  However, this is not just a matter for politicians.  The </w:t>
      </w:r>
      <w:r w:rsidR="00D57E8A" w:rsidRPr="00381F61">
        <w:rPr>
          <w:rFonts w:ascii="Garamond" w:hAnsi="Garamond"/>
          <w:i/>
        </w:rPr>
        <w:t>Accord</w:t>
      </w:r>
      <w:r w:rsidR="00D57E8A" w:rsidRPr="00381F61">
        <w:rPr>
          <w:rFonts w:ascii="Garamond" w:hAnsi="Garamond"/>
        </w:rPr>
        <w:t xml:space="preserve"> should be supported by an inclusive review framework with impeccable, deep data</w:t>
      </w:r>
      <w:r w:rsidR="00FA531F" w:rsidRPr="00381F61">
        <w:rPr>
          <w:rFonts w:ascii="Garamond" w:hAnsi="Garamond"/>
        </w:rPr>
        <w:t xml:space="preserve"> at its heart</w:t>
      </w:r>
      <w:r w:rsidR="00D57E8A" w:rsidRPr="00381F61">
        <w:rPr>
          <w:rFonts w:ascii="Garamond" w:hAnsi="Garamond"/>
        </w:rPr>
        <w:t xml:space="preserve">.  The more we know about what citizens do and what help </w:t>
      </w:r>
      <w:r w:rsidR="00561762" w:rsidRPr="00381F61">
        <w:rPr>
          <w:rFonts w:ascii="Garamond" w:hAnsi="Garamond"/>
        </w:rPr>
        <w:t xml:space="preserve">some groups </w:t>
      </w:r>
      <w:r w:rsidR="00D57E8A" w:rsidRPr="00381F61">
        <w:rPr>
          <w:rFonts w:ascii="Garamond" w:hAnsi="Garamond"/>
        </w:rPr>
        <w:t>actually need, the more confident we can be about the framework’s long-term sustainability.</w:t>
      </w:r>
      <w:r w:rsidR="00AF2038" w:rsidRPr="00381F61">
        <w:rPr>
          <w:rFonts w:ascii="Garamond" w:hAnsi="Garamond"/>
        </w:rPr>
        <w:t xml:space="preserve">  See section 22 for more on this.</w:t>
      </w:r>
    </w:p>
    <w:p w14:paraId="757320B8" w14:textId="77777777" w:rsidR="00D65650" w:rsidRPr="00381F61" w:rsidRDefault="00D65650" w:rsidP="00E71CEB">
      <w:pPr>
        <w:jc w:val="both"/>
        <w:rPr>
          <w:rFonts w:ascii="Garamond" w:hAnsi="Garamond"/>
        </w:rPr>
      </w:pPr>
    </w:p>
    <w:p w14:paraId="22BCECAF" w14:textId="77777777" w:rsidR="00FA531F" w:rsidRPr="00381F61" w:rsidRDefault="00FA531F" w:rsidP="00E71CEB">
      <w:pPr>
        <w:jc w:val="both"/>
        <w:rPr>
          <w:rFonts w:ascii="Garamond" w:hAnsi="Garamond"/>
        </w:rPr>
      </w:pPr>
    </w:p>
    <w:p w14:paraId="5CBB3538" w14:textId="1C1B20AC" w:rsidR="00D65650" w:rsidRPr="00381F61" w:rsidRDefault="00D65650" w:rsidP="00E71CEB">
      <w:pPr>
        <w:jc w:val="both"/>
        <w:rPr>
          <w:rFonts w:ascii="Garamond" w:hAnsi="Garamond"/>
        </w:rPr>
      </w:pPr>
      <w:r w:rsidRPr="00381F61">
        <w:rPr>
          <w:rFonts w:ascii="Garamond" w:hAnsi="Garamond"/>
        </w:rPr>
        <w:t>None of the</w:t>
      </w:r>
      <w:r w:rsidR="00FA531F" w:rsidRPr="00381F61">
        <w:rPr>
          <w:rFonts w:ascii="Garamond" w:hAnsi="Garamond"/>
        </w:rPr>
        <w:t>se</w:t>
      </w:r>
      <w:r w:rsidRPr="00381F61">
        <w:rPr>
          <w:rFonts w:ascii="Garamond" w:hAnsi="Garamond"/>
        </w:rPr>
        <w:t xml:space="preserve"> nine listed </w:t>
      </w:r>
      <w:r w:rsidR="008B3F7E" w:rsidRPr="00381F61">
        <w:rPr>
          <w:rFonts w:ascii="Garamond" w:hAnsi="Garamond"/>
        </w:rPr>
        <w:t>key elements, that we think should form the framework of a sustainable, flexible, inclusive, successful retirement income framework,</w:t>
      </w:r>
      <w:r w:rsidRPr="00381F61">
        <w:rPr>
          <w:rFonts w:ascii="Garamond" w:hAnsi="Garamond"/>
        </w:rPr>
        <w:t xml:space="preserve"> rated a mention </w:t>
      </w:r>
      <w:r w:rsidR="008B3F7E" w:rsidRPr="00381F61">
        <w:rPr>
          <w:rFonts w:ascii="Garamond" w:hAnsi="Garamond"/>
        </w:rPr>
        <w:t xml:space="preserve">in the Retirement Commissioner’s </w:t>
      </w:r>
      <w:r w:rsidR="008B3F7E" w:rsidRPr="00381F61">
        <w:rPr>
          <w:rFonts w:ascii="Garamond" w:hAnsi="Garamond"/>
          <w:i/>
        </w:rPr>
        <w:t>2016 Review of Retirement Income Policies</w:t>
      </w:r>
      <w:r w:rsidR="008B3F7E" w:rsidRPr="00381F61">
        <w:rPr>
          <w:rFonts w:ascii="Garamond" w:hAnsi="Garamond"/>
        </w:rPr>
        <w:t>.</w:t>
      </w:r>
      <w:r w:rsidR="00C337F6" w:rsidRPr="00381F61">
        <w:rPr>
          <w:rFonts w:ascii="Garamond" w:hAnsi="Garamond"/>
        </w:rPr>
        <w:t xml:space="preserve">  They were missing in action.</w:t>
      </w:r>
      <w:r w:rsidR="00561762" w:rsidRPr="00381F61">
        <w:rPr>
          <w:rFonts w:ascii="Garamond" w:hAnsi="Garamond"/>
        </w:rPr>
        <w:t xml:space="preserve">  The substance of them is also missing from the 2019 terms of reference.</w:t>
      </w:r>
    </w:p>
    <w:p w14:paraId="687FF37B" w14:textId="0FACAB79" w:rsidR="00FC0BAC" w:rsidRPr="00381F61" w:rsidRDefault="00FC0BAC" w:rsidP="00E71CEB">
      <w:pPr>
        <w:jc w:val="both"/>
        <w:rPr>
          <w:rFonts w:ascii="Garamond" w:hAnsi="Garamond"/>
        </w:rPr>
      </w:pPr>
    </w:p>
    <w:p w14:paraId="2283E2BC" w14:textId="77777777" w:rsidR="000372D0" w:rsidRPr="00381F61" w:rsidRDefault="00FC0BAC" w:rsidP="00E71CEB">
      <w:pPr>
        <w:jc w:val="both"/>
        <w:rPr>
          <w:rFonts w:ascii="Garamond" w:hAnsi="Garamond"/>
        </w:rPr>
      </w:pPr>
      <w:r w:rsidRPr="00381F61">
        <w:rPr>
          <w:rFonts w:ascii="Garamond" w:hAnsi="Garamond"/>
        </w:rPr>
        <w:t xml:space="preserve">If the 2019 Review produces a report that responds to each of </w:t>
      </w:r>
      <w:r w:rsidR="00780651" w:rsidRPr="00381F61">
        <w:rPr>
          <w:rFonts w:ascii="Garamond" w:hAnsi="Garamond"/>
        </w:rPr>
        <w:t>its</w:t>
      </w:r>
      <w:r w:rsidRPr="00381F61">
        <w:rPr>
          <w:rFonts w:ascii="Garamond" w:hAnsi="Garamond"/>
        </w:rPr>
        <w:t xml:space="preserve"> eight Terms of Refence, it will not come close to the first</w:t>
      </w:r>
      <w:r w:rsidR="00980927" w:rsidRPr="00381F61">
        <w:rPr>
          <w:rFonts w:ascii="Garamond" w:hAnsi="Garamond"/>
        </w:rPr>
        <w:t>-</w:t>
      </w:r>
      <w:r w:rsidRPr="00381F61">
        <w:rPr>
          <w:rFonts w:ascii="Garamond" w:hAnsi="Garamond"/>
        </w:rPr>
        <w:t>principles review that we recommend.  For example, paragraph 3 b. asks about the impact that “Declining rates of home ownership” might have on “government retirement income policies”.  But, as we explain in section 12 below, we have no idea whether home ownership rates are falling.  There is no reliable evidence that is happening.</w:t>
      </w:r>
    </w:p>
    <w:p w14:paraId="2121DFFB" w14:textId="77777777" w:rsidR="000372D0" w:rsidRPr="00381F61" w:rsidRDefault="000372D0" w:rsidP="00E71CEB">
      <w:pPr>
        <w:jc w:val="both"/>
        <w:rPr>
          <w:rFonts w:ascii="Garamond" w:hAnsi="Garamond"/>
        </w:rPr>
      </w:pPr>
    </w:p>
    <w:p w14:paraId="6E3B091C" w14:textId="165E1361" w:rsidR="00FC0BAC" w:rsidRPr="00381F61" w:rsidRDefault="00780651" w:rsidP="00E71CEB">
      <w:pPr>
        <w:jc w:val="both"/>
        <w:rPr>
          <w:rFonts w:ascii="Garamond" w:hAnsi="Garamond"/>
        </w:rPr>
      </w:pPr>
      <w:r w:rsidRPr="00381F61">
        <w:rPr>
          <w:rFonts w:ascii="Garamond" w:hAnsi="Garamond"/>
        </w:rPr>
        <w:t>We have more to say on each of the Terms of Reference at the appropriate place in this report.</w:t>
      </w:r>
    </w:p>
    <w:p w14:paraId="0FFC3107" w14:textId="77777777" w:rsidR="00F519BC" w:rsidRPr="00381F61" w:rsidRDefault="00F519BC">
      <w:pPr>
        <w:rPr>
          <w:rFonts w:ascii="Garamond" w:hAnsi="Garamond"/>
          <w:b/>
        </w:rPr>
      </w:pPr>
      <w:r w:rsidRPr="00381F61">
        <w:rPr>
          <w:rFonts w:ascii="Garamond" w:hAnsi="Garamond"/>
          <w:b/>
        </w:rPr>
        <w:br w:type="page"/>
      </w:r>
    </w:p>
    <w:p w14:paraId="26872AF0" w14:textId="44D435DF" w:rsidR="00A97583" w:rsidRPr="00381F61" w:rsidRDefault="00F519BC" w:rsidP="00E71CEB">
      <w:pPr>
        <w:jc w:val="both"/>
        <w:rPr>
          <w:rFonts w:ascii="Garamond" w:hAnsi="Garamond"/>
          <w:b/>
        </w:rPr>
      </w:pPr>
      <w:r w:rsidRPr="00381F61">
        <w:rPr>
          <w:rFonts w:ascii="Garamond" w:hAnsi="Garamond"/>
          <w:b/>
        </w:rPr>
        <w:lastRenderedPageBreak/>
        <w:t>2</w:t>
      </w:r>
      <w:r w:rsidR="00EA11A3" w:rsidRPr="00381F61">
        <w:rPr>
          <w:rFonts w:ascii="Garamond" w:hAnsi="Garamond"/>
          <w:b/>
        </w:rPr>
        <w:t>.</w:t>
      </w:r>
      <w:r w:rsidR="00EA11A3" w:rsidRPr="00381F61">
        <w:rPr>
          <w:rFonts w:ascii="Garamond" w:hAnsi="Garamond"/>
          <w:b/>
        </w:rPr>
        <w:tab/>
      </w:r>
      <w:r w:rsidR="00040837" w:rsidRPr="00381F61">
        <w:rPr>
          <w:rFonts w:ascii="Garamond" w:hAnsi="Garamond"/>
          <w:b/>
        </w:rPr>
        <w:t>The economy</w:t>
      </w:r>
      <w:r w:rsidR="009059E7" w:rsidRPr="00381F61">
        <w:rPr>
          <w:rFonts w:ascii="Garamond" w:hAnsi="Garamond"/>
          <w:b/>
        </w:rPr>
        <w:t xml:space="preserve"> matters</w:t>
      </w:r>
      <w:r w:rsidR="00821399" w:rsidRPr="00381F61">
        <w:rPr>
          <w:rFonts w:ascii="Garamond" w:hAnsi="Garamond"/>
          <w:b/>
        </w:rPr>
        <w:t>;</w:t>
      </w:r>
      <w:r w:rsidR="009059E7" w:rsidRPr="00381F61">
        <w:rPr>
          <w:rFonts w:ascii="Garamond" w:hAnsi="Garamond"/>
          <w:b/>
        </w:rPr>
        <w:t xml:space="preserve"> productivity matters</w:t>
      </w:r>
      <w:r w:rsidR="00421A7C" w:rsidRPr="00381F61">
        <w:rPr>
          <w:rStyle w:val="FootnoteReference"/>
          <w:rFonts w:ascii="Garamond" w:hAnsi="Garamond"/>
          <w:b/>
        </w:rPr>
        <w:footnoteReference w:id="7"/>
      </w:r>
    </w:p>
    <w:p w14:paraId="750F8642" w14:textId="77777777" w:rsidR="005C769E" w:rsidRPr="00381F61" w:rsidRDefault="005C769E" w:rsidP="00E71CEB">
      <w:pPr>
        <w:jc w:val="both"/>
        <w:rPr>
          <w:rFonts w:ascii="Garamond" w:hAnsi="Garamond"/>
          <w:b/>
        </w:rPr>
      </w:pPr>
    </w:p>
    <w:p w14:paraId="123E8893" w14:textId="21A2A3D1" w:rsidR="003023FE" w:rsidRPr="00381F61" w:rsidRDefault="003023FE" w:rsidP="00E71CEB">
      <w:pPr>
        <w:jc w:val="both"/>
        <w:rPr>
          <w:rFonts w:ascii="Garamond" w:hAnsi="Garamond"/>
        </w:rPr>
      </w:pPr>
      <w:r w:rsidRPr="00381F61">
        <w:rPr>
          <w:rFonts w:ascii="Garamond" w:hAnsi="Garamond"/>
        </w:rPr>
        <w:t>The issues are familiar; so familiar that they scarcely need repeating.  New Zealand’s population is ageing.</w:t>
      </w:r>
      <w:r w:rsidR="00644503" w:rsidRPr="00381F61">
        <w:rPr>
          <w:rFonts w:ascii="Garamond" w:hAnsi="Garamond"/>
        </w:rPr>
        <w:t xml:space="preserve">  </w:t>
      </w:r>
      <w:r w:rsidR="00F66CFF" w:rsidRPr="00381F61">
        <w:rPr>
          <w:rFonts w:ascii="Garamond" w:hAnsi="Garamond"/>
        </w:rPr>
        <w:t xml:space="preserve">This is not a bad or a good thing – it is something that will influence the way the economy develops.  </w:t>
      </w:r>
      <w:r w:rsidRPr="00381F61">
        <w:rPr>
          <w:rFonts w:ascii="Garamond" w:hAnsi="Garamond"/>
        </w:rPr>
        <w:t xml:space="preserve">Those above the state pension age will about double in number, as will the annual cost of the pensions they expect to receive, if current settings persist.  Those under </w:t>
      </w:r>
      <w:r w:rsidR="00F66312" w:rsidRPr="00381F61">
        <w:rPr>
          <w:rFonts w:ascii="Garamond" w:hAnsi="Garamond"/>
        </w:rPr>
        <w:t xml:space="preserve">the </w:t>
      </w:r>
      <w:r w:rsidR="00780651" w:rsidRPr="00381F61">
        <w:rPr>
          <w:rFonts w:ascii="Garamond" w:hAnsi="Garamond"/>
        </w:rPr>
        <w:t xml:space="preserve">state </w:t>
      </w:r>
      <w:r w:rsidRPr="00381F61">
        <w:rPr>
          <w:rFonts w:ascii="Garamond" w:hAnsi="Garamond"/>
        </w:rPr>
        <w:t>pension age may</w:t>
      </w:r>
      <w:r w:rsidR="00780651" w:rsidRPr="00381F61">
        <w:rPr>
          <w:rFonts w:ascii="Garamond" w:hAnsi="Garamond"/>
        </w:rPr>
        <w:t xml:space="preserve"> also</w:t>
      </w:r>
      <w:r w:rsidRPr="00381F61">
        <w:rPr>
          <w:rFonts w:ascii="Garamond" w:hAnsi="Garamond"/>
        </w:rPr>
        <w:t xml:space="preserve"> increase in number but will reduce as a proportion of the population.  That demographic shift </w:t>
      </w:r>
      <w:r w:rsidR="000372D0" w:rsidRPr="00381F61">
        <w:rPr>
          <w:rFonts w:ascii="Garamond" w:hAnsi="Garamond"/>
        </w:rPr>
        <w:t xml:space="preserve">might </w:t>
      </w:r>
      <w:r w:rsidRPr="00381F61">
        <w:rPr>
          <w:rFonts w:ascii="Garamond" w:hAnsi="Garamond"/>
        </w:rPr>
        <w:t>see relative falls in real economic output, tax collections and growth prospects</w:t>
      </w:r>
      <w:r w:rsidR="00F66CFF" w:rsidRPr="00381F61">
        <w:rPr>
          <w:rFonts w:ascii="Garamond" w:hAnsi="Garamond"/>
        </w:rPr>
        <w:t>, all else being equal</w:t>
      </w:r>
      <w:r w:rsidRPr="00381F61">
        <w:rPr>
          <w:rFonts w:ascii="Garamond" w:hAnsi="Garamond"/>
        </w:rPr>
        <w:t>.</w:t>
      </w:r>
      <w:r w:rsidR="000525A2" w:rsidRPr="00381F61">
        <w:rPr>
          <w:rFonts w:ascii="Garamond" w:hAnsi="Garamond"/>
        </w:rPr>
        <w:t xml:space="preserve">  Of course, all else will not be equal as that is not how </w:t>
      </w:r>
      <w:r w:rsidR="00CF7749" w:rsidRPr="00381F61">
        <w:rPr>
          <w:rFonts w:ascii="Garamond" w:hAnsi="Garamond"/>
        </w:rPr>
        <w:t xml:space="preserve">we expect </w:t>
      </w:r>
      <w:r w:rsidR="000525A2" w:rsidRPr="00381F61">
        <w:rPr>
          <w:rFonts w:ascii="Garamond" w:hAnsi="Garamond"/>
        </w:rPr>
        <w:t xml:space="preserve">the economy </w:t>
      </w:r>
      <w:r w:rsidR="00CF7749" w:rsidRPr="00381F61">
        <w:rPr>
          <w:rFonts w:ascii="Garamond" w:hAnsi="Garamond"/>
        </w:rPr>
        <w:t xml:space="preserve">to </w:t>
      </w:r>
      <w:r w:rsidR="000525A2" w:rsidRPr="00381F61">
        <w:rPr>
          <w:rFonts w:ascii="Garamond" w:hAnsi="Garamond"/>
        </w:rPr>
        <w:t>develop.</w:t>
      </w:r>
    </w:p>
    <w:p w14:paraId="040A2EDF" w14:textId="77777777" w:rsidR="003023FE" w:rsidRPr="00381F61" w:rsidRDefault="003023FE" w:rsidP="00E71CEB">
      <w:pPr>
        <w:jc w:val="both"/>
        <w:rPr>
          <w:rFonts w:ascii="Garamond" w:hAnsi="Garamond"/>
        </w:rPr>
      </w:pPr>
    </w:p>
    <w:p w14:paraId="40ED121C" w14:textId="7773586C" w:rsidR="00FA531F" w:rsidRPr="00381F61" w:rsidRDefault="003023FE" w:rsidP="00E71CEB">
      <w:pPr>
        <w:jc w:val="both"/>
        <w:rPr>
          <w:rFonts w:ascii="Garamond" w:hAnsi="Garamond"/>
        </w:rPr>
      </w:pPr>
      <w:r w:rsidRPr="00381F61">
        <w:rPr>
          <w:rFonts w:ascii="Garamond" w:hAnsi="Garamond"/>
        </w:rPr>
        <w:t xml:space="preserve">Healthcare costs are expected to follow </w:t>
      </w:r>
      <w:r w:rsidR="00F66312" w:rsidRPr="00381F61">
        <w:rPr>
          <w:rFonts w:ascii="Garamond" w:hAnsi="Garamond"/>
        </w:rPr>
        <w:t>a similar</w:t>
      </w:r>
      <w:r w:rsidRPr="00381F61">
        <w:rPr>
          <w:rFonts w:ascii="Garamond" w:hAnsi="Garamond"/>
        </w:rPr>
        <w:t xml:space="preserve"> trajectory </w:t>
      </w:r>
      <w:r w:rsidR="00F66312" w:rsidRPr="00381F61">
        <w:rPr>
          <w:rFonts w:ascii="Garamond" w:hAnsi="Garamond"/>
        </w:rPr>
        <w:t>to</w:t>
      </w:r>
      <w:r w:rsidRPr="00381F61">
        <w:rPr>
          <w:rFonts w:ascii="Garamond" w:hAnsi="Garamond"/>
        </w:rPr>
        <w:t xml:space="preserve"> pension costs</w:t>
      </w:r>
      <w:r w:rsidR="000525A2" w:rsidRPr="00381F61">
        <w:rPr>
          <w:rFonts w:ascii="Garamond" w:hAnsi="Garamond"/>
        </w:rPr>
        <w:t xml:space="preserve"> and historically have been greater than pension costs</w:t>
      </w:r>
      <w:r w:rsidRPr="00381F61">
        <w:rPr>
          <w:rFonts w:ascii="Garamond" w:hAnsi="Garamond"/>
        </w:rPr>
        <w:t>.</w:t>
      </w:r>
    </w:p>
    <w:p w14:paraId="6406DEB2" w14:textId="77777777" w:rsidR="00FA531F" w:rsidRPr="00381F61" w:rsidRDefault="00FA531F" w:rsidP="00E71CEB">
      <w:pPr>
        <w:jc w:val="both"/>
        <w:rPr>
          <w:rFonts w:ascii="Garamond" w:hAnsi="Garamond"/>
        </w:rPr>
      </w:pPr>
    </w:p>
    <w:p w14:paraId="15B4CEB9" w14:textId="5FA636C8" w:rsidR="003023FE" w:rsidRPr="00381F61" w:rsidRDefault="003023FE" w:rsidP="00E71CEB">
      <w:pPr>
        <w:jc w:val="both"/>
        <w:rPr>
          <w:rFonts w:ascii="Garamond" w:hAnsi="Garamond"/>
        </w:rPr>
      </w:pPr>
      <w:r w:rsidRPr="00381F61">
        <w:rPr>
          <w:rFonts w:ascii="Garamond" w:hAnsi="Garamond"/>
        </w:rPr>
        <w:t xml:space="preserve">It seems that a perfect financial </w:t>
      </w:r>
      <w:r w:rsidR="00382913" w:rsidRPr="00381F61">
        <w:rPr>
          <w:rFonts w:ascii="Garamond" w:hAnsi="Garamond"/>
        </w:rPr>
        <w:t xml:space="preserve">and fiscal </w:t>
      </w:r>
      <w:r w:rsidRPr="00381F61">
        <w:rPr>
          <w:rFonts w:ascii="Garamond" w:hAnsi="Garamond"/>
        </w:rPr>
        <w:t xml:space="preserve">storm might unfold over the next two to three decades.  </w:t>
      </w:r>
    </w:p>
    <w:p w14:paraId="546B3B0A" w14:textId="77777777" w:rsidR="003023FE" w:rsidRPr="00381F61" w:rsidRDefault="003023FE" w:rsidP="00E71CEB">
      <w:pPr>
        <w:jc w:val="both"/>
        <w:rPr>
          <w:rFonts w:ascii="Garamond" w:hAnsi="Garamond"/>
        </w:rPr>
      </w:pPr>
    </w:p>
    <w:p w14:paraId="30C4D270" w14:textId="03BB031B" w:rsidR="003023FE" w:rsidRPr="00381F61" w:rsidRDefault="003023FE" w:rsidP="00E71CEB">
      <w:pPr>
        <w:jc w:val="both"/>
        <w:rPr>
          <w:rFonts w:ascii="Garamond" w:hAnsi="Garamond"/>
        </w:rPr>
      </w:pPr>
      <w:r w:rsidRPr="00381F61">
        <w:rPr>
          <w:rFonts w:ascii="Garamond" w:hAnsi="Garamond"/>
        </w:rPr>
        <w:t xml:space="preserve">All this has encouraged what might be called </w:t>
      </w:r>
      <w:r w:rsidR="00644503" w:rsidRPr="00381F61">
        <w:rPr>
          <w:rFonts w:ascii="Garamond" w:hAnsi="Garamond"/>
        </w:rPr>
        <w:t>‘</w:t>
      </w:r>
      <w:r w:rsidRPr="00381F61">
        <w:rPr>
          <w:rFonts w:ascii="Garamond" w:hAnsi="Garamond"/>
        </w:rPr>
        <w:t>age catastrophism</w:t>
      </w:r>
      <w:r w:rsidR="00644503" w:rsidRPr="00381F61">
        <w:rPr>
          <w:rFonts w:ascii="Garamond" w:hAnsi="Garamond"/>
        </w:rPr>
        <w:t>’</w:t>
      </w:r>
      <w:r w:rsidRPr="00381F61">
        <w:rPr>
          <w:rFonts w:ascii="Garamond" w:hAnsi="Garamond"/>
        </w:rPr>
        <w:t>.  Now that the baby boomers are retiring, it seems like a downhill sli</w:t>
      </w:r>
      <w:r w:rsidR="00EA11A3" w:rsidRPr="00381F61">
        <w:rPr>
          <w:rFonts w:ascii="Garamond" w:hAnsi="Garamond"/>
        </w:rPr>
        <w:t>de to national</w:t>
      </w:r>
      <w:r w:rsidRPr="00381F61">
        <w:rPr>
          <w:rFonts w:ascii="Garamond" w:hAnsi="Garamond"/>
        </w:rPr>
        <w:t xml:space="preserve"> penury.</w:t>
      </w:r>
    </w:p>
    <w:p w14:paraId="09C9EA6F" w14:textId="77777777" w:rsidR="003023FE" w:rsidRPr="00381F61" w:rsidRDefault="003023FE" w:rsidP="00E71CEB">
      <w:pPr>
        <w:jc w:val="both"/>
        <w:rPr>
          <w:rFonts w:ascii="Garamond" w:hAnsi="Garamond"/>
        </w:rPr>
      </w:pPr>
    </w:p>
    <w:p w14:paraId="7B27669D" w14:textId="1FDF8D7B" w:rsidR="003023FE" w:rsidRPr="00381F61" w:rsidRDefault="003023FE" w:rsidP="00E71CEB">
      <w:pPr>
        <w:jc w:val="both"/>
        <w:rPr>
          <w:rFonts w:ascii="Garamond" w:hAnsi="Garamond"/>
        </w:rPr>
      </w:pPr>
      <w:r w:rsidRPr="00381F61">
        <w:rPr>
          <w:rFonts w:ascii="Garamond" w:hAnsi="Garamond"/>
        </w:rPr>
        <w:t>As baby boomers leave the workforce</w:t>
      </w:r>
      <w:r w:rsidR="00644503" w:rsidRPr="00381F61">
        <w:rPr>
          <w:rFonts w:ascii="Garamond" w:hAnsi="Garamond"/>
        </w:rPr>
        <w:t xml:space="preserve">, </w:t>
      </w:r>
      <w:r w:rsidR="001A6E20" w:rsidRPr="00381F61">
        <w:rPr>
          <w:rFonts w:ascii="Garamond" w:hAnsi="Garamond"/>
        </w:rPr>
        <w:t xml:space="preserve">some suggest that </w:t>
      </w:r>
      <w:r w:rsidR="00644503" w:rsidRPr="00381F61">
        <w:rPr>
          <w:rFonts w:ascii="Garamond" w:hAnsi="Garamond"/>
        </w:rPr>
        <w:t>the economy could become caught between rising welfare and health costs with a flat or even a declining workforce and a flat or declining tax take</w:t>
      </w:r>
      <w:r w:rsidR="00375747" w:rsidRPr="00381F61">
        <w:rPr>
          <w:rFonts w:ascii="Garamond" w:hAnsi="Garamond"/>
        </w:rPr>
        <w:t xml:space="preserve"> on unchanged policy settings</w:t>
      </w:r>
      <w:r w:rsidR="00644503" w:rsidRPr="00381F61">
        <w:rPr>
          <w:rFonts w:ascii="Garamond" w:hAnsi="Garamond"/>
        </w:rPr>
        <w:t>.  Something will need to give.</w:t>
      </w:r>
    </w:p>
    <w:p w14:paraId="319891B8" w14:textId="77777777" w:rsidR="003023FE" w:rsidRPr="00381F61" w:rsidRDefault="003023FE" w:rsidP="00E71CEB">
      <w:pPr>
        <w:jc w:val="both"/>
        <w:rPr>
          <w:rFonts w:ascii="Garamond" w:hAnsi="Garamond"/>
        </w:rPr>
      </w:pPr>
    </w:p>
    <w:p w14:paraId="69394507" w14:textId="46264B90" w:rsidR="00644503" w:rsidRPr="00381F61" w:rsidRDefault="005C769E" w:rsidP="00E71CEB">
      <w:pPr>
        <w:jc w:val="both"/>
        <w:rPr>
          <w:rFonts w:ascii="Garamond" w:hAnsi="Garamond"/>
        </w:rPr>
      </w:pPr>
      <w:r w:rsidRPr="00381F61">
        <w:rPr>
          <w:rFonts w:ascii="Garamond" w:hAnsi="Garamond"/>
        </w:rPr>
        <w:t xml:space="preserve">Faced with ageing populations, policy settings that encourage growth are more constructive than settings </w:t>
      </w:r>
      <w:r w:rsidR="00F66312" w:rsidRPr="00381F61">
        <w:rPr>
          <w:rFonts w:ascii="Garamond" w:hAnsi="Garamond"/>
        </w:rPr>
        <w:t>that encourage or even require</w:t>
      </w:r>
      <w:r w:rsidRPr="00381F61">
        <w:rPr>
          <w:rFonts w:ascii="Garamond" w:hAnsi="Garamond"/>
        </w:rPr>
        <w:t xml:space="preserve"> particular forms of economic behaviour.  Underpinning calls for compulsory private provision (‘save-as-you-go’ or SAYG) is the feeling that with greater levels of private provision</w:t>
      </w:r>
      <w:r w:rsidR="00644503" w:rsidRPr="00381F61">
        <w:rPr>
          <w:rFonts w:ascii="Garamond" w:hAnsi="Garamond"/>
        </w:rPr>
        <w:t xml:space="preserve"> (‘savings’)</w:t>
      </w:r>
      <w:r w:rsidRPr="00381F61">
        <w:rPr>
          <w:rFonts w:ascii="Garamond" w:hAnsi="Garamond"/>
        </w:rPr>
        <w:t xml:space="preserve">, there would be more </w:t>
      </w:r>
      <w:r w:rsidR="00644503" w:rsidRPr="00381F61">
        <w:rPr>
          <w:rFonts w:ascii="Garamond" w:hAnsi="Garamond"/>
        </w:rPr>
        <w:t>investment and greater growth</w:t>
      </w:r>
      <w:r w:rsidR="00321F88" w:rsidRPr="00381F61">
        <w:rPr>
          <w:rStyle w:val="FootnoteReference"/>
          <w:rFonts w:ascii="Garamond" w:hAnsi="Garamond"/>
        </w:rPr>
        <w:footnoteReference w:id="8"/>
      </w:r>
      <w:r w:rsidR="00644503" w:rsidRPr="00381F61">
        <w:rPr>
          <w:rFonts w:ascii="Garamond" w:hAnsi="Garamond"/>
        </w:rPr>
        <w:t>.</w:t>
      </w:r>
    </w:p>
    <w:p w14:paraId="642DCE7D" w14:textId="77777777" w:rsidR="00644503" w:rsidRPr="00381F61" w:rsidRDefault="00644503" w:rsidP="00E71CEB">
      <w:pPr>
        <w:jc w:val="both"/>
        <w:rPr>
          <w:rFonts w:ascii="Garamond" w:hAnsi="Garamond"/>
        </w:rPr>
      </w:pPr>
    </w:p>
    <w:p w14:paraId="5640884B" w14:textId="77777777" w:rsidR="00644503" w:rsidRPr="00381F61" w:rsidRDefault="005C769E" w:rsidP="00E71CEB">
      <w:pPr>
        <w:jc w:val="both"/>
        <w:rPr>
          <w:rFonts w:ascii="Garamond" w:hAnsi="Garamond"/>
        </w:rPr>
      </w:pPr>
      <w:r w:rsidRPr="00381F61">
        <w:rPr>
          <w:rFonts w:ascii="Garamond" w:hAnsi="Garamond"/>
        </w:rPr>
        <w:t>In fact, each of the links between savings, investment and growth is, at best, equivocal.  More savings may (but may not) lead to greater investment while greater levels of investment may</w:t>
      </w:r>
      <w:r w:rsidR="00644503" w:rsidRPr="00381F61">
        <w:rPr>
          <w:rFonts w:ascii="Garamond" w:hAnsi="Garamond"/>
        </w:rPr>
        <w:t xml:space="preserve"> (but may not) lead to growth.</w:t>
      </w:r>
    </w:p>
    <w:p w14:paraId="5C16779C" w14:textId="77777777" w:rsidR="00644503" w:rsidRPr="00381F61" w:rsidRDefault="00644503" w:rsidP="00E71CEB">
      <w:pPr>
        <w:jc w:val="both"/>
        <w:rPr>
          <w:rFonts w:ascii="Garamond" w:hAnsi="Garamond"/>
        </w:rPr>
      </w:pPr>
    </w:p>
    <w:p w14:paraId="59ACE9E3" w14:textId="77777777" w:rsidR="00662083" w:rsidRPr="00381F61" w:rsidRDefault="005C769E" w:rsidP="00E71CEB">
      <w:pPr>
        <w:jc w:val="both"/>
        <w:rPr>
          <w:rFonts w:ascii="Garamond" w:hAnsi="Garamond"/>
        </w:rPr>
      </w:pPr>
      <w:r w:rsidRPr="00381F61">
        <w:rPr>
          <w:rFonts w:ascii="Garamond" w:hAnsi="Garamond"/>
        </w:rPr>
        <w:t>The direct link then between savings and growth is even more tenuous.  The evidence from empirical studies is mixed at best and even the direction of causality is unclear; it may be that higher growth leads to more savings as incomes rise</w:t>
      </w:r>
      <w:r w:rsidR="0016323A" w:rsidRPr="00381F61">
        <w:rPr>
          <w:rStyle w:val="FootnoteReference"/>
          <w:rFonts w:ascii="Garamond" w:hAnsi="Garamond"/>
        </w:rPr>
        <w:footnoteReference w:id="9"/>
      </w:r>
      <w:r w:rsidRPr="00381F61">
        <w:rPr>
          <w:rFonts w:ascii="Garamond" w:hAnsi="Garamond"/>
        </w:rPr>
        <w:t>.</w:t>
      </w:r>
    </w:p>
    <w:p w14:paraId="59C6A2E4" w14:textId="77777777" w:rsidR="00662083" w:rsidRPr="00381F61" w:rsidRDefault="00662083" w:rsidP="00E71CEB">
      <w:pPr>
        <w:jc w:val="both"/>
        <w:rPr>
          <w:rFonts w:ascii="Garamond" w:hAnsi="Garamond"/>
        </w:rPr>
      </w:pPr>
    </w:p>
    <w:p w14:paraId="4064F4E8" w14:textId="06909045" w:rsidR="005C769E" w:rsidRPr="00381F61" w:rsidRDefault="005C769E" w:rsidP="00E71CEB">
      <w:pPr>
        <w:jc w:val="both"/>
        <w:rPr>
          <w:rFonts w:ascii="Garamond" w:hAnsi="Garamond"/>
        </w:rPr>
      </w:pPr>
      <w:r w:rsidRPr="00381F61">
        <w:rPr>
          <w:rFonts w:ascii="Garamond" w:hAnsi="Garamond"/>
        </w:rPr>
        <w:t>On the other hand, excess savings (low consumption) have even been known to lead to economic recession</w:t>
      </w:r>
      <w:r w:rsidRPr="00381F61">
        <w:rPr>
          <w:rStyle w:val="FootnoteReference"/>
          <w:rFonts w:ascii="Garamond" w:hAnsi="Garamond"/>
        </w:rPr>
        <w:footnoteReference w:id="10"/>
      </w:r>
      <w:r w:rsidRPr="00381F61">
        <w:rPr>
          <w:rFonts w:ascii="Garamond" w:hAnsi="Garamond"/>
        </w:rPr>
        <w:t>.</w:t>
      </w:r>
    </w:p>
    <w:p w14:paraId="2D4873F1" w14:textId="739B8813" w:rsidR="005C769E" w:rsidRPr="00381F61" w:rsidRDefault="005C769E" w:rsidP="00E71CEB">
      <w:pPr>
        <w:jc w:val="both"/>
        <w:rPr>
          <w:rFonts w:ascii="Garamond" w:hAnsi="Garamond"/>
        </w:rPr>
      </w:pPr>
    </w:p>
    <w:p w14:paraId="6BA1CD7C" w14:textId="65ABA3E7" w:rsidR="00644503" w:rsidRPr="00381F61" w:rsidRDefault="005C769E" w:rsidP="00E71CEB">
      <w:pPr>
        <w:jc w:val="both"/>
        <w:rPr>
          <w:rFonts w:ascii="Garamond" w:hAnsi="Garamond"/>
        </w:rPr>
      </w:pPr>
      <w:r w:rsidRPr="00381F61">
        <w:rPr>
          <w:rFonts w:ascii="Garamond" w:hAnsi="Garamond"/>
        </w:rPr>
        <w:t>Growth is central to a country’s capacity to cope with growing numbers of pensioners.  Whenever there are discussions about retirement income policies, at the bottom of every page</w:t>
      </w:r>
      <w:r w:rsidR="008B5E3C" w:rsidRPr="00381F61">
        <w:rPr>
          <w:rFonts w:ascii="Garamond" w:hAnsi="Garamond"/>
        </w:rPr>
        <w:t xml:space="preserve"> that suggests a policy change</w:t>
      </w:r>
      <w:r w:rsidRPr="00381F61">
        <w:rPr>
          <w:rFonts w:ascii="Garamond" w:hAnsi="Garamond"/>
        </w:rPr>
        <w:t xml:space="preserve"> should be the question: ‘How will this policy help the country grow more than alternative strategies?’</w:t>
      </w:r>
    </w:p>
    <w:p w14:paraId="00FC2F69" w14:textId="77777777" w:rsidR="008B2976" w:rsidRPr="00381F61" w:rsidRDefault="008B2976" w:rsidP="00E71CEB">
      <w:pPr>
        <w:jc w:val="both"/>
        <w:rPr>
          <w:rFonts w:ascii="Garamond" w:hAnsi="Garamond"/>
        </w:rPr>
      </w:pPr>
    </w:p>
    <w:p w14:paraId="0C910761" w14:textId="29FBD3EE" w:rsidR="008B2976" w:rsidRPr="00381F61" w:rsidRDefault="008B2976" w:rsidP="00E71CEB">
      <w:pPr>
        <w:jc w:val="both"/>
        <w:rPr>
          <w:rFonts w:ascii="Garamond" w:hAnsi="Garamond"/>
        </w:rPr>
      </w:pPr>
      <w:r w:rsidRPr="00381F61">
        <w:rPr>
          <w:rFonts w:ascii="Garamond" w:hAnsi="Garamond"/>
        </w:rPr>
        <w:t>However, the ‘top-line’ growth statistics are only part of the story.  There will be, proportionately, fewer people producing things relative to the total population while the total number of consumers (including the retired) will continue to rise.  That places improving productivity as a ‘front and centre’ issue</w:t>
      </w:r>
      <w:r w:rsidR="00AA44E0" w:rsidRPr="00381F61">
        <w:rPr>
          <w:rFonts w:ascii="Garamond" w:hAnsi="Garamond"/>
        </w:rPr>
        <w:t xml:space="preserve"> in the debate about </w:t>
      </w:r>
      <w:r w:rsidR="00F66312" w:rsidRPr="00381F61">
        <w:rPr>
          <w:rFonts w:ascii="Garamond" w:hAnsi="Garamond"/>
        </w:rPr>
        <w:t>t</w:t>
      </w:r>
      <w:r w:rsidR="00AA44E0" w:rsidRPr="00381F61">
        <w:rPr>
          <w:rFonts w:ascii="Garamond" w:hAnsi="Garamond"/>
        </w:rPr>
        <w:t>he costs associated with an ageing population</w:t>
      </w:r>
      <w:r w:rsidRPr="00381F61">
        <w:rPr>
          <w:rFonts w:ascii="Garamond" w:hAnsi="Garamond"/>
        </w:rPr>
        <w:t>.  Traditional measures of productivity growth have tended to show New Zealand in a poor light</w:t>
      </w:r>
      <w:r w:rsidR="00394BFD" w:rsidRPr="00381F61">
        <w:rPr>
          <w:rFonts w:ascii="Garamond" w:hAnsi="Garamond"/>
        </w:rPr>
        <w:t xml:space="preserve"> and our Productivity Commission has looked at </w:t>
      </w:r>
      <w:r w:rsidR="0011779C" w:rsidRPr="00381F61">
        <w:rPr>
          <w:rFonts w:ascii="Garamond" w:hAnsi="Garamond"/>
        </w:rPr>
        <w:t xml:space="preserve">aspects of </w:t>
      </w:r>
      <w:r w:rsidR="0016787B" w:rsidRPr="00381F61">
        <w:rPr>
          <w:rFonts w:ascii="Garamond" w:hAnsi="Garamond"/>
        </w:rPr>
        <w:t>our labour productivity</w:t>
      </w:r>
      <w:r w:rsidR="0011779C" w:rsidRPr="00381F61">
        <w:rPr>
          <w:rFonts w:ascii="Garamond" w:hAnsi="Garamond"/>
        </w:rPr>
        <w:t>:</w:t>
      </w:r>
    </w:p>
    <w:p w14:paraId="6ADF8F58" w14:textId="77777777" w:rsidR="00CC5746" w:rsidRPr="00381F61" w:rsidRDefault="00CC5746" w:rsidP="00E71CEB">
      <w:pPr>
        <w:jc w:val="both"/>
        <w:rPr>
          <w:rFonts w:ascii="Garamond" w:hAnsi="Garamond"/>
          <w:sz w:val="8"/>
          <w:szCs w:val="8"/>
        </w:rPr>
      </w:pPr>
    </w:p>
    <w:p w14:paraId="252297B6" w14:textId="49466EF9" w:rsidR="0011779C" w:rsidRPr="00381F61" w:rsidRDefault="0011779C" w:rsidP="00E71CEB">
      <w:pPr>
        <w:ind w:left="709"/>
        <w:jc w:val="both"/>
        <w:rPr>
          <w:rFonts w:ascii="Garamond" w:hAnsi="Garamond"/>
        </w:rPr>
      </w:pPr>
      <w:r w:rsidRPr="00381F61">
        <w:rPr>
          <w:rFonts w:ascii="Garamond" w:hAnsi="Garamond"/>
          <w:sz w:val="22"/>
          <w:szCs w:val="22"/>
        </w:rPr>
        <w:t>“Productivity growth is about creating more value by making better use of a country’s resources.  It is the most important source of income growth and has an important bearing on people’s wellbeing.”</w:t>
      </w:r>
      <w:r w:rsidRPr="00381F61">
        <w:rPr>
          <w:rStyle w:val="FootnoteReference"/>
          <w:rFonts w:ascii="Garamond" w:hAnsi="Garamond"/>
        </w:rPr>
        <w:footnoteReference w:id="11"/>
      </w:r>
    </w:p>
    <w:p w14:paraId="0F4CDC36" w14:textId="77777777" w:rsidR="00644503" w:rsidRPr="00381F61" w:rsidRDefault="00644503" w:rsidP="00E71CEB">
      <w:pPr>
        <w:jc w:val="both"/>
        <w:rPr>
          <w:rFonts w:ascii="Garamond" w:hAnsi="Garamond"/>
        </w:rPr>
      </w:pPr>
    </w:p>
    <w:p w14:paraId="58577E55" w14:textId="1C237A2A" w:rsidR="0011779C" w:rsidRPr="00381F61" w:rsidRDefault="0011779C" w:rsidP="00E71CEB">
      <w:pPr>
        <w:jc w:val="both"/>
        <w:rPr>
          <w:rFonts w:ascii="Garamond" w:hAnsi="Garamond"/>
        </w:rPr>
      </w:pPr>
      <w:r w:rsidRPr="00381F61">
        <w:rPr>
          <w:rFonts w:ascii="Garamond" w:hAnsi="Garamond"/>
        </w:rPr>
        <w:t>Economists have worried about New Zealand’s relatively poor productivity performance</w:t>
      </w:r>
      <w:r w:rsidR="00AA44E0" w:rsidRPr="00381F61">
        <w:rPr>
          <w:rFonts w:ascii="Garamond" w:hAnsi="Garamond"/>
        </w:rPr>
        <w:t xml:space="preserve"> by comparison with our peers</w:t>
      </w:r>
      <w:r w:rsidRPr="00381F61">
        <w:rPr>
          <w:rFonts w:ascii="Garamond" w:hAnsi="Garamond"/>
        </w:rPr>
        <w:t xml:space="preserve">.  The Productivity Commission acknowledges that more work </w:t>
      </w:r>
      <w:r w:rsidR="001849EC" w:rsidRPr="00381F61">
        <w:rPr>
          <w:rFonts w:ascii="Garamond" w:hAnsi="Garamond"/>
        </w:rPr>
        <w:t xml:space="preserve">is </w:t>
      </w:r>
      <w:r w:rsidRPr="00381F61">
        <w:rPr>
          <w:rFonts w:ascii="Garamond" w:hAnsi="Garamond"/>
        </w:rPr>
        <w:t>need</w:t>
      </w:r>
      <w:r w:rsidR="001849EC" w:rsidRPr="00381F61">
        <w:rPr>
          <w:rFonts w:ascii="Garamond" w:hAnsi="Garamond"/>
        </w:rPr>
        <w:t>ed</w:t>
      </w:r>
      <w:r w:rsidRPr="00381F61">
        <w:rPr>
          <w:rFonts w:ascii="Garamond" w:hAnsi="Garamond"/>
        </w:rPr>
        <w:t xml:space="preserve"> </w:t>
      </w:r>
      <w:r w:rsidR="00B77453" w:rsidRPr="00381F61">
        <w:rPr>
          <w:rFonts w:ascii="Garamond" w:hAnsi="Garamond"/>
        </w:rPr>
        <w:t xml:space="preserve">to understand </w:t>
      </w:r>
      <w:r w:rsidR="00BE555E" w:rsidRPr="00381F61">
        <w:rPr>
          <w:rFonts w:ascii="Garamond" w:hAnsi="Garamond"/>
        </w:rPr>
        <w:t>what needs to be done.  The Commission itself describes some of its work as “incomplete and speculative in some areas”.  We need to fill those information gaps</w:t>
      </w:r>
      <w:r w:rsidR="00E16F1C" w:rsidRPr="00381F61">
        <w:rPr>
          <w:rFonts w:ascii="Garamond" w:hAnsi="Garamond"/>
        </w:rPr>
        <w:t xml:space="preserve"> to the extent that is possible</w:t>
      </w:r>
      <w:r w:rsidR="00BE555E" w:rsidRPr="00381F61">
        <w:rPr>
          <w:rFonts w:ascii="Garamond" w:hAnsi="Garamond"/>
        </w:rPr>
        <w:t xml:space="preserve"> and to have a full national debate on the implications of improving productivity in the face of an ageing population.</w:t>
      </w:r>
    </w:p>
    <w:p w14:paraId="61A0A394" w14:textId="77777777" w:rsidR="0011779C" w:rsidRPr="00381F61" w:rsidRDefault="0011779C" w:rsidP="00E71CEB">
      <w:pPr>
        <w:jc w:val="both"/>
        <w:rPr>
          <w:rFonts w:ascii="Garamond" w:hAnsi="Garamond"/>
        </w:rPr>
      </w:pPr>
    </w:p>
    <w:p w14:paraId="3710455B" w14:textId="77777777" w:rsidR="00817BA4" w:rsidRPr="00381F61" w:rsidRDefault="00644503" w:rsidP="00E71CEB">
      <w:pPr>
        <w:jc w:val="both"/>
        <w:rPr>
          <w:rFonts w:ascii="Garamond" w:hAnsi="Garamond"/>
        </w:rPr>
      </w:pPr>
      <w:r w:rsidRPr="00381F61">
        <w:rPr>
          <w:rFonts w:ascii="Garamond" w:hAnsi="Garamond"/>
        </w:rPr>
        <w:t>Put simply, a stronger</w:t>
      </w:r>
      <w:r w:rsidR="00AA44E0" w:rsidRPr="00381F61">
        <w:rPr>
          <w:rFonts w:ascii="Garamond" w:hAnsi="Garamond"/>
        </w:rPr>
        <w:t>, more productive</w:t>
      </w:r>
      <w:r w:rsidRPr="00381F61">
        <w:rPr>
          <w:rFonts w:ascii="Garamond" w:hAnsi="Garamond"/>
        </w:rPr>
        <w:t xml:space="preserve"> economy has a greater capacity to deal with all challenges, including more pensioners and higher health costs.</w:t>
      </w:r>
    </w:p>
    <w:p w14:paraId="1BCF3EB8" w14:textId="77777777" w:rsidR="00817BA4" w:rsidRPr="00381F61" w:rsidRDefault="00817BA4" w:rsidP="00E71CEB">
      <w:pPr>
        <w:jc w:val="both"/>
        <w:rPr>
          <w:rFonts w:ascii="Garamond" w:hAnsi="Garamond"/>
        </w:rPr>
      </w:pPr>
    </w:p>
    <w:p w14:paraId="5B15A3F1" w14:textId="66940020" w:rsidR="005C769E" w:rsidRPr="00381F61" w:rsidRDefault="00817BA4" w:rsidP="00E71CEB">
      <w:pPr>
        <w:jc w:val="both"/>
        <w:rPr>
          <w:rFonts w:ascii="Garamond" w:hAnsi="Garamond"/>
        </w:rPr>
      </w:pPr>
      <w:r w:rsidRPr="00381F61">
        <w:rPr>
          <w:rFonts w:ascii="Garamond" w:hAnsi="Garamond"/>
        </w:rPr>
        <w:t xml:space="preserve">This is no better illustrated than from </w:t>
      </w:r>
      <w:r w:rsidR="00E700B5" w:rsidRPr="00381F61">
        <w:rPr>
          <w:rFonts w:ascii="Garamond" w:hAnsi="Garamond"/>
        </w:rPr>
        <w:t xml:space="preserve">New Zealand’s </w:t>
      </w:r>
      <w:r w:rsidR="001849EC" w:rsidRPr="00381F61">
        <w:rPr>
          <w:rFonts w:ascii="Garamond" w:hAnsi="Garamond"/>
        </w:rPr>
        <w:t xml:space="preserve">fiscal </w:t>
      </w:r>
      <w:r w:rsidRPr="00381F61">
        <w:rPr>
          <w:rFonts w:ascii="Garamond" w:hAnsi="Garamond"/>
        </w:rPr>
        <w:t>experience of just the five years</w:t>
      </w:r>
      <w:r w:rsidR="00662083" w:rsidRPr="00381F61">
        <w:rPr>
          <w:rFonts w:ascii="Garamond" w:hAnsi="Garamond"/>
        </w:rPr>
        <w:t xml:space="preserve"> to 2015</w:t>
      </w:r>
      <w:r w:rsidRPr="00381F61">
        <w:rPr>
          <w:rFonts w:ascii="Garamond" w:hAnsi="Garamond"/>
        </w:rPr>
        <w:t xml:space="preserve">.  As of 2010, </w:t>
      </w:r>
      <w:r w:rsidRPr="00381F61">
        <w:rPr>
          <w:rFonts w:ascii="Garamond" w:hAnsi="Garamond"/>
          <w:bCs/>
        </w:rPr>
        <w:t>the government’s ‘primary core Crown operating spending’, the sta</w:t>
      </w:r>
      <w:r w:rsidR="00FE586A" w:rsidRPr="00381F61">
        <w:rPr>
          <w:rFonts w:ascii="Garamond" w:hAnsi="Garamond"/>
          <w:bCs/>
        </w:rPr>
        <w:t xml:space="preserve">rting point for the </w:t>
      </w:r>
      <w:r w:rsidR="00FE586A" w:rsidRPr="00381F61">
        <w:rPr>
          <w:rFonts w:ascii="Garamond" w:hAnsi="Garamond"/>
          <w:bCs/>
          <w:i/>
        </w:rPr>
        <w:t xml:space="preserve">Treasury’s </w:t>
      </w:r>
      <w:r w:rsidRPr="00381F61">
        <w:rPr>
          <w:rFonts w:ascii="Garamond" w:hAnsi="Garamond"/>
          <w:bCs/>
          <w:i/>
        </w:rPr>
        <w:t>Long-term Fiscal Model</w:t>
      </w:r>
      <w:r w:rsidRPr="00381F61">
        <w:rPr>
          <w:rFonts w:ascii="Garamond" w:hAnsi="Garamond"/>
          <w:bCs/>
        </w:rPr>
        <w:t xml:space="preserve"> (see section </w:t>
      </w:r>
      <w:r w:rsidR="000856CF" w:rsidRPr="00381F61">
        <w:rPr>
          <w:rFonts w:ascii="Garamond" w:hAnsi="Garamond"/>
          <w:bCs/>
        </w:rPr>
        <w:t>5</w:t>
      </w:r>
      <w:r w:rsidRPr="00381F61">
        <w:rPr>
          <w:rFonts w:ascii="Garamond" w:hAnsi="Garamond"/>
          <w:bCs/>
        </w:rPr>
        <w:t xml:space="preserve"> below for more on this), was 32.2% of GDP</w:t>
      </w:r>
      <w:r w:rsidRPr="00381F61">
        <w:rPr>
          <w:rStyle w:val="FootnoteReference"/>
          <w:rFonts w:ascii="Garamond" w:hAnsi="Garamond"/>
          <w:bCs/>
        </w:rPr>
        <w:footnoteReference w:id="12"/>
      </w:r>
      <w:r w:rsidRPr="00381F61">
        <w:rPr>
          <w:rFonts w:ascii="Garamond" w:hAnsi="Garamond"/>
          <w:bCs/>
        </w:rPr>
        <w:t>.</w:t>
      </w:r>
      <w:r w:rsidRPr="00381F61">
        <w:rPr>
          <w:rStyle w:val="Hyperlink"/>
          <w:rFonts w:ascii="Garamond" w:hAnsi="Garamond"/>
          <w:color w:val="000000" w:themeColor="text1"/>
          <w:u w:val="none"/>
        </w:rPr>
        <w:t xml:space="preserve">  In the space of just five years (2010 to 2015), that starting figure </w:t>
      </w:r>
      <w:r w:rsidR="00A24990" w:rsidRPr="00381F61">
        <w:rPr>
          <w:rStyle w:val="Hyperlink"/>
          <w:rFonts w:ascii="Garamond" w:hAnsi="Garamond"/>
          <w:color w:val="000000" w:themeColor="text1"/>
          <w:u w:val="none"/>
        </w:rPr>
        <w:t>fell</w:t>
      </w:r>
      <w:r w:rsidRPr="00381F61">
        <w:rPr>
          <w:rStyle w:val="Hyperlink"/>
          <w:rFonts w:ascii="Garamond" w:hAnsi="Garamond"/>
          <w:color w:val="000000" w:themeColor="text1"/>
          <w:u w:val="none"/>
        </w:rPr>
        <w:t xml:space="preserve"> by 3.8 percentage points</w:t>
      </w:r>
      <w:r w:rsidR="00AD1C2E" w:rsidRPr="00381F61">
        <w:rPr>
          <w:rStyle w:val="Hyperlink"/>
          <w:rFonts w:ascii="Garamond" w:hAnsi="Garamond"/>
          <w:color w:val="000000" w:themeColor="text1"/>
          <w:u w:val="none"/>
        </w:rPr>
        <w:t xml:space="preserve"> </w:t>
      </w:r>
      <w:r w:rsidRPr="00381F61">
        <w:rPr>
          <w:rStyle w:val="Hyperlink"/>
          <w:rFonts w:ascii="Garamond" w:hAnsi="Garamond"/>
          <w:color w:val="000000" w:themeColor="text1"/>
          <w:u w:val="none"/>
        </w:rPr>
        <w:t>to 28.4%</w:t>
      </w:r>
      <w:r w:rsidR="0039130A" w:rsidRPr="00381F61">
        <w:rPr>
          <w:rStyle w:val="Hyperlink"/>
          <w:rFonts w:ascii="Garamond" w:hAnsi="Garamond"/>
          <w:color w:val="000000" w:themeColor="text1"/>
          <w:u w:val="none"/>
        </w:rPr>
        <w:t>,</w:t>
      </w:r>
      <w:r w:rsidRPr="00381F61">
        <w:rPr>
          <w:rStyle w:val="Hyperlink"/>
          <w:rFonts w:ascii="Garamond" w:hAnsi="Garamond"/>
          <w:color w:val="000000" w:themeColor="text1"/>
          <w:u w:val="none"/>
        </w:rPr>
        <w:t xml:space="preserve"> or by about one-ninth</w:t>
      </w:r>
      <w:r w:rsidRPr="00381F61">
        <w:rPr>
          <w:rStyle w:val="FootnoteReference"/>
          <w:rFonts w:ascii="Garamond" w:hAnsi="Garamond"/>
          <w:bCs/>
        </w:rPr>
        <w:footnoteReference w:id="13"/>
      </w:r>
      <w:r w:rsidRPr="00381F61">
        <w:rPr>
          <w:rStyle w:val="Hyperlink"/>
          <w:rFonts w:ascii="Garamond" w:hAnsi="Garamond"/>
          <w:color w:val="000000" w:themeColor="text1"/>
          <w:u w:val="none"/>
        </w:rPr>
        <w:t>.</w:t>
      </w:r>
      <w:r w:rsidR="001849EC" w:rsidRPr="00381F61">
        <w:rPr>
          <w:rStyle w:val="Hyperlink"/>
          <w:rFonts w:ascii="Garamond" w:hAnsi="Garamond"/>
          <w:color w:val="000000" w:themeColor="text1"/>
          <w:u w:val="none"/>
        </w:rPr>
        <w:t xml:space="preserve">  That puts into context the expected 2.</w:t>
      </w:r>
      <w:r w:rsidR="00E34430" w:rsidRPr="00381F61">
        <w:rPr>
          <w:rStyle w:val="Hyperlink"/>
          <w:rFonts w:ascii="Garamond" w:hAnsi="Garamond"/>
          <w:color w:val="000000" w:themeColor="text1"/>
          <w:u w:val="none"/>
        </w:rPr>
        <w:t>55</w:t>
      </w:r>
      <w:r w:rsidR="001849EC" w:rsidRPr="00381F61">
        <w:rPr>
          <w:rStyle w:val="Hyperlink"/>
          <w:rFonts w:ascii="Garamond" w:hAnsi="Garamond"/>
          <w:color w:val="000000" w:themeColor="text1"/>
          <w:u w:val="none"/>
        </w:rPr>
        <w:t xml:space="preserve"> percentage point rise in the </w:t>
      </w:r>
      <w:r w:rsidR="00880034" w:rsidRPr="00381F61">
        <w:rPr>
          <w:rStyle w:val="Hyperlink"/>
          <w:rFonts w:ascii="Garamond" w:hAnsi="Garamond"/>
          <w:color w:val="000000" w:themeColor="text1"/>
          <w:u w:val="none"/>
        </w:rPr>
        <w:t xml:space="preserve">net </w:t>
      </w:r>
      <w:r w:rsidR="001849EC" w:rsidRPr="00381F61">
        <w:rPr>
          <w:rStyle w:val="Hyperlink"/>
          <w:rFonts w:ascii="Garamond" w:hAnsi="Garamond"/>
          <w:color w:val="000000" w:themeColor="text1"/>
          <w:u w:val="none"/>
        </w:rPr>
        <w:t xml:space="preserve">cost of New Zealand Superannuation from 4.2% to </w:t>
      </w:r>
      <w:r w:rsidR="00E34430" w:rsidRPr="00381F61">
        <w:rPr>
          <w:rStyle w:val="Hyperlink"/>
          <w:rFonts w:ascii="Garamond" w:hAnsi="Garamond"/>
          <w:color w:val="000000" w:themeColor="text1"/>
          <w:u w:val="none"/>
        </w:rPr>
        <w:t>6.75</w:t>
      </w:r>
      <w:r w:rsidR="001849EC" w:rsidRPr="00381F61">
        <w:rPr>
          <w:rStyle w:val="Hyperlink"/>
          <w:rFonts w:ascii="Garamond" w:hAnsi="Garamond"/>
          <w:color w:val="000000" w:themeColor="text1"/>
          <w:u w:val="none"/>
        </w:rPr>
        <w:t>%</w:t>
      </w:r>
      <w:r w:rsidR="006216B2" w:rsidRPr="00381F61">
        <w:rPr>
          <w:rStyle w:val="Hyperlink"/>
          <w:rFonts w:ascii="Garamond" w:hAnsi="Garamond"/>
          <w:color w:val="000000" w:themeColor="text1"/>
          <w:u w:val="none"/>
        </w:rPr>
        <w:t xml:space="preserve"> over the next 40+ year</w:t>
      </w:r>
      <w:r w:rsidR="00FC0BAC" w:rsidRPr="00381F61">
        <w:rPr>
          <w:rStyle w:val="Hyperlink"/>
          <w:rFonts w:ascii="Garamond" w:hAnsi="Garamond"/>
          <w:color w:val="000000" w:themeColor="text1"/>
          <w:u w:val="none"/>
        </w:rPr>
        <w:t>s</w:t>
      </w:r>
      <w:r w:rsidR="001849EC" w:rsidRPr="00381F61">
        <w:rPr>
          <w:rStyle w:val="Hyperlink"/>
          <w:rFonts w:ascii="Garamond" w:hAnsi="Garamond"/>
          <w:color w:val="000000" w:themeColor="text1"/>
          <w:u w:val="none"/>
        </w:rPr>
        <w:t>.</w:t>
      </w:r>
    </w:p>
    <w:p w14:paraId="5CFC8D5D" w14:textId="30B07AB8" w:rsidR="00B035CA" w:rsidRPr="00381F61" w:rsidRDefault="00B035CA" w:rsidP="00E71CEB">
      <w:pPr>
        <w:jc w:val="both"/>
        <w:rPr>
          <w:rFonts w:ascii="Garamond" w:hAnsi="Garamond"/>
        </w:rPr>
      </w:pPr>
    </w:p>
    <w:p w14:paraId="7D60A6DA" w14:textId="5A5F80E8" w:rsidR="006E3CCB" w:rsidRPr="00381F61" w:rsidRDefault="006E3CCB" w:rsidP="00E71CEB">
      <w:pPr>
        <w:jc w:val="both"/>
        <w:rPr>
          <w:rFonts w:ascii="Garamond" w:hAnsi="Garamond"/>
        </w:rPr>
      </w:pPr>
      <w:r w:rsidRPr="00381F61">
        <w:rPr>
          <w:rFonts w:ascii="Garamond" w:hAnsi="Garamond"/>
        </w:rPr>
        <w:t xml:space="preserve">We understand the imperfections of GDP as a measure: that it includes/excludes things that should be excluded/included; that restoring earthquake damage, for example, is counted even if the community’s infrastructure is just put back to where it was, and so on.  There seems, however, to be an unmissable connection across countries between GDP </w:t>
      </w:r>
      <w:r w:rsidRPr="00381F61">
        <w:rPr>
          <w:rFonts w:ascii="Garamond" w:hAnsi="Garamond"/>
          <w:i/>
        </w:rPr>
        <w:t>per capita</w:t>
      </w:r>
      <w:r w:rsidRPr="00381F61">
        <w:rPr>
          <w:rFonts w:ascii="Garamond" w:hAnsi="Garamond"/>
        </w:rPr>
        <w:t xml:space="preserve"> and ‘social wellbeing’’ </w:t>
      </w:r>
      <w:r w:rsidRPr="00381F61">
        <w:rPr>
          <w:rFonts w:ascii="Garamond" w:hAnsi="Garamond"/>
        </w:rPr>
        <w:lastRenderedPageBreak/>
        <w:t>measures so that improving New Zealand’s resilience to coming age-related cost pressures can be measured by real GDP growth</w:t>
      </w:r>
      <w:r w:rsidR="00D73520" w:rsidRPr="00381F61">
        <w:rPr>
          <w:rFonts w:ascii="Garamond" w:hAnsi="Garamond"/>
        </w:rPr>
        <w:t>;</w:t>
      </w:r>
      <w:r w:rsidRPr="00381F61">
        <w:rPr>
          <w:rFonts w:ascii="Garamond" w:hAnsi="Garamond"/>
        </w:rPr>
        <w:t xml:space="preserve"> until someone comes up with a better way of doing things</w:t>
      </w:r>
      <w:r w:rsidRPr="00381F61">
        <w:rPr>
          <w:rStyle w:val="FootnoteReference"/>
          <w:rFonts w:ascii="Garamond" w:hAnsi="Garamond"/>
        </w:rPr>
        <w:footnoteReference w:id="14"/>
      </w:r>
      <w:r w:rsidRPr="00381F61">
        <w:rPr>
          <w:rFonts w:ascii="Garamond" w:hAnsi="Garamond"/>
        </w:rPr>
        <w:t xml:space="preserve">. </w:t>
      </w:r>
    </w:p>
    <w:p w14:paraId="5844B35A" w14:textId="77777777" w:rsidR="00F2146A" w:rsidRPr="00381F61" w:rsidRDefault="00F2146A" w:rsidP="00E71CEB">
      <w:pPr>
        <w:jc w:val="both"/>
        <w:rPr>
          <w:rFonts w:ascii="Garamond" w:hAnsi="Garamond"/>
        </w:rPr>
      </w:pPr>
    </w:p>
    <w:p w14:paraId="122C6805" w14:textId="195855A3" w:rsidR="00B035CA" w:rsidRPr="00381F61" w:rsidRDefault="00B035CA" w:rsidP="00E71CEB">
      <w:pPr>
        <w:jc w:val="both"/>
        <w:rPr>
          <w:rFonts w:ascii="Garamond" w:hAnsi="Garamond"/>
          <w:b/>
        </w:rPr>
      </w:pPr>
      <w:r w:rsidRPr="00381F61">
        <w:rPr>
          <w:rFonts w:ascii="Garamond" w:hAnsi="Garamond"/>
          <w:b/>
        </w:rPr>
        <w:t>Questions New Zealand needs to discuss</w:t>
      </w:r>
      <w:r w:rsidR="00A256AB" w:rsidRPr="00381F61">
        <w:rPr>
          <w:rFonts w:ascii="Garamond" w:hAnsi="Garamond"/>
          <w:b/>
        </w:rPr>
        <w:t xml:space="preserve"> about the economy</w:t>
      </w:r>
      <w:r w:rsidR="00BE3495" w:rsidRPr="00381F61">
        <w:rPr>
          <w:rFonts w:ascii="Garamond" w:hAnsi="Garamond"/>
          <w:b/>
        </w:rPr>
        <w:t>:</w:t>
      </w:r>
    </w:p>
    <w:p w14:paraId="3BB46CE3" w14:textId="77777777" w:rsidR="00B035CA" w:rsidRPr="00381F61" w:rsidRDefault="00B035CA" w:rsidP="00E71CEB">
      <w:pPr>
        <w:jc w:val="both"/>
        <w:rPr>
          <w:rFonts w:ascii="Garamond" w:hAnsi="Garamond"/>
          <w:b/>
        </w:rPr>
      </w:pPr>
    </w:p>
    <w:p w14:paraId="277778F3" w14:textId="608AFCAA" w:rsidR="00B035CA" w:rsidRPr="00381F61" w:rsidRDefault="00B035CA" w:rsidP="004B7169">
      <w:pPr>
        <w:pStyle w:val="ListParagraph"/>
        <w:numPr>
          <w:ilvl w:val="0"/>
          <w:numId w:val="16"/>
        </w:numPr>
        <w:ind w:left="709" w:hanging="414"/>
        <w:jc w:val="both"/>
        <w:rPr>
          <w:rFonts w:ascii="Garamond" w:hAnsi="Garamond"/>
        </w:rPr>
      </w:pPr>
      <w:r w:rsidRPr="00381F61">
        <w:rPr>
          <w:rFonts w:ascii="Garamond" w:hAnsi="Garamond"/>
        </w:rPr>
        <w:t>How robust are current projections of New Zealand’s economic future?</w:t>
      </w:r>
    </w:p>
    <w:p w14:paraId="7ACEC69D" w14:textId="77777777" w:rsidR="00A42E25" w:rsidRPr="00381F61" w:rsidRDefault="00A42E25" w:rsidP="004B7169">
      <w:pPr>
        <w:pStyle w:val="ListParagraph"/>
        <w:ind w:left="709" w:hanging="414"/>
        <w:jc w:val="both"/>
        <w:rPr>
          <w:rFonts w:ascii="Garamond" w:hAnsi="Garamond"/>
        </w:rPr>
      </w:pPr>
    </w:p>
    <w:p w14:paraId="16FF8D95" w14:textId="1F141CB9" w:rsidR="00874F4E" w:rsidRPr="00381F61" w:rsidRDefault="00874F4E" w:rsidP="004B7169">
      <w:pPr>
        <w:pStyle w:val="ListParagraph"/>
        <w:numPr>
          <w:ilvl w:val="0"/>
          <w:numId w:val="16"/>
        </w:numPr>
        <w:ind w:left="709" w:hanging="414"/>
        <w:jc w:val="both"/>
        <w:rPr>
          <w:rFonts w:ascii="Garamond" w:hAnsi="Garamond"/>
        </w:rPr>
      </w:pPr>
      <w:r w:rsidRPr="00381F61">
        <w:rPr>
          <w:rFonts w:ascii="Garamond" w:hAnsi="Garamond"/>
        </w:rPr>
        <w:t xml:space="preserve">What are New Zealand’s </w:t>
      </w:r>
      <w:r w:rsidR="00F27D2A" w:rsidRPr="00381F61">
        <w:rPr>
          <w:rFonts w:ascii="Garamond" w:hAnsi="Garamond"/>
        </w:rPr>
        <w:t xml:space="preserve">economic </w:t>
      </w:r>
      <w:r w:rsidRPr="00381F61">
        <w:rPr>
          <w:rFonts w:ascii="Garamond" w:hAnsi="Garamond"/>
        </w:rPr>
        <w:t>strengths and how might we develop those</w:t>
      </w:r>
      <w:r w:rsidR="00F66CFF" w:rsidRPr="00381F61">
        <w:rPr>
          <w:rFonts w:ascii="Garamond" w:hAnsi="Garamond"/>
        </w:rPr>
        <w:t xml:space="preserve"> </w:t>
      </w:r>
      <w:r w:rsidR="000525A2" w:rsidRPr="00381F61">
        <w:rPr>
          <w:rFonts w:ascii="Garamond" w:hAnsi="Garamond"/>
        </w:rPr>
        <w:t>by reducing barriers and thereby</w:t>
      </w:r>
      <w:r w:rsidR="00F66CFF" w:rsidRPr="00381F61">
        <w:rPr>
          <w:rFonts w:ascii="Garamond" w:hAnsi="Garamond"/>
        </w:rPr>
        <w:t xml:space="preserve"> encourage them to emerge</w:t>
      </w:r>
      <w:r w:rsidRPr="00381F61">
        <w:rPr>
          <w:rFonts w:ascii="Garamond" w:hAnsi="Garamond"/>
        </w:rPr>
        <w:t>?</w:t>
      </w:r>
    </w:p>
    <w:p w14:paraId="69A662F4" w14:textId="77777777" w:rsidR="00A42E25" w:rsidRPr="00381F61" w:rsidRDefault="00A42E25" w:rsidP="004B7169">
      <w:pPr>
        <w:ind w:left="709" w:hanging="414"/>
        <w:jc w:val="both"/>
        <w:rPr>
          <w:rFonts w:ascii="Garamond" w:hAnsi="Garamond"/>
        </w:rPr>
      </w:pPr>
    </w:p>
    <w:p w14:paraId="61D78219" w14:textId="0786C59B" w:rsidR="0011779C" w:rsidRPr="00381F61" w:rsidRDefault="0011779C" w:rsidP="004B7169">
      <w:pPr>
        <w:pStyle w:val="ListParagraph"/>
        <w:numPr>
          <w:ilvl w:val="0"/>
          <w:numId w:val="16"/>
        </w:numPr>
        <w:ind w:left="709" w:hanging="414"/>
        <w:jc w:val="both"/>
        <w:rPr>
          <w:rFonts w:ascii="Garamond" w:hAnsi="Garamond"/>
        </w:rPr>
      </w:pPr>
      <w:r w:rsidRPr="00381F61">
        <w:rPr>
          <w:rFonts w:ascii="Garamond" w:hAnsi="Garamond"/>
        </w:rPr>
        <w:t>How can we better understand New Zealand’s limits to growth, including, specifically, the productivity conundrum?</w:t>
      </w:r>
    </w:p>
    <w:p w14:paraId="0D922647" w14:textId="77777777" w:rsidR="00A42E25" w:rsidRPr="00381F61" w:rsidRDefault="00A42E25" w:rsidP="004B7169">
      <w:pPr>
        <w:ind w:left="709" w:hanging="414"/>
        <w:jc w:val="both"/>
        <w:rPr>
          <w:rFonts w:ascii="Garamond" w:hAnsi="Garamond"/>
        </w:rPr>
      </w:pPr>
    </w:p>
    <w:p w14:paraId="0F26DA22" w14:textId="63DE0D3D" w:rsidR="00B035CA" w:rsidRPr="00381F61" w:rsidRDefault="00B035CA" w:rsidP="004B7169">
      <w:pPr>
        <w:pStyle w:val="ListParagraph"/>
        <w:numPr>
          <w:ilvl w:val="0"/>
          <w:numId w:val="16"/>
        </w:numPr>
        <w:ind w:left="709" w:hanging="414"/>
        <w:jc w:val="both"/>
        <w:rPr>
          <w:rFonts w:ascii="Garamond" w:hAnsi="Garamond"/>
        </w:rPr>
      </w:pPr>
      <w:r w:rsidRPr="00381F61">
        <w:rPr>
          <w:rFonts w:ascii="Garamond" w:hAnsi="Garamond"/>
        </w:rPr>
        <w:t>What are the key risks to New Zealand’s economic future and how might we mitigate those?</w:t>
      </w:r>
    </w:p>
    <w:p w14:paraId="0FF69D43" w14:textId="77777777" w:rsidR="00A42E25" w:rsidRPr="00381F61" w:rsidRDefault="00A42E25" w:rsidP="004B7169">
      <w:pPr>
        <w:ind w:left="709" w:hanging="414"/>
        <w:jc w:val="both"/>
        <w:rPr>
          <w:rFonts w:ascii="Garamond" w:hAnsi="Garamond"/>
        </w:rPr>
      </w:pPr>
    </w:p>
    <w:p w14:paraId="2D67C9FC" w14:textId="6D0E353E" w:rsidR="00B035CA" w:rsidRPr="00381F61" w:rsidRDefault="00874F4E" w:rsidP="00E71CEB">
      <w:pPr>
        <w:pStyle w:val="ListParagraph"/>
        <w:numPr>
          <w:ilvl w:val="0"/>
          <w:numId w:val="16"/>
        </w:numPr>
        <w:ind w:left="709" w:hanging="414"/>
        <w:jc w:val="both"/>
        <w:rPr>
          <w:rFonts w:ascii="Garamond" w:hAnsi="Garamond"/>
        </w:rPr>
      </w:pPr>
      <w:r w:rsidRPr="00381F61">
        <w:rPr>
          <w:rFonts w:ascii="Garamond" w:hAnsi="Garamond"/>
        </w:rPr>
        <w:t>What specifically is the government’s capacity to in</w:t>
      </w:r>
      <w:r w:rsidR="00B77453" w:rsidRPr="00381F61">
        <w:rPr>
          <w:rFonts w:ascii="Garamond" w:hAnsi="Garamond"/>
        </w:rPr>
        <w:t>fluence these issues positively and what do the answers to that mean for New Zealand’s regulatory environment?</w:t>
      </w:r>
    </w:p>
    <w:p w14:paraId="69CE0D02" w14:textId="77777777" w:rsidR="00F66CFF" w:rsidRPr="00381F61" w:rsidRDefault="00F66CFF" w:rsidP="00891E0F">
      <w:pPr>
        <w:pStyle w:val="ListParagraph"/>
        <w:rPr>
          <w:rFonts w:ascii="Garamond" w:hAnsi="Garamond"/>
        </w:rPr>
      </w:pPr>
    </w:p>
    <w:p w14:paraId="551D8D99" w14:textId="3FCD14DC" w:rsidR="00F66CFF" w:rsidRPr="00381F61" w:rsidRDefault="00F66CFF">
      <w:pPr>
        <w:pStyle w:val="ListParagraph"/>
        <w:numPr>
          <w:ilvl w:val="0"/>
          <w:numId w:val="16"/>
        </w:numPr>
        <w:ind w:left="709" w:hanging="414"/>
        <w:jc w:val="both"/>
        <w:rPr>
          <w:rFonts w:ascii="Garamond" w:hAnsi="Garamond"/>
        </w:rPr>
      </w:pPr>
      <w:r w:rsidRPr="00381F61">
        <w:rPr>
          <w:rFonts w:ascii="Garamond" w:hAnsi="Garamond"/>
        </w:rPr>
        <w:t>How can we make investments that lead to greater economic growth or reduced risk or lower growth?</w:t>
      </w:r>
    </w:p>
    <w:p w14:paraId="48319075" w14:textId="77777777" w:rsidR="00940F3F" w:rsidRPr="00381F61" w:rsidRDefault="00940F3F" w:rsidP="00701CA1">
      <w:pPr>
        <w:pStyle w:val="ListParagraph"/>
        <w:rPr>
          <w:rFonts w:ascii="Garamond" w:hAnsi="Garamond"/>
        </w:rPr>
      </w:pPr>
    </w:p>
    <w:p w14:paraId="0E7C0DFE" w14:textId="356047BA" w:rsidR="00940F3F" w:rsidRPr="00381F61" w:rsidRDefault="00940F3F" w:rsidP="00701CA1">
      <w:pPr>
        <w:jc w:val="both"/>
        <w:rPr>
          <w:rFonts w:ascii="Garamond" w:hAnsi="Garamond"/>
        </w:rPr>
      </w:pPr>
      <w:r w:rsidRPr="00381F61">
        <w:rPr>
          <w:rFonts w:ascii="Garamond" w:hAnsi="Garamond"/>
        </w:rPr>
        <w:t xml:space="preserve">There was no mention in the Terms of Reference for the Retirement Commissioner’s 2019 Review of the </w:t>
      </w:r>
      <w:r w:rsidR="000A127B" w:rsidRPr="00381F61">
        <w:rPr>
          <w:rFonts w:ascii="Garamond" w:hAnsi="Garamond"/>
        </w:rPr>
        <w:t>big-picture</w:t>
      </w:r>
      <w:r w:rsidRPr="00381F61">
        <w:rPr>
          <w:rFonts w:ascii="Garamond" w:hAnsi="Garamond"/>
        </w:rPr>
        <w:t xml:space="preserve"> issues associated with New Zealand’s economic future.  As we have said, growing the economy is the first priority in preparing for an ageing population.  A bigger pie means there is more to share amongst everyone, including the old.  Improving productivity is also important as the proportion of ‘workers’ shrinks.</w:t>
      </w:r>
    </w:p>
    <w:p w14:paraId="11753CDF" w14:textId="77777777" w:rsidR="00662083" w:rsidRPr="00381F61" w:rsidRDefault="00662083">
      <w:pPr>
        <w:rPr>
          <w:rFonts w:ascii="Garamond" w:hAnsi="Garamond"/>
          <w:b/>
        </w:rPr>
      </w:pPr>
      <w:r w:rsidRPr="00381F61">
        <w:rPr>
          <w:rFonts w:ascii="Garamond" w:hAnsi="Garamond"/>
          <w:b/>
        </w:rPr>
        <w:br w:type="page"/>
      </w:r>
    </w:p>
    <w:p w14:paraId="2A87137A" w14:textId="79ECEE0C" w:rsidR="00A97583" w:rsidRPr="00381F61" w:rsidRDefault="00F519BC" w:rsidP="00E71CEB">
      <w:pPr>
        <w:jc w:val="both"/>
        <w:rPr>
          <w:rFonts w:ascii="Garamond" w:hAnsi="Garamond"/>
          <w:b/>
        </w:rPr>
      </w:pPr>
      <w:r w:rsidRPr="00381F61">
        <w:rPr>
          <w:rFonts w:ascii="Garamond" w:hAnsi="Garamond"/>
          <w:b/>
        </w:rPr>
        <w:lastRenderedPageBreak/>
        <w:t>3</w:t>
      </w:r>
      <w:r w:rsidR="00EA11A3" w:rsidRPr="00381F61">
        <w:rPr>
          <w:rFonts w:ascii="Garamond" w:hAnsi="Garamond"/>
          <w:b/>
        </w:rPr>
        <w:t>.</w:t>
      </w:r>
      <w:r w:rsidR="00EA11A3" w:rsidRPr="00381F61">
        <w:rPr>
          <w:rFonts w:ascii="Garamond" w:hAnsi="Garamond"/>
          <w:b/>
        </w:rPr>
        <w:tab/>
      </w:r>
      <w:r w:rsidR="00040837" w:rsidRPr="00381F61">
        <w:rPr>
          <w:rFonts w:ascii="Garamond" w:hAnsi="Garamond"/>
          <w:b/>
        </w:rPr>
        <w:t>On claims against the economy both public and private</w:t>
      </w:r>
      <w:r w:rsidR="00AF440B" w:rsidRPr="00381F61">
        <w:rPr>
          <w:rStyle w:val="FootnoteReference"/>
          <w:rFonts w:ascii="Garamond" w:hAnsi="Garamond"/>
          <w:b/>
        </w:rPr>
        <w:footnoteReference w:id="15"/>
      </w:r>
    </w:p>
    <w:p w14:paraId="30C038DD" w14:textId="77777777" w:rsidR="005C769E" w:rsidRPr="00381F61" w:rsidRDefault="005C769E" w:rsidP="00E71CEB">
      <w:pPr>
        <w:jc w:val="both"/>
        <w:rPr>
          <w:rFonts w:ascii="Garamond" w:hAnsi="Garamond"/>
          <w:b/>
        </w:rPr>
      </w:pPr>
    </w:p>
    <w:p w14:paraId="44BEF9F9" w14:textId="19E9D3F7" w:rsidR="005C769E" w:rsidRPr="00381F61" w:rsidRDefault="005C769E" w:rsidP="00E71CEB">
      <w:pPr>
        <w:jc w:val="both"/>
        <w:rPr>
          <w:rFonts w:ascii="Garamond" w:hAnsi="Garamond"/>
        </w:rPr>
      </w:pPr>
      <w:r w:rsidRPr="00381F61">
        <w:rPr>
          <w:rFonts w:ascii="Garamond" w:hAnsi="Garamond"/>
        </w:rPr>
        <w:t>It</w:t>
      </w:r>
      <w:r w:rsidR="00644503" w:rsidRPr="00381F61">
        <w:rPr>
          <w:rFonts w:ascii="Garamond" w:hAnsi="Garamond"/>
        </w:rPr>
        <w:t xml:space="preserve"> is relatively easy to see that </w:t>
      </w:r>
      <w:r w:rsidRPr="00381F61">
        <w:rPr>
          <w:rFonts w:ascii="Garamond" w:hAnsi="Garamond"/>
        </w:rPr>
        <w:t>public pensions</w:t>
      </w:r>
      <w:r w:rsidR="00644503" w:rsidRPr="00381F61">
        <w:rPr>
          <w:rFonts w:ascii="Garamond" w:hAnsi="Garamond"/>
        </w:rPr>
        <w:t>, like those paid to New Zealanders over age 65,</w:t>
      </w:r>
      <w:r w:rsidRPr="00381F61">
        <w:rPr>
          <w:rFonts w:ascii="Garamond" w:hAnsi="Garamond"/>
        </w:rPr>
        <w:t xml:space="preserve"> are claims on the </w:t>
      </w:r>
      <w:r w:rsidR="003313A0" w:rsidRPr="00381F61">
        <w:rPr>
          <w:rFonts w:ascii="Garamond" w:hAnsi="Garamond"/>
        </w:rPr>
        <w:t xml:space="preserve">contemporary </w:t>
      </w:r>
      <w:r w:rsidRPr="00381F61">
        <w:rPr>
          <w:rFonts w:ascii="Garamond" w:hAnsi="Garamond"/>
        </w:rPr>
        <w:t>economy, especially if they are financed on a ‘pay-as-you-go’ (PAYG) basis.  A government’s capacity to pay those pensions depends on its ability to collect tax and redistribute that to the qualifying old.  Economic output is directly connected to a country’s capacity to support the old: the stronger the economy, the greater that capacity.</w:t>
      </w:r>
    </w:p>
    <w:p w14:paraId="6D888CB6" w14:textId="77777777" w:rsidR="005C769E" w:rsidRPr="00381F61" w:rsidRDefault="005C769E" w:rsidP="00E71CEB">
      <w:pPr>
        <w:jc w:val="both"/>
        <w:rPr>
          <w:rFonts w:ascii="Garamond" w:hAnsi="Garamond"/>
        </w:rPr>
      </w:pPr>
    </w:p>
    <w:p w14:paraId="2A8B185B" w14:textId="619EB7DA" w:rsidR="005C769E" w:rsidRPr="00381F61" w:rsidRDefault="005C769E" w:rsidP="00E71CEB">
      <w:pPr>
        <w:jc w:val="both"/>
        <w:rPr>
          <w:rFonts w:ascii="Garamond" w:hAnsi="Garamond"/>
        </w:rPr>
      </w:pPr>
      <w:r w:rsidRPr="00381F61">
        <w:rPr>
          <w:rFonts w:ascii="Garamond" w:hAnsi="Garamond"/>
        </w:rPr>
        <w:t>The connection is indirect but just as evident with private provision.  Saving for retirement involves setting aside money during the accumulation period.  That is invested in the economy</w:t>
      </w:r>
      <w:r w:rsidR="007A3D79" w:rsidRPr="00381F61">
        <w:rPr>
          <w:rFonts w:ascii="Garamond" w:hAnsi="Garamond"/>
        </w:rPr>
        <w:t xml:space="preserve"> and makes claims against the economy each year</w:t>
      </w:r>
      <w:r w:rsidRPr="00381F61">
        <w:rPr>
          <w:rFonts w:ascii="Garamond" w:hAnsi="Garamond"/>
        </w:rPr>
        <w:t xml:space="preserve">; returns are added and </w:t>
      </w:r>
      <w:r w:rsidR="00EC1ED0" w:rsidRPr="00381F61">
        <w:rPr>
          <w:rFonts w:ascii="Garamond" w:hAnsi="Garamond"/>
        </w:rPr>
        <w:t xml:space="preserve">may </w:t>
      </w:r>
      <w:r w:rsidRPr="00381F61">
        <w:rPr>
          <w:rFonts w:ascii="Garamond" w:hAnsi="Garamond"/>
        </w:rPr>
        <w:t>again</w:t>
      </w:r>
      <w:r w:rsidR="00EC1ED0" w:rsidRPr="00381F61">
        <w:rPr>
          <w:rFonts w:ascii="Garamond" w:hAnsi="Garamond"/>
        </w:rPr>
        <w:t xml:space="preserve"> be</w:t>
      </w:r>
      <w:r w:rsidRPr="00381F61">
        <w:rPr>
          <w:rFonts w:ascii="Garamond" w:hAnsi="Garamond"/>
        </w:rPr>
        <w:t xml:space="preserve"> set aside.  At retirement, the collection of economic claims (savings) is converted to cash to support the retiree’s income needs.  Selling those investments requires a buyer who will pay a price that is related to the</w:t>
      </w:r>
      <w:r w:rsidR="000525A2" w:rsidRPr="00381F61">
        <w:rPr>
          <w:rFonts w:ascii="Garamond" w:hAnsi="Garamond"/>
        </w:rPr>
        <w:t xml:space="preserve"> perceived</w:t>
      </w:r>
      <w:r w:rsidRPr="00381F61">
        <w:rPr>
          <w:rFonts w:ascii="Garamond" w:hAnsi="Garamond"/>
        </w:rPr>
        <w:t xml:space="preserve"> value of those claims.  Again, there is a deep connection between that value and the strength of the economy at the time they are converted to pay for loaves of bread, milk and the other things that pensioners need.</w:t>
      </w:r>
    </w:p>
    <w:p w14:paraId="353226D0" w14:textId="77777777" w:rsidR="005C769E" w:rsidRPr="00381F61" w:rsidRDefault="005C769E" w:rsidP="00E71CEB">
      <w:pPr>
        <w:jc w:val="both"/>
        <w:rPr>
          <w:rFonts w:ascii="Garamond" w:hAnsi="Garamond"/>
        </w:rPr>
      </w:pPr>
    </w:p>
    <w:p w14:paraId="6007C58A" w14:textId="1A10B3CB" w:rsidR="005C769E" w:rsidRPr="00381F61" w:rsidRDefault="005C769E" w:rsidP="00E71CEB">
      <w:pPr>
        <w:jc w:val="both"/>
        <w:rPr>
          <w:rFonts w:ascii="Garamond" w:hAnsi="Garamond"/>
        </w:rPr>
      </w:pPr>
      <w:r w:rsidRPr="00381F61">
        <w:rPr>
          <w:rFonts w:ascii="Garamond" w:hAnsi="Garamond"/>
        </w:rPr>
        <w:t>There is no significant economic difference between public and private provision</w:t>
      </w:r>
      <w:r w:rsidR="00B035CA" w:rsidRPr="00381F61">
        <w:rPr>
          <w:rFonts w:ascii="Garamond" w:hAnsi="Garamond"/>
        </w:rPr>
        <w:t xml:space="preserve"> for retirement</w:t>
      </w:r>
      <w:r w:rsidRPr="00381F61">
        <w:rPr>
          <w:rFonts w:ascii="Garamond" w:hAnsi="Garamond"/>
        </w:rPr>
        <w:t xml:space="preserve">.  For today’s retirees, both types entail claims against today’s economic output to support </w:t>
      </w:r>
      <w:r w:rsidR="00EC1ED0" w:rsidRPr="00381F61">
        <w:rPr>
          <w:rFonts w:ascii="Garamond" w:hAnsi="Garamond"/>
        </w:rPr>
        <w:t xml:space="preserve">today’s </w:t>
      </w:r>
      <w:r w:rsidRPr="00381F61">
        <w:rPr>
          <w:rFonts w:ascii="Garamond" w:hAnsi="Garamond"/>
        </w:rPr>
        <w:t>consumption by today’s pensioners.  The overall ‘affordability’ of any retirement income system is therefore directly related to the strength of the country’s economy at the point of payment.  For today’s pensioners, that means now; for pensioners in 20</w:t>
      </w:r>
      <w:r w:rsidR="00CF7749" w:rsidRPr="00381F61">
        <w:rPr>
          <w:rFonts w:ascii="Garamond" w:hAnsi="Garamond"/>
        </w:rPr>
        <w:t>6</w:t>
      </w:r>
      <w:r w:rsidRPr="00381F61">
        <w:rPr>
          <w:rFonts w:ascii="Garamond" w:hAnsi="Garamond"/>
        </w:rPr>
        <w:t>0, it means the strength of the 20</w:t>
      </w:r>
      <w:r w:rsidR="00CF7749" w:rsidRPr="00381F61">
        <w:rPr>
          <w:rFonts w:ascii="Garamond" w:hAnsi="Garamond"/>
        </w:rPr>
        <w:t>6</w:t>
      </w:r>
      <w:r w:rsidRPr="00381F61">
        <w:rPr>
          <w:rFonts w:ascii="Garamond" w:hAnsi="Garamond"/>
        </w:rPr>
        <w:t>0 economy.</w:t>
      </w:r>
    </w:p>
    <w:p w14:paraId="25322004" w14:textId="77777777" w:rsidR="005C769E" w:rsidRPr="00381F61" w:rsidRDefault="005C769E" w:rsidP="00E71CEB">
      <w:pPr>
        <w:jc w:val="both"/>
        <w:rPr>
          <w:rFonts w:ascii="Garamond" w:hAnsi="Garamond"/>
        </w:rPr>
      </w:pPr>
    </w:p>
    <w:p w14:paraId="0F030DFA" w14:textId="0DCE435F" w:rsidR="005C769E" w:rsidRPr="00381F61" w:rsidRDefault="005C769E" w:rsidP="00E71CEB">
      <w:pPr>
        <w:jc w:val="both"/>
        <w:rPr>
          <w:rFonts w:ascii="Garamond" w:hAnsi="Garamond"/>
        </w:rPr>
      </w:pPr>
      <w:r w:rsidRPr="00381F61">
        <w:rPr>
          <w:rFonts w:ascii="Garamond" w:hAnsi="Garamond"/>
        </w:rPr>
        <w:t>The total size of retirees’ entitlements</w:t>
      </w:r>
      <w:r w:rsidR="00EC1ED0" w:rsidRPr="00381F61">
        <w:rPr>
          <w:rFonts w:ascii="Garamond" w:hAnsi="Garamond"/>
        </w:rPr>
        <w:t>, public and private,</w:t>
      </w:r>
      <w:r w:rsidRPr="00381F61">
        <w:rPr>
          <w:rFonts w:ascii="Garamond" w:hAnsi="Garamond"/>
        </w:rPr>
        <w:t xml:space="preserve"> represents output that must be effectively delivered to them by workers and other producers of the day.  Whether through redistribution (PAYG pension) or by converting financial savings, pensioners must </w:t>
      </w:r>
      <w:r w:rsidR="0004275D" w:rsidRPr="00381F61">
        <w:rPr>
          <w:rFonts w:ascii="Garamond" w:hAnsi="Garamond"/>
        </w:rPr>
        <w:t>get</w:t>
      </w:r>
      <w:r w:rsidRPr="00381F61">
        <w:rPr>
          <w:rFonts w:ascii="Garamond" w:hAnsi="Garamond"/>
        </w:rPr>
        <w:t xml:space="preserve"> money in</w:t>
      </w:r>
      <w:r w:rsidR="00615FC2" w:rsidRPr="00381F61">
        <w:rPr>
          <w:rFonts w:ascii="Garamond" w:hAnsi="Garamond"/>
        </w:rPr>
        <w:t>to</w:t>
      </w:r>
      <w:r w:rsidRPr="00381F61">
        <w:rPr>
          <w:rFonts w:ascii="Garamond" w:hAnsi="Garamond"/>
        </w:rPr>
        <w:t xml:space="preserve"> their bank accounts to meet their living expenses.</w:t>
      </w:r>
    </w:p>
    <w:p w14:paraId="033BDF1B" w14:textId="77777777" w:rsidR="005C769E" w:rsidRPr="00381F61" w:rsidRDefault="005C769E" w:rsidP="00E71CEB">
      <w:pPr>
        <w:jc w:val="both"/>
        <w:rPr>
          <w:rFonts w:ascii="Garamond" w:hAnsi="Garamond"/>
        </w:rPr>
      </w:pPr>
    </w:p>
    <w:p w14:paraId="2AEAB386" w14:textId="3CFB5812" w:rsidR="005C769E" w:rsidRPr="00381F61" w:rsidRDefault="005C769E" w:rsidP="00E71CEB">
      <w:pPr>
        <w:jc w:val="both"/>
        <w:rPr>
          <w:rFonts w:ascii="Garamond" w:hAnsi="Garamond"/>
        </w:rPr>
      </w:pPr>
      <w:r w:rsidRPr="00381F61">
        <w:rPr>
          <w:rFonts w:ascii="Garamond" w:hAnsi="Garamond"/>
        </w:rPr>
        <w:t xml:space="preserve">The economy has ways to adjust the real value of claims that taxpayers (public pensions) or citizens (‘private’ claims) expect to receive if those claims are deemed ‘excessive’.  For example, the real value of ‘private’ claims can be adjusted downwards by unexpected inflation or </w:t>
      </w:r>
      <w:r w:rsidR="0004275D" w:rsidRPr="00381F61">
        <w:rPr>
          <w:rFonts w:ascii="Garamond" w:hAnsi="Garamond"/>
        </w:rPr>
        <w:t xml:space="preserve">structural </w:t>
      </w:r>
      <w:r w:rsidRPr="00381F61">
        <w:rPr>
          <w:rFonts w:ascii="Garamond" w:hAnsi="Garamond"/>
        </w:rPr>
        <w:t>falls in the value of investments.  ‘Public’ claims can be reduced by changes to the pension rules.  Again, those adjustments occur in the contemporary economy, regardless of the way the claims have been accumulated or are accounted for.  In that regard, private claims are no more secure than public claims</w:t>
      </w:r>
      <w:r w:rsidR="0004275D" w:rsidRPr="00381F61">
        <w:rPr>
          <w:rFonts w:ascii="Garamond" w:hAnsi="Garamond"/>
        </w:rPr>
        <w:t xml:space="preserve">, </w:t>
      </w:r>
      <w:r w:rsidR="00615FC2" w:rsidRPr="00381F61">
        <w:rPr>
          <w:rFonts w:ascii="Garamond" w:hAnsi="Garamond"/>
        </w:rPr>
        <w:t xml:space="preserve">even </w:t>
      </w:r>
      <w:r w:rsidR="0004275D" w:rsidRPr="00381F61">
        <w:rPr>
          <w:rFonts w:ascii="Garamond" w:hAnsi="Garamond"/>
        </w:rPr>
        <w:t xml:space="preserve">though some people </w:t>
      </w:r>
      <w:r w:rsidR="00615FC2" w:rsidRPr="00381F61">
        <w:rPr>
          <w:rFonts w:ascii="Garamond" w:hAnsi="Garamond"/>
        </w:rPr>
        <w:t>might</w:t>
      </w:r>
      <w:r w:rsidR="0004275D" w:rsidRPr="00381F61">
        <w:rPr>
          <w:rFonts w:ascii="Garamond" w:hAnsi="Garamond"/>
        </w:rPr>
        <w:t xml:space="preserve"> have a preference for one over the other</w:t>
      </w:r>
      <w:r w:rsidRPr="00381F61">
        <w:rPr>
          <w:rFonts w:ascii="Garamond" w:hAnsi="Garamond"/>
        </w:rPr>
        <w:t>.</w:t>
      </w:r>
    </w:p>
    <w:p w14:paraId="08F5F5AD" w14:textId="77777777" w:rsidR="005C769E" w:rsidRPr="00381F61" w:rsidRDefault="005C769E" w:rsidP="00E71CEB">
      <w:pPr>
        <w:jc w:val="both"/>
        <w:rPr>
          <w:rFonts w:ascii="Garamond" w:hAnsi="Garamond"/>
        </w:rPr>
      </w:pPr>
    </w:p>
    <w:p w14:paraId="5EDE97BB" w14:textId="09923514" w:rsidR="005C769E" w:rsidRPr="00381F61" w:rsidRDefault="005C769E" w:rsidP="00E71CEB">
      <w:pPr>
        <w:jc w:val="both"/>
        <w:rPr>
          <w:rFonts w:ascii="Garamond" w:hAnsi="Garamond"/>
        </w:rPr>
      </w:pPr>
      <w:r w:rsidRPr="00381F61">
        <w:rPr>
          <w:rFonts w:ascii="Garamond" w:hAnsi="Garamond"/>
        </w:rPr>
        <w:t>Healthcare costs are also claims on the economy and both public and private costs are expecte</w:t>
      </w:r>
      <w:r w:rsidR="00EC1ED0" w:rsidRPr="00381F61">
        <w:rPr>
          <w:rFonts w:ascii="Garamond" w:hAnsi="Garamond"/>
        </w:rPr>
        <w:t>d to increase</w:t>
      </w:r>
      <w:r w:rsidRPr="00381F61">
        <w:rPr>
          <w:rFonts w:ascii="Garamond" w:hAnsi="Garamond"/>
        </w:rPr>
        <w:t xml:space="preserve"> with ageing populations.</w:t>
      </w:r>
    </w:p>
    <w:p w14:paraId="1C6FCF61" w14:textId="77777777" w:rsidR="005C769E" w:rsidRPr="00381F61" w:rsidRDefault="005C769E" w:rsidP="00E71CEB">
      <w:pPr>
        <w:jc w:val="both"/>
        <w:rPr>
          <w:rFonts w:ascii="Garamond" w:hAnsi="Garamond"/>
        </w:rPr>
      </w:pPr>
    </w:p>
    <w:p w14:paraId="08738C0A" w14:textId="788BCA97" w:rsidR="005C769E" w:rsidRPr="00381F61" w:rsidRDefault="005C769E" w:rsidP="00E71CEB">
      <w:pPr>
        <w:jc w:val="both"/>
        <w:rPr>
          <w:rFonts w:ascii="Garamond" w:hAnsi="Garamond"/>
        </w:rPr>
      </w:pPr>
      <w:r w:rsidRPr="00381F61">
        <w:rPr>
          <w:rFonts w:ascii="Garamond" w:hAnsi="Garamond"/>
        </w:rPr>
        <w:t>A government must balance the competing</w:t>
      </w:r>
      <w:r w:rsidR="00A40087" w:rsidRPr="00381F61">
        <w:rPr>
          <w:rFonts w:ascii="Garamond" w:hAnsi="Garamond"/>
        </w:rPr>
        <w:t xml:space="preserve">, </w:t>
      </w:r>
      <w:r w:rsidR="00A40087" w:rsidRPr="00381F61">
        <w:rPr>
          <w:rFonts w:ascii="Garamond" w:hAnsi="Garamond"/>
          <w:i/>
        </w:rPr>
        <w:t>contemporary</w:t>
      </w:r>
      <w:r w:rsidRPr="00381F61">
        <w:rPr>
          <w:rFonts w:ascii="Garamond" w:hAnsi="Garamond"/>
        </w:rPr>
        <w:t xml:space="preserve"> claims of the young, workers, the old and claims for all the other things governments do such as policing, defence, </w:t>
      </w:r>
      <w:r w:rsidR="007A3D79" w:rsidRPr="00381F61">
        <w:rPr>
          <w:rFonts w:ascii="Garamond" w:hAnsi="Garamond"/>
        </w:rPr>
        <w:t xml:space="preserve">education, </w:t>
      </w:r>
      <w:r w:rsidRPr="00381F61">
        <w:rPr>
          <w:rFonts w:ascii="Garamond" w:hAnsi="Garamond"/>
        </w:rPr>
        <w:t>infrastructure-development etc.  With a stronger economy, more is possible in all these areas.</w:t>
      </w:r>
    </w:p>
    <w:p w14:paraId="53D02044" w14:textId="77777777" w:rsidR="005C769E" w:rsidRPr="00381F61" w:rsidRDefault="005C769E" w:rsidP="00E71CEB">
      <w:pPr>
        <w:jc w:val="both"/>
        <w:rPr>
          <w:rFonts w:ascii="Garamond" w:hAnsi="Garamond"/>
        </w:rPr>
      </w:pPr>
    </w:p>
    <w:p w14:paraId="7272B93A" w14:textId="116E8C19" w:rsidR="005C769E" w:rsidRPr="00381F61" w:rsidRDefault="005C769E" w:rsidP="00E71CEB">
      <w:pPr>
        <w:jc w:val="both"/>
        <w:rPr>
          <w:rFonts w:ascii="Garamond" w:hAnsi="Garamond"/>
        </w:rPr>
      </w:pPr>
      <w:r w:rsidRPr="00381F61">
        <w:rPr>
          <w:rFonts w:ascii="Garamond" w:hAnsi="Garamond"/>
        </w:rPr>
        <w:t xml:space="preserve">It may seem that an individual saver can defer consumption (by saving) and so ‘store up’ claims against tomorrow’s economic output.  But what actually happens is that the saver converts the possibility of consumption today into a different form of claim on today’s economy (a bank account, retirement saving account, a listed share or </w:t>
      </w:r>
      <w:r w:rsidR="00615FC2" w:rsidRPr="00381F61">
        <w:rPr>
          <w:rFonts w:ascii="Garamond" w:hAnsi="Garamond"/>
        </w:rPr>
        <w:t xml:space="preserve">a </w:t>
      </w:r>
      <w:r w:rsidRPr="00381F61">
        <w:rPr>
          <w:rFonts w:ascii="Garamond" w:hAnsi="Garamond"/>
        </w:rPr>
        <w:t xml:space="preserve">bond).  Whether that new claim can be </w:t>
      </w:r>
      <w:r w:rsidRPr="00381F61">
        <w:rPr>
          <w:rFonts w:ascii="Garamond" w:hAnsi="Garamond"/>
        </w:rPr>
        <w:lastRenderedPageBreak/>
        <w:t xml:space="preserve">realised to support the saver’s lifestyle in retirement depends on the strength of the economy in each year up to and in retirement (and standard supply/demand pressures). </w:t>
      </w:r>
    </w:p>
    <w:p w14:paraId="3638CED2" w14:textId="77777777" w:rsidR="005C769E" w:rsidRPr="00381F61" w:rsidRDefault="005C769E" w:rsidP="00E71CEB">
      <w:pPr>
        <w:jc w:val="both"/>
        <w:rPr>
          <w:rFonts w:ascii="Garamond" w:hAnsi="Garamond"/>
        </w:rPr>
      </w:pPr>
    </w:p>
    <w:p w14:paraId="595248C8" w14:textId="2DAD1E33" w:rsidR="005C769E" w:rsidRPr="00381F61" w:rsidRDefault="005C769E" w:rsidP="00E71CEB">
      <w:pPr>
        <w:jc w:val="both"/>
        <w:rPr>
          <w:rFonts w:ascii="Garamond" w:hAnsi="Garamond"/>
        </w:rPr>
      </w:pPr>
      <w:r w:rsidRPr="00381F61">
        <w:rPr>
          <w:rFonts w:ascii="Garamond" w:hAnsi="Garamond"/>
        </w:rPr>
        <w:t>Whole countries cannot defer consumption by ‘saving’ for their citizens’ future retirement</w:t>
      </w:r>
      <w:r w:rsidRPr="00381F61">
        <w:rPr>
          <w:rStyle w:val="FootnoteReference"/>
          <w:rFonts w:ascii="Garamond" w:hAnsi="Garamond"/>
        </w:rPr>
        <w:footnoteReference w:id="16"/>
      </w:r>
      <w:r w:rsidRPr="00381F61">
        <w:rPr>
          <w:rFonts w:ascii="Garamond" w:hAnsi="Garamond"/>
        </w:rPr>
        <w:t xml:space="preserve">.  What they can do is re-arrange economic claims in </w:t>
      </w:r>
      <w:r w:rsidRPr="00381F61">
        <w:rPr>
          <w:rFonts w:ascii="Garamond" w:hAnsi="Garamond"/>
          <w:i/>
        </w:rPr>
        <w:t>today’s</w:t>
      </w:r>
      <w:r w:rsidRPr="00381F61">
        <w:rPr>
          <w:rFonts w:ascii="Garamond" w:hAnsi="Garamond"/>
        </w:rPr>
        <w:t xml:space="preserve"> economy.  And the way those are re-arranged for retirement incomes doesn’t much matter</w:t>
      </w:r>
      <w:r w:rsidR="0004275D" w:rsidRPr="00381F61">
        <w:rPr>
          <w:rFonts w:ascii="Garamond" w:hAnsi="Garamond"/>
        </w:rPr>
        <w:t xml:space="preserve"> at the </w:t>
      </w:r>
      <w:r w:rsidR="00615FC2" w:rsidRPr="00381F61">
        <w:rPr>
          <w:rFonts w:ascii="Garamond" w:hAnsi="Garamond"/>
        </w:rPr>
        <w:t>‘</w:t>
      </w:r>
      <w:r w:rsidR="0004275D" w:rsidRPr="00381F61">
        <w:rPr>
          <w:rFonts w:ascii="Garamond" w:hAnsi="Garamond"/>
        </w:rPr>
        <w:t>macro</w:t>
      </w:r>
      <w:r w:rsidR="00615FC2" w:rsidRPr="00381F61">
        <w:rPr>
          <w:rFonts w:ascii="Garamond" w:hAnsi="Garamond"/>
        </w:rPr>
        <w:t>’</w:t>
      </w:r>
      <w:r w:rsidR="0004275D" w:rsidRPr="00381F61">
        <w:rPr>
          <w:rFonts w:ascii="Garamond" w:hAnsi="Garamond"/>
        </w:rPr>
        <w:t xml:space="preserve"> level</w:t>
      </w:r>
      <w:r w:rsidRPr="00381F61">
        <w:rPr>
          <w:rFonts w:ascii="Garamond" w:hAnsi="Garamond"/>
        </w:rPr>
        <w:t>: whether they are public or private, defined contribution or defined benefit, pension or lump sum, pre-funded or PAYG.  However, what they are ‘re-arranged into’ matters greatly.</w:t>
      </w:r>
    </w:p>
    <w:p w14:paraId="6F9F71F5" w14:textId="77777777" w:rsidR="00560D01" w:rsidRPr="00381F61" w:rsidRDefault="00560D01" w:rsidP="00E71CEB">
      <w:pPr>
        <w:jc w:val="both"/>
        <w:rPr>
          <w:rFonts w:ascii="Garamond" w:hAnsi="Garamond"/>
        </w:rPr>
      </w:pPr>
    </w:p>
    <w:p w14:paraId="3828170C" w14:textId="291CE4B8" w:rsidR="00560D01" w:rsidRPr="00381F61" w:rsidRDefault="00560D01" w:rsidP="00E71CEB">
      <w:pPr>
        <w:jc w:val="both"/>
        <w:rPr>
          <w:rFonts w:ascii="Garamond" w:hAnsi="Garamond"/>
          <w:b/>
        </w:rPr>
      </w:pPr>
      <w:r w:rsidRPr="00381F61">
        <w:rPr>
          <w:rFonts w:ascii="Garamond" w:hAnsi="Garamond"/>
          <w:b/>
        </w:rPr>
        <w:t>Questions New Zealand needs to discuss</w:t>
      </w:r>
      <w:r w:rsidR="00A256AB" w:rsidRPr="00381F61">
        <w:rPr>
          <w:rFonts w:ascii="Garamond" w:hAnsi="Garamond"/>
          <w:b/>
        </w:rPr>
        <w:t xml:space="preserve"> on public vs. private economic claims</w:t>
      </w:r>
      <w:r w:rsidR="0004275D" w:rsidRPr="00381F61">
        <w:rPr>
          <w:rFonts w:ascii="Garamond" w:hAnsi="Garamond"/>
          <w:b/>
        </w:rPr>
        <w:t>:</w:t>
      </w:r>
    </w:p>
    <w:p w14:paraId="7508E6BF" w14:textId="77777777" w:rsidR="00560D01" w:rsidRPr="00381F61" w:rsidRDefault="00560D01" w:rsidP="00E71CEB">
      <w:pPr>
        <w:jc w:val="both"/>
        <w:rPr>
          <w:rFonts w:ascii="Garamond" w:hAnsi="Garamond"/>
          <w:b/>
        </w:rPr>
      </w:pPr>
    </w:p>
    <w:p w14:paraId="34BE2197" w14:textId="1969E7C4" w:rsidR="00560D01" w:rsidRPr="00381F61" w:rsidRDefault="009B12C6" w:rsidP="00E71CEB">
      <w:pPr>
        <w:pStyle w:val="ListParagraph"/>
        <w:numPr>
          <w:ilvl w:val="0"/>
          <w:numId w:val="8"/>
        </w:numPr>
        <w:ind w:left="709" w:hanging="349"/>
        <w:jc w:val="both"/>
        <w:rPr>
          <w:rFonts w:ascii="Garamond" w:hAnsi="Garamond"/>
        </w:rPr>
      </w:pPr>
      <w:r w:rsidRPr="00381F61">
        <w:rPr>
          <w:rFonts w:ascii="Garamond" w:hAnsi="Garamond"/>
        </w:rPr>
        <w:t>Do more savings in accounts like KiwiSaver schemes</w:t>
      </w:r>
      <w:r w:rsidR="00B372BB" w:rsidRPr="00381F61">
        <w:rPr>
          <w:rFonts w:ascii="Garamond" w:hAnsi="Garamond"/>
        </w:rPr>
        <w:t xml:space="preserve"> </w:t>
      </w:r>
      <w:r w:rsidR="00487DE1" w:rsidRPr="00381F61">
        <w:rPr>
          <w:rFonts w:ascii="Garamond" w:hAnsi="Garamond"/>
        </w:rPr>
        <w:t>and</w:t>
      </w:r>
      <w:r w:rsidR="00CC5746" w:rsidRPr="00381F61">
        <w:rPr>
          <w:rFonts w:ascii="Garamond" w:hAnsi="Garamond"/>
        </w:rPr>
        <w:t xml:space="preserve"> the New Zealand Superannuation Fund </w:t>
      </w:r>
      <w:r w:rsidR="00B372BB" w:rsidRPr="00381F61">
        <w:rPr>
          <w:rFonts w:ascii="Garamond" w:hAnsi="Garamond"/>
        </w:rPr>
        <w:t xml:space="preserve">improve New Zealand’s </w:t>
      </w:r>
      <w:r w:rsidR="00874F4E" w:rsidRPr="00381F61">
        <w:rPr>
          <w:rFonts w:ascii="Garamond" w:hAnsi="Garamond"/>
        </w:rPr>
        <w:t xml:space="preserve">(not individuals’) </w:t>
      </w:r>
      <w:r w:rsidR="00B372BB" w:rsidRPr="00381F61">
        <w:rPr>
          <w:rFonts w:ascii="Garamond" w:hAnsi="Garamond"/>
        </w:rPr>
        <w:t>ability to finance the retirements of increasing numbers of older citizens?</w:t>
      </w:r>
    </w:p>
    <w:p w14:paraId="61A67654" w14:textId="77777777" w:rsidR="00A42E25" w:rsidRPr="00381F61" w:rsidRDefault="00A42E25" w:rsidP="00E71CEB">
      <w:pPr>
        <w:pStyle w:val="ListParagraph"/>
        <w:ind w:left="709" w:hanging="349"/>
        <w:jc w:val="both"/>
        <w:rPr>
          <w:rFonts w:ascii="Garamond" w:hAnsi="Garamond"/>
        </w:rPr>
      </w:pPr>
    </w:p>
    <w:p w14:paraId="625EDDAC" w14:textId="3676B28A" w:rsidR="00B372BB" w:rsidRPr="00381F61" w:rsidRDefault="00874F4E" w:rsidP="00E71CEB">
      <w:pPr>
        <w:pStyle w:val="ListParagraph"/>
        <w:numPr>
          <w:ilvl w:val="0"/>
          <w:numId w:val="8"/>
        </w:numPr>
        <w:ind w:left="709" w:hanging="349"/>
        <w:jc w:val="both"/>
        <w:rPr>
          <w:rFonts w:ascii="Garamond" w:hAnsi="Garamond"/>
        </w:rPr>
      </w:pPr>
      <w:r w:rsidRPr="00381F61">
        <w:rPr>
          <w:rFonts w:ascii="Garamond" w:hAnsi="Garamond"/>
        </w:rPr>
        <w:t>What is the international evidence on the economic impact of government-encouraged (or forced) private savings?</w:t>
      </w:r>
    </w:p>
    <w:p w14:paraId="4A1654A6" w14:textId="77777777" w:rsidR="00A42E25" w:rsidRPr="00381F61" w:rsidRDefault="00A42E25" w:rsidP="00E71CEB">
      <w:pPr>
        <w:ind w:left="709" w:hanging="349"/>
        <w:jc w:val="both"/>
        <w:rPr>
          <w:rFonts w:ascii="Garamond" w:hAnsi="Garamond"/>
        </w:rPr>
      </w:pPr>
    </w:p>
    <w:p w14:paraId="10D780D9" w14:textId="71F47C20" w:rsidR="00874F4E" w:rsidRPr="00381F61" w:rsidRDefault="00874F4E" w:rsidP="00E71CEB">
      <w:pPr>
        <w:pStyle w:val="ListParagraph"/>
        <w:numPr>
          <w:ilvl w:val="0"/>
          <w:numId w:val="8"/>
        </w:numPr>
        <w:ind w:left="709" w:hanging="349"/>
        <w:jc w:val="both"/>
        <w:rPr>
          <w:rFonts w:ascii="Garamond" w:hAnsi="Garamond"/>
        </w:rPr>
      </w:pPr>
      <w:r w:rsidRPr="00381F61">
        <w:rPr>
          <w:rFonts w:ascii="Garamond" w:hAnsi="Garamond"/>
        </w:rPr>
        <w:t xml:space="preserve">How do the total claims (private and public) on the economy by </w:t>
      </w:r>
      <w:r w:rsidR="003B7BAB" w:rsidRPr="00381F61">
        <w:rPr>
          <w:rFonts w:ascii="Garamond" w:hAnsi="Garamond"/>
        </w:rPr>
        <w:t xml:space="preserve">older </w:t>
      </w:r>
      <w:r w:rsidRPr="00381F61">
        <w:rPr>
          <w:rFonts w:ascii="Garamond" w:hAnsi="Garamond"/>
        </w:rPr>
        <w:t>New Zealand</w:t>
      </w:r>
      <w:r w:rsidR="003B7BAB" w:rsidRPr="00381F61">
        <w:rPr>
          <w:rFonts w:ascii="Garamond" w:hAnsi="Garamond"/>
        </w:rPr>
        <w:t>ers</w:t>
      </w:r>
      <w:r w:rsidRPr="00381F61">
        <w:rPr>
          <w:rFonts w:ascii="Garamond" w:hAnsi="Garamond"/>
        </w:rPr>
        <w:t xml:space="preserve"> </w:t>
      </w:r>
      <w:r w:rsidR="008B7AA8" w:rsidRPr="00381F61">
        <w:rPr>
          <w:rFonts w:ascii="Garamond" w:hAnsi="Garamond"/>
        </w:rPr>
        <w:t xml:space="preserve">today </w:t>
      </w:r>
      <w:r w:rsidRPr="00381F61">
        <w:rPr>
          <w:rFonts w:ascii="Garamond" w:hAnsi="Garamond"/>
        </w:rPr>
        <w:t>compare with the equivalents in other developed countries?</w:t>
      </w:r>
      <w:r w:rsidR="005F1847" w:rsidRPr="00381F61">
        <w:rPr>
          <w:rStyle w:val="FootnoteReference"/>
          <w:rFonts w:ascii="Garamond" w:hAnsi="Garamond"/>
        </w:rPr>
        <w:footnoteReference w:id="17"/>
      </w:r>
    </w:p>
    <w:p w14:paraId="26288EE7" w14:textId="77777777" w:rsidR="00A42E25" w:rsidRPr="00381F61" w:rsidRDefault="00A42E25" w:rsidP="00E71CEB">
      <w:pPr>
        <w:ind w:left="709" w:hanging="349"/>
        <w:jc w:val="both"/>
        <w:rPr>
          <w:rFonts w:ascii="Garamond" w:hAnsi="Garamond"/>
        </w:rPr>
      </w:pPr>
    </w:p>
    <w:p w14:paraId="1D9F7DF6" w14:textId="0F0FFE77" w:rsidR="00874F4E" w:rsidRPr="00381F61" w:rsidRDefault="00874F4E" w:rsidP="00E71CEB">
      <w:pPr>
        <w:pStyle w:val="ListParagraph"/>
        <w:numPr>
          <w:ilvl w:val="0"/>
          <w:numId w:val="8"/>
        </w:numPr>
        <w:ind w:left="709" w:hanging="349"/>
        <w:jc w:val="both"/>
        <w:rPr>
          <w:rFonts w:ascii="Garamond" w:hAnsi="Garamond"/>
        </w:rPr>
      </w:pPr>
      <w:r w:rsidRPr="00381F61">
        <w:rPr>
          <w:rFonts w:ascii="Garamond" w:hAnsi="Garamond"/>
        </w:rPr>
        <w:t>What are the expected trends in total claims (private and public)</w:t>
      </w:r>
      <w:r w:rsidR="008B7AA8" w:rsidRPr="00381F61">
        <w:rPr>
          <w:rFonts w:ascii="Garamond" w:hAnsi="Garamond"/>
        </w:rPr>
        <w:t xml:space="preserve"> in New Zealand over the coming, say, 40 years?</w:t>
      </w:r>
    </w:p>
    <w:p w14:paraId="6B3A84B0" w14:textId="77777777" w:rsidR="00A42E25" w:rsidRPr="00381F61" w:rsidRDefault="00A42E25" w:rsidP="00E71CEB">
      <w:pPr>
        <w:ind w:left="709" w:hanging="349"/>
        <w:jc w:val="both"/>
        <w:rPr>
          <w:rFonts w:ascii="Garamond" w:hAnsi="Garamond"/>
        </w:rPr>
      </w:pPr>
    </w:p>
    <w:p w14:paraId="4326442D" w14:textId="6DCC74C0" w:rsidR="008B7AA8" w:rsidRPr="00381F61" w:rsidRDefault="008B7AA8" w:rsidP="00E71CEB">
      <w:pPr>
        <w:pStyle w:val="ListParagraph"/>
        <w:numPr>
          <w:ilvl w:val="0"/>
          <w:numId w:val="8"/>
        </w:numPr>
        <w:ind w:left="709" w:hanging="349"/>
        <w:jc w:val="both"/>
        <w:rPr>
          <w:rFonts w:ascii="Garamond" w:hAnsi="Garamond"/>
        </w:rPr>
      </w:pPr>
      <w:r w:rsidRPr="00381F61">
        <w:rPr>
          <w:rFonts w:ascii="Garamond" w:hAnsi="Garamond"/>
        </w:rPr>
        <w:t xml:space="preserve">How do New Zealand trends in total claims </w:t>
      </w:r>
      <w:r w:rsidR="00A50AD6" w:rsidRPr="00381F61">
        <w:rPr>
          <w:rFonts w:ascii="Garamond" w:hAnsi="Garamond"/>
        </w:rPr>
        <w:t xml:space="preserve">(private and public) </w:t>
      </w:r>
      <w:r w:rsidRPr="00381F61">
        <w:rPr>
          <w:rFonts w:ascii="Garamond" w:hAnsi="Garamond"/>
        </w:rPr>
        <w:t>compare with the equivalents in other developed countries?</w:t>
      </w:r>
    </w:p>
    <w:p w14:paraId="489EC1D7" w14:textId="77777777" w:rsidR="00A42E25" w:rsidRPr="00381F61" w:rsidRDefault="00A42E25" w:rsidP="00E71CEB">
      <w:pPr>
        <w:ind w:left="709" w:hanging="349"/>
        <w:jc w:val="both"/>
        <w:rPr>
          <w:rFonts w:ascii="Garamond" w:hAnsi="Garamond"/>
        </w:rPr>
      </w:pPr>
    </w:p>
    <w:p w14:paraId="229F4B65" w14:textId="541C1D2F" w:rsidR="00C05A7C" w:rsidRPr="00381F61" w:rsidRDefault="00C05A7C" w:rsidP="00E71CEB">
      <w:pPr>
        <w:pStyle w:val="ListParagraph"/>
        <w:numPr>
          <w:ilvl w:val="0"/>
          <w:numId w:val="8"/>
        </w:numPr>
        <w:ind w:left="709" w:hanging="349"/>
        <w:jc w:val="both"/>
        <w:rPr>
          <w:rFonts w:ascii="Garamond" w:hAnsi="Garamond"/>
        </w:rPr>
      </w:pPr>
      <w:r w:rsidRPr="00381F61">
        <w:rPr>
          <w:rFonts w:ascii="Garamond" w:hAnsi="Garamond"/>
        </w:rPr>
        <w:t>How have other countries adapted those total claims (private and public) to changing patterns of work and retirement?  What lessons might New Zealand draw from those examples?</w:t>
      </w:r>
    </w:p>
    <w:p w14:paraId="25AF7767" w14:textId="77777777" w:rsidR="00940F3F" w:rsidRPr="00381F61" w:rsidRDefault="00940F3F" w:rsidP="00E71CEB">
      <w:pPr>
        <w:jc w:val="both"/>
        <w:rPr>
          <w:rFonts w:ascii="Garamond" w:hAnsi="Garamond"/>
        </w:rPr>
      </w:pPr>
    </w:p>
    <w:p w14:paraId="5AB65F4F" w14:textId="547F4002" w:rsidR="00940F3F" w:rsidRPr="00381F61" w:rsidRDefault="00940F3F" w:rsidP="00940F3F">
      <w:pPr>
        <w:widowControl w:val="0"/>
        <w:autoSpaceDE w:val="0"/>
        <w:autoSpaceDN w:val="0"/>
        <w:adjustRightInd w:val="0"/>
        <w:ind w:right="-26"/>
        <w:jc w:val="both"/>
        <w:rPr>
          <w:rFonts w:ascii="Garamond" w:hAnsi="Garamond"/>
        </w:rPr>
      </w:pPr>
      <w:r w:rsidRPr="00381F61">
        <w:rPr>
          <w:rFonts w:ascii="Garamond" w:hAnsi="Garamond"/>
        </w:rPr>
        <w:t>There was no mention in the Terms of Reference for the Retirement Commissioner’s 2019 Review of the issues associated with the future claims on our economy that will represent the effects of an ageing population.  As we have said, public pensions and private retirement savings are both claims against the economy to support the old.  Neither is more ‘secure’ than the other</w:t>
      </w:r>
      <w:r w:rsidR="0004275D" w:rsidRPr="00381F61">
        <w:rPr>
          <w:rFonts w:ascii="Garamond" w:hAnsi="Garamond"/>
        </w:rPr>
        <w:t>,</w:t>
      </w:r>
      <w:r w:rsidRPr="00381F61">
        <w:rPr>
          <w:rFonts w:ascii="Garamond" w:hAnsi="Garamond"/>
        </w:rPr>
        <w:t xml:space="preserve"> as both depend on the strength of the contemporary economy.  Countries cannot ‘save for retirement’.</w:t>
      </w:r>
    </w:p>
    <w:p w14:paraId="1D7D12C6" w14:textId="4A63335D" w:rsidR="00940F3F" w:rsidRPr="00381F61" w:rsidRDefault="00940F3F" w:rsidP="00E71CEB">
      <w:pPr>
        <w:jc w:val="both"/>
        <w:rPr>
          <w:rFonts w:ascii="Garamond" w:hAnsi="Garamond"/>
        </w:rPr>
      </w:pPr>
    </w:p>
    <w:p w14:paraId="5DF5E36B" w14:textId="4A5AEE84" w:rsidR="00A97583" w:rsidRPr="00381F61" w:rsidRDefault="00A97583" w:rsidP="00E71CEB">
      <w:pPr>
        <w:jc w:val="both"/>
        <w:rPr>
          <w:rFonts w:ascii="Garamond" w:hAnsi="Garamond"/>
        </w:rPr>
      </w:pPr>
      <w:r w:rsidRPr="00381F61">
        <w:rPr>
          <w:rFonts w:ascii="Garamond" w:hAnsi="Garamond"/>
        </w:rPr>
        <w:br w:type="page"/>
      </w:r>
    </w:p>
    <w:p w14:paraId="4AB69CE6" w14:textId="3666326C" w:rsidR="00A97583" w:rsidRPr="00381F61" w:rsidRDefault="00F519BC" w:rsidP="00E71CEB">
      <w:pPr>
        <w:jc w:val="both"/>
        <w:rPr>
          <w:rFonts w:ascii="Garamond" w:hAnsi="Garamond"/>
          <w:b/>
        </w:rPr>
      </w:pPr>
      <w:r w:rsidRPr="00381F61">
        <w:rPr>
          <w:rFonts w:ascii="Garamond" w:hAnsi="Garamond"/>
          <w:b/>
        </w:rPr>
        <w:lastRenderedPageBreak/>
        <w:t>4</w:t>
      </w:r>
      <w:r w:rsidR="00B069CD" w:rsidRPr="00381F61">
        <w:rPr>
          <w:rFonts w:ascii="Garamond" w:hAnsi="Garamond"/>
          <w:b/>
        </w:rPr>
        <w:t>.</w:t>
      </w:r>
      <w:r w:rsidR="00B069CD" w:rsidRPr="00381F61">
        <w:rPr>
          <w:rFonts w:ascii="Garamond" w:hAnsi="Garamond"/>
          <w:b/>
        </w:rPr>
        <w:tab/>
      </w:r>
      <w:r w:rsidR="00BE5938" w:rsidRPr="00381F61">
        <w:rPr>
          <w:rFonts w:ascii="Garamond" w:hAnsi="Garamond"/>
          <w:b/>
        </w:rPr>
        <w:t xml:space="preserve">How much will New Zealand Superannuation </w:t>
      </w:r>
      <w:r w:rsidR="002B3A88" w:rsidRPr="00381F61">
        <w:rPr>
          <w:rFonts w:ascii="Garamond" w:hAnsi="Garamond"/>
          <w:b/>
        </w:rPr>
        <w:t xml:space="preserve">really </w:t>
      </w:r>
      <w:r w:rsidR="00BE5938" w:rsidRPr="00381F61">
        <w:rPr>
          <w:rFonts w:ascii="Garamond" w:hAnsi="Garamond"/>
          <w:b/>
        </w:rPr>
        <w:t>cost?</w:t>
      </w:r>
    </w:p>
    <w:p w14:paraId="6842B57E" w14:textId="77777777" w:rsidR="00B069CD" w:rsidRPr="00381F61" w:rsidRDefault="00B069CD" w:rsidP="00E71CEB">
      <w:pPr>
        <w:jc w:val="both"/>
        <w:rPr>
          <w:rFonts w:ascii="Garamond" w:hAnsi="Garamond"/>
          <w:b/>
        </w:rPr>
      </w:pPr>
    </w:p>
    <w:p w14:paraId="20CD070E" w14:textId="5D2D3FD6" w:rsidR="001502CA" w:rsidRPr="00381F61" w:rsidRDefault="001502CA" w:rsidP="00E71CEB">
      <w:pPr>
        <w:jc w:val="both"/>
        <w:rPr>
          <w:rFonts w:ascii="Garamond" w:hAnsi="Garamond"/>
        </w:rPr>
      </w:pPr>
      <w:r w:rsidRPr="00381F61">
        <w:rPr>
          <w:rFonts w:ascii="Garamond" w:hAnsi="Garamond"/>
        </w:rPr>
        <w:t xml:space="preserve">The Treasury makes regular projections of expected expenditures and future growth rates of the kind referred to in </w:t>
      </w:r>
      <w:r w:rsidR="008B7AA8" w:rsidRPr="00381F61">
        <w:rPr>
          <w:rFonts w:ascii="Garamond" w:hAnsi="Garamond"/>
        </w:rPr>
        <w:t>section</w:t>
      </w:r>
      <w:r w:rsidRPr="00381F61">
        <w:rPr>
          <w:rFonts w:ascii="Garamond" w:hAnsi="Garamond"/>
        </w:rPr>
        <w:t xml:space="preserve"> </w:t>
      </w:r>
      <w:r w:rsidR="000856CF" w:rsidRPr="00381F61">
        <w:rPr>
          <w:rFonts w:ascii="Garamond" w:hAnsi="Garamond"/>
        </w:rPr>
        <w:t>3</w:t>
      </w:r>
      <w:r w:rsidRPr="00381F61">
        <w:rPr>
          <w:rFonts w:ascii="Garamond" w:hAnsi="Garamond"/>
        </w:rPr>
        <w:t xml:space="preserve"> above.  </w:t>
      </w:r>
      <w:r w:rsidR="002D57A4" w:rsidRPr="00381F61">
        <w:rPr>
          <w:rFonts w:ascii="Garamond" w:hAnsi="Garamond"/>
        </w:rPr>
        <w:t>T</w:t>
      </w:r>
      <w:r w:rsidRPr="00381F61">
        <w:rPr>
          <w:rFonts w:ascii="Garamond" w:hAnsi="Garamond"/>
        </w:rPr>
        <w:t>hese must be subject to considerable uncertainties, given the long timeframes involved.</w:t>
      </w:r>
      <w:r w:rsidR="00C05A7C" w:rsidRPr="00381F61">
        <w:rPr>
          <w:rFonts w:ascii="Garamond" w:hAnsi="Garamond"/>
        </w:rPr>
        <w:t xml:space="preserve">  It is difficult enough to guess what Budget surpluses/deficits might look like in two or five years, never mind 20 or 40 years away.</w:t>
      </w:r>
      <w:r w:rsidR="002D57A4" w:rsidRPr="00381F61">
        <w:rPr>
          <w:rFonts w:ascii="Garamond" w:hAnsi="Garamond"/>
        </w:rPr>
        <w:t xml:space="preserve">  However, it is possible to analyse trends in current policy settings by making assumptions about the future.  For example, we know the current demographic profile and so we know</w:t>
      </w:r>
      <w:r w:rsidR="00762EF0" w:rsidRPr="00381F61">
        <w:rPr>
          <w:rFonts w:ascii="Garamond" w:hAnsi="Garamond"/>
        </w:rPr>
        <w:t xml:space="preserve"> with some accuracy</w:t>
      </w:r>
      <w:r w:rsidR="002D57A4" w:rsidRPr="00381F61">
        <w:rPr>
          <w:rFonts w:ascii="Garamond" w:hAnsi="Garamond"/>
        </w:rPr>
        <w:t xml:space="preserve"> the number of 65 year-olds there will be in 20 years</w:t>
      </w:r>
      <w:r w:rsidR="002B12A3" w:rsidRPr="00381F61">
        <w:rPr>
          <w:rFonts w:ascii="Garamond" w:hAnsi="Garamond"/>
        </w:rPr>
        <w:t>,</w:t>
      </w:r>
      <w:r w:rsidR="002D57A4" w:rsidRPr="00381F61">
        <w:rPr>
          <w:rFonts w:ascii="Garamond" w:hAnsi="Garamond"/>
        </w:rPr>
        <w:t xml:space="preserve"> after making adjustments for deaths and net migration.</w:t>
      </w:r>
    </w:p>
    <w:p w14:paraId="74947169" w14:textId="77777777" w:rsidR="001502CA" w:rsidRPr="00381F61" w:rsidRDefault="001502CA" w:rsidP="00E71CEB">
      <w:pPr>
        <w:jc w:val="both"/>
        <w:rPr>
          <w:rFonts w:ascii="Garamond" w:hAnsi="Garamond"/>
        </w:rPr>
      </w:pPr>
    </w:p>
    <w:p w14:paraId="7DCFCB5E" w14:textId="7AE495FB" w:rsidR="001502CA" w:rsidRPr="00381F61" w:rsidRDefault="00885C1F" w:rsidP="00E71CEB">
      <w:pPr>
        <w:jc w:val="both"/>
        <w:rPr>
          <w:rFonts w:ascii="Garamond" w:hAnsi="Garamond"/>
        </w:rPr>
      </w:pPr>
      <w:r w:rsidRPr="00381F61">
        <w:rPr>
          <w:rFonts w:ascii="Garamond" w:hAnsi="Garamond"/>
        </w:rPr>
        <w:t>T</w:t>
      </w:r>
      <w:r w:rsidR="00590078" w:rsidRPr="00381F61">
        <w:rPr>
          <w:rFonts w:ascii="Garamond" w:hAnsi="Garamond"/>
        </w:rPr>
        <w:t>he Retirement Policy and Research Centre</w:t>
      </w:r>
      <w:r w:rsidRPr="00381F61">
        <w:rPr>
          <w:rFonts w:ascii="Garamond" w:hAnsi="Garamond"/>
        </w:rPr>
        <w:t>’s</w:t>
      </w:r>
      <w:r w:rsidR="00FE586A" w:rsidRPr="00381F61">
        <w:rPr>
          <w:rFonts w:ascii="Garamond" w:hAnsi="Garamond"/>
        </w:rPr>
        <w:t xml:space="preserve"> 2013 </w:t>
      </w:r>
      <w:r w:rsidR="00FE586A" w:rsidRPr="00381F61">
        <w:rPr>
          <w:rFonts w:ascii="Garamond" w:hAnsi="Garamond"/>
          <w:i/>
        </w:rPr>
        <w:t>PensionBriefing</w:t>
      </w:r>
      <w:r w:rsidR="00590078" w:rsidRPr="00381F61">
        <w:rPr>
          <w:rStyle w:val="FootnoteReference"/>
          <w:rFonts w:ascii="Garamond" w:hAnsi="Garamond"/>
        </w:rPr>
        <w:footnoteReference w:id="18"/>
      </w:r>
      <w:r w:rsidRPr="00381F61">
        <w:rPr>
          <w:rFonts w:ascii="Garamond" w:hAnsi="Garamond"/>
        </w:rPr>
        <w:t xml:space="preserve"> </w:t>
      </w:r>
      <w:r w:rsidR="001502CA" w:rsidRPr="00381F61">
        <w:rPr>
          <w:rFonts w:ascii="Garamond" w:hAnsi="Garamond"/>
        </w:rPr>
        <w:t xml:space="preserve">analysed the results of 14 versions of projections made by the Treasury’s </w:t>
      </w:r>
      <w:r w:rsidR="001502CA" w:rsidRPr="00381F61">
        <w:rPr>
          <w:rFonts w:ascii="Garamond" w:hAnsi="Garamond"/>
          <w:i/>
        </w:rPr>
        <w:t xml:space="preserve">Long Term Fiscal Model </w:t>
      </w:r>
      <w:r w:rsidR="001502CA" w:rsidRPr="00381F61">
        <w:rPr>
          <w:rFonts w:ascii="Garamond" w:hAnsi="Garamond"/>
        </w:rPr>
        <w:t>(LTFM) between 2000 and 2013 and observed:</w:t>
      </w:r>
    </w:p>
    <w:p w14:paraId="27B9C9AA" w14:textId="77777777" w:rsidR="001502CA" w:rsidRPr="00381F61" w:rsidRDefault="001502CA" w:rsidP="00E71CEB">
      <w:pPr>
        <w:jc w:val="both"/>
        <w:rPr>
          <w:rFonts w:ascii="Garamond" w:hAnsi="Garamond"/>
          <w:sz w:val="8"/>
        </w:rPr>
      </w:pPr>
    </w:p>
    <w:p w14:paraId="7680DB76" w14:textId="0C0CADD9" w:rsidR="001502CA" w:rsidRPr="00381F61" w:rsidRDefault="001502CA" w:rsidP="007675DE">
      <w:pPr>
        <w:ind w:left="709"/>
        <w:jc w:val="both"/>
        <w:rPr>
          <w:rFonts w:ascii="Garamond" w:hAnsi="Garamond"/>
        </w:rPr>
      </w:pPr>
      <w:r w:rsidRPr="00381F61">
        <w:rPr>
          <w:rFonts w:ascii="Garamond" w:hAnsi="Garamond"/>
          <w:sz w:val="22"/>
          <w:szCs w:val="22"/>
        </w:rPr>
        <w:t>“…</w:t>
      </w:r>
      <w:r w:rsidRPr="00381F61">
        <w:rPr>
          <w:rFonts w:ascii="Garamond" w:hAnsi="Garamond" w:cs="Arial"/>
          <w:sz w:val="22"/>
          <w:szCs w:val="22"/>
        </w:rPr>
        <w:t>it is clear…that the expected future real cost of NZS measured in the 13 years covered by the NZSF models’ calculations has actually fallen, benchmarked against future estimates of GDP.  In fact, the 2060 estimate of the expected net cost of NZS has reduced from 9.7% of GDP in V1-2000 to 6.6%</w:t>
      </w:r>
      <w:r w:rsidR="00F57DA6" w:rsidRPr="00381F61">
        <w:rPr>
          <w:rFonts w:ascii="Garamond" w:hAnsi="Garamond" w:cs="Arial"/>
          <w:sz w:val="22"/>
          <w:szCs w:val="22"/>
        </w:rPr>
        <w:t xml:space="preserve"> </w:t>
      </w:r>
      <w:r w:rsidRPr="00381F61">
        <w:rPr>
          <w:rFonts w:ascii="Garamond" w:hAnsi="Garamond" w:cs="Arial"/>
          <w:sz w:val="22"/>
          <w:szCs w:val="22"/>
        </w:rPr>
        <w:t>of GDP in V14-2013 (a reduction of 32%).  Most of that is attributable to the improvement in real GDP (+60.8% in 2060)...</w:t>
      </w:r>
      <w:r w:rsidRPr="00381F61">
        <w:rPr>
          <w:rFonts w:ascii="Garamond" w:hAnsi="Garamond"/>
          <w:sz w:val="22"/>
          <w:szCs w:val="22"/>
        </w:rPr>
        <w:t>”</w:t>
      </w:r>
      <w:r w:rsidR="008651AC" w:rsidRPr="00381F61">
        <w:rPr>
          <w:rStyle w:val="FootnoteReference"/>
          <w:rFonts w:ascii="Garamond" w:hAnsi="Garamond"/>
          <w:sz w:val="22"/>
          <w:szCs w:val="22"/>
        </w:rPr>
        <w:footnoteReference w:id="19"/>
      </w:r>
    </w:p>
    <w:p w14:paraId="42B2F7CD" w14:textId="77777777" w:rsidR="0035220B" w:rsidRPr="00381F61" w:rsidRDefault="0035220B" w:rsidP="00E71CEB">
      <w:pPr>
        <w:jc w:val="both"/>
        <w:rPr>
          <w:rFonts w:ascii="Garamond" w:hAnsi="Garamond"/>
        </w:rPr>
      </w:pPr>
    </w:p>
    <w:p w14:paraId="4E81EB58" w14:textId="2579B354" w:rsidR="00AA7C39" w:rsidRPr="00381F61" w:rsidRDefault="00AA7C39" w:rsidP="00E71CEB">
      <w:pPr>
        <w:jc w:val="both"/>
        <w:rPr>
          <w:rFonts w:ascii="Garamond" w:hAnsi="Garamond"/>
        </w:rPr>
      </w:pPr>
      <w:r w:rsidRPr="00381F61">
        <w:rPr>
          <w:rFonts w:ascii="Garamond" w:hAnsi="Garamond"/>
        </w:rPr>
        <w:t xml:space="preserve">The </w:t>
      </w:r>
      <w:r w:rsidR="006600A0" w:rsidRPr="00381F61">
        <w:rPr>
          <w:rFonts w:ascii="Garamond" w:hAnsi="Garamond"/>
        </w:rPr>
        <w:t xml:space="preserve">RPRC’s </w:t>
      </w:r>
      <w:r w:rsidR="00C979CD" w:rsidRPr="00381F61">
        <w:rPr>
          <w:rFonts w:ascii="Garamond" w:hAnsi="Garamond"/>
        </w:rPr>
        <w:t xml:space="preserve">2013 </w:t>
      </w:r>
      <w:r w:rsidRPr="00381F61">
        <w:rPr>
          <w:rFonts w:ascii="Garamond" w:hAnsi="Garamond"/>
        </w:rPr>
        <w:t>ch</w:t>
      </w:r>
      <w:r w:rsidR="006600A0" w:rsidRPr="00381F61">
        <w:rPr>
          <w:rFonts w:ascii="Garamond" w:hAnsi="Garamond"/>
        </w:rPr>
        <w:t>art illustrates th</w:t>
      </w:r>
      <w:r w:rsidRPr="00381F61">
        <w:rPr>
          <w:rFonts w:ascii="Garamond" w:hAnsi="Garamond"/>
        </w:rPr>
        <w:t>at point:</w:t>
      </w:r>
    </w:p>
    <w:p w14:paraId="6F3D6B18" w14:textId="77777777" w:rsidR="006600A0" w:rsidRPr="00381F61" w:rsidRDefault="006600A0" w:rsidP="006600A0">
      <w:pPr>
        <w:jc w:val="both"/>
        <w:rPr>
          <w:rFonts w:ascii="Garamond" w:hAnsi="Garamond"/>
          <w:b/>
          <w:sz w:val="8"/>
          <w:szCs w:val="8"/>
        </w:rPr>
      </w:pPr>
    </w:p>
    <w:p w14:paraId="22426FD5" w14:textId="77777777" w:rsidR="006600A0" w:rsidRPr="00381F61" w:rsidRDefault="006600A0" w:rsidP="00762EF0">
      <w:pPr>
        <w:jc w:val="center"/>
        <w:rPr>
          <w:rFonts w:ascii="Garamond" w:hAnsi="Garamond"/>
          <w:b/>
          <w:sz w:val="20"/>
        </w:rPr>
      </w:pPr>
      <w:r w:rsidRPr="00F766D5">
        <w:rPr>
          <w:rFonts w:ascii="Garamond" w:hAnsi="Garamond"/>
          <w:noProof/>
        </w:rPr>
        <w:drawing>
          <wp:inline distT="0" distB="0" distL="0" distR="0" wp14:anchorId="5DF024D9" wp14:editId="70683153">
            <wp:extent cx="4727410" cy="2888557"/>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0171" cy="2908575"/>
                    </a:xfrm>
                    <a:prstGeom prst="rect">
                      <a:avLst/>
                    </a:prstGeom>
                    <a:noFill/>
                    <a:ln>
                      <a:noFill/>
                    </a:ln>
                  </pic:spPr>
                </pic:pic>
              </a:graphicData>
            </a:graphic>
          </wp:inline>
        </w:drawing>
      </w:r>
    </w:p>
    <w:p w14:paraId="387C3EDF" w14:textId="63836834" w:rsidR="00AA7C39" w:rsidRPr="00381F61" w:rsidRDefault="006600A0" w:rsidP="00762EF0">
      <w:pPr>
        <w:ind w:left="851" w:right="1507"/>
        <w:jc w:val="both"/>
        <w:rPr>
          <w:rFonts w:ascii="Garamond" w:hAnsi="Garamond"/>
        </w:rPr>
      </w:pPr>
      <w:r w:rsidRPr="00381F61">
        <w:rPr>
          <w:rFonts w:ascii="Garamond" w:hAnsi="Garamond"/>
          <w:sz w:val="20"/>
        </w:rPr>
        <w:t>Note: the cost for years before the year a model was run are ‘actuals’; for years after the model was run, the costs are estimates expressed as a percentage of the nominal GDP in those year</w:t>
      </w:r>
      <w:r w:rsidR="00AB4BA5" w:rsidRPr="00381F61">
        <w:rPr>
          <w:rFonts w:ascii="Garamond" w:hAnsi="Garamond"/>
          <w:sz w:val="20"/>
        </w:rPr>
        <w:t>s</w:t>
      </w:r>
    </w:p>
    <w:p w14:paraId="7ABB3B51" w14:textId="77777777" w:rsidR="006600A0" w:rsidRPr="00381F61" w:rsidRDefault="006600A0">
      <w:pPr>
        <w:rPr>
          <w:rFonts w:ascii="Garamond" w:hAnsi="Garamond"/>
        </w:rPr>
      </w:pPr>
      <w:r w:rsidRPr="00381F61">
        <w:rPr>
          <w:rFonts w:ascii="Garamond" w:hAnsi="Garamond"/>
        </w:rPr>
        <w:br w:type="page"/>
      </w:r>
    </w:p>
    <w:p w14:paraId="4870409E" w14:textId="086DE372" w:rsidR="001502CA" w:rsidRPr="00381F61" w:rsidRDefault="00A50AD6" w:rsidP="00E71CEB">
      <w:pPr>
        <w:jc w:val="both"/>
        <w:rPr>
          <w:rFonts w:ascii="Garamond" w:hAnsi="Garamond"/>
        </w:rPr>
      </w:pPr>
      <w:r w:rsidRPr="00381F61">
        <w:rPr>
          <w:rFonts w:ascii="Garamond" w:hAnsi="Garamond"/>
        </w:rPr>
        <w:lastRenderedPageBreak/>
        <w:t>The RPRC</w:t>
      </w:r>
      <w:r w:rsidR="001502CA" w:rsidRPr="00381F61">
        <w:rPr>
          <w:rFonts w:ascii="Garamond" w:hAnsi="Garamond"/>
        </w:rPr>
        <w:t xml:space="preserve"> concluded that the Treasury’s projections:</w:t>
      </w:r>
    </w:p>
    <w:p w14:paraId="156BC5E4" w14:textId="77777777" w:rsidR="001502CA" w:rsidRPr="00381F61" w:rsidRDefault="001502CA" w:rsidP="00E71CEB">
      <w:pPr>
        <w:jc w:val="both"/>
        <w:rPr>
          <w:rFonts w:ascii="Garamond" w:hAnsi="Garamond"/>
          <w:sz w:val="8"/>
        </w:rPr>
      </w:pPr>
    </w:p>
    <w:p w14:paraId="62938328" w14:textId="77777777" w:rsidR="001502CA" w:rsidRPr="00381F61" w:rsidRDefault="001502CA" w:rsidP="00E71CEB">
      <w:pPr>
        <w:ind w:left="709"/>
        <w:jc w:val="both"/>
        <w:rPr>
          <w:rFonts w:ascii="Garamond" w:hAnsi="Garamond" w:cs="Arial"/>
          <w:sz w:val="22"/>
          <w:szCs w:val="22"/>
        </w:rPr>
      </w:pPr>
      <w:r w:rsidRPr="00381F61">
        <w:rPr>
          <w:rFonts w:ascii="Garamond" w:hAnsi="Garamond"/>
          <w:sz w:val="22"/>
          <w:szCs w:val="22"/>
        </w:rPr>
        <w:t>“</w:t>
      </w:r>
      <w:r w:rsidRPr="00381F61">
        <w:rPr>
          <w:rFonts w:ascii="Garamond" w:hAnsi="Garamond" w:cs="Arial"/>
          <w:sz w:val="22"/>
          <w:szCs w:val="22"/>
        </w:rPr>
        <w:t>…emphasise[] the importance of economic output and, for the security of today’s and tomorrow’s pensioners, the importance of increasing that output at a faster rate than the latest version of the NZSF model presently projects.  For many more reasons than just the affordability of NZS, how to make New Zealand more productive should be at the centre of discussions about the economic implications of an ageing population.”</w:t>
      </w:r>
    </w:p>
    <w:p w14:paraId="501B92BC" w14:textId="77777777" w:rsidR="001502CA" w:rsidRPr="00381F61" w:rsidRDefault="001502CA" w:rsidP="00E71CEB">
      <w:pPr>
        <w:jc w:val="both"/>
        <w:rPr>
          <w:rFonts w:ascii="Garamond" w:hAnsi="Garamond"/>
        </w:rPr>
      </w:pPr>
    </w:p>
    <w:p w14:paraId="4CD92424" w14:textId="38ECF320" w:rsidR="001502CA" w:rsidRPr="00381F61" w:rsidRDefault="001502CA" w:rsidP="00E71CEB">
      <w:pPr>
        <w:jc w:val="both"/>
        <w:rPr>
          <w:rFonts w:ascii="Garamond" w:hAnsi="Garamond"/>
        </w:rPr>
      </w:pPr>
      <w:r w:rsidRPr="00381F61">
        <w:rPr>
          <w:rFonts w:ascii="Garamond" w:hAnsi="Garamond"/>
        </w:rPr>
        <w:t>The government, on behalf of all taxpayers, balances competing claims on economic output from everyone, including pensioners.  The decisions are made year-by-year and can change from year to year.  With growth, governments have more choices but it’s important to emphasise that those are choices of the day, not today.</w:t>
      </w:r>
    </w:p>
    <w:p w14:paraId="414C5DDB" w14:textId="77777777" w:rsidR="001502CA" w:rsidRPr="00381F61" w:rsidRDefault="001502CA" w:rsidP="00E71CEB">
      <w:pPr>
        <w:jc w:val="both"/>
        <w:rPr>
          <w:rFonts w:ascii="Garamond" w:hAnsi="Garamond"/>
        </w:rPr>
      </w:pPr>
    </w:p>
    <w:p w14:paraId="56045DCA" w14:textId="77777777" w:rsidR="002B3A88" w:rsidRPr="00381F61" w:rsidRDefault="00BE5938" w:rsidP="00E71CEB">
      <w:pPr>
        <w:jc w:val="both"/>
        <w:rPr>
          <w:rFonts w:ascii="Garamond" w:hAnsi="Garamond"/>
        </w:rPr>
      </w:pPr>
      <w:r w:rsidRPr="00381F61">
        <w:rPr>
          <w:rFonts w:ascii="Garamond" w:hAnsi="Garamond"/>
        </w:rPr>
        <w:t>The ‘cost’ of any retirement benefits scheme is the benefits paid (plus administration costs).  That applies to any scheme – public or private; pension or lump sum; defined benefit or defined contribution</w:t>
      </w:r>
      <w:r w:rsidR="002B3A88" w:rsidRPr="00381F61">
        <w:rPr>
          <w:rFonts w:ascii="Garamond" w:hAnsi="Garamond"/>
        </w:rPr>
        <w:t>.  That cost has nothing to do with the way the benefits are financed – whether they are ‘pay as you go’ or fully pre-funded (or a mix).</w:t>
      </w:r>
    </w:p>
    <w:p w14:paraId="08CDFD96" w14:textId="77777777" w:rsidR="002B3A88" w:rsidRPr="00381F61" w:rsidRDefault="002B3A88" w:rsidP="00E71CEB">
      <w:pPr>
        <w:jc w:val="both"/>
        <w:rPr>
          <w:rFonts w:ascii="Garamond" w:hAnsi="Garamond"/>
        </w:rPr>
      </w:pPr>
    </w:p>
    <w:p w14:paraId="41DB9A35" w14:textId="38DE512F" w:rsidR="00BE5938" w:rsidRPr="00381F61" w:rsidRDefault="002B3A88" w:rsidP="00E71CEB">
      <w:pPr>
        <w:jc w:val="both"/>
        <w:rPr>
          <w:rFonts w:ascii="Garamond" w:hAnsi="Garamond"/>
        </w:rPr>
      </w:pPr>
      <w:r w:rsidRPr="00381F61">
        <w:rPr>
          <w:rFonts w:ascii="Garamond" w:hAnsi="Garamond"/>
        </w:rPr>
        <w:t>So</w:t>
      </w:r>
      <w:r w:rsidR="00733F79" w:rsidRPr="00381F61">
        <w:rPr>
          <w:rFonts w:ascii="Garamond" w:hAnsi="Garamond"/>
        </w:rPr>
        <w:t>,</w:t>
      </w:r>
      <w:r w:rsidRPr="00381F61">
        <w:rPr>
          <w:rFonts w:ascii="Garamond" w:hAnsi="Garamond"/>
        </w:rPr>
        <w:t xml:space="preserve"> the cost of NZS is the pensions paid in the year they are paid and that is unaffected by the presence or absence of the New Zealand Superannuation Fund (we have more to say on this in section </w:t>
      </w:r>
      <w:r w:rsidR="000856CF" w:rsidRPr="00381F61">
        <w:rPr>
          <w:rFonts w:ascii="Garamond" w:hAnsi="Garamond"/>
        </w:rPr>
        <w:t>7</w:t>
      </w:r>
      <w:r w:rsidRPr="00381F61">
        <w:rPr>
          <w:rFonts w:ascii="Garamond" w:hAnsi="Garamond"/>
        </w:rPr>
        <w:t xml:space="preserve"> below).</w:t>
      </w:r>
    </w:p>
    <w:p w14:paraId="6A323E06" w14:textId="77777777" w:rsidR="002B3A88" w:rsidRPr="00381F61" w:rsidRDefault="002B3A88" w:rsidP="00E71CEB">
      <w:pPr>
        <w:jc w:val="both"/>
        <w:rPr>
          <w:rFonts w:ascii="Garamond" w:hAnsi="Garamond"/>
        </w:rPr>
      </w:pPr>
    </w:p>
    <w:p w14:paraId="29B9802A" w14:textId="03CCE9F2" w:rsidR="001502CA" w:rsidRPr="00381F61" w:rsidRDefault="001502CA" w:rsidP="00E71CEB">
      <w:pPr>
        <w:jc w:val="both"/>
        <w:rPr>
          <w:rFonts w:ascii="Garamond" w:hAnsi="Garamond"/>
        </w:rPr>
      </w:pPr>
      <w:r w:rsidRPr="00381F61">
        <w:rPr>
          <w:rFonts w:ascii="Garamond" w:hAnsi="Garamond"/>
        </w:rPr>
        <w:t>Today’s taxpayers and voters cannot bind taxpayers of 2060</w:t>
      </w:r>
      <w:r w:rsidR="0040242A" w:rsidRPr="00381F61">
        <w:rPr>
          <w:rFonts w:ascii="Garamond" w:hAnsi="Garamond"/>
        </w:rPr>
        <w:t xml:space="preserve"> </w:t>
      </w:r>
      <w:r w:rsidRPr="00381F61">
        <w:rPr>
          <w:rFonts w:ascii="Garamond" w:hAnsi="Garamond"/>
        </w:rPr>
        <w:t>to any decisions made about NZS over the next few years.  The 2060 government, acting on behalf of tomorrow’s taxpayers, could make very different decisions about the claims of pensioners (among others) on economic output and those different decisions could be implemented relatively quickly.</w:t>
      </w:r>
    </w:p>
    <w:p w14:paraId="71A4F96E" w14:textId="77777777" w:rsidR="0040242A" w:rsidRPr="00381F61" w:rsidRDefault="0040242A" w:rsidP="00E71CEB">
      <w:pPr>
        <w:jc w:val="both"/>
        <w:rPr>
          <w:rFonts w:ascii="Garamond" w:hAnsi="Garamond"/>
        </w:rPr>
      </w:pPr>
    </w:p>
    <w:p w14:paraId="0DEAF5D2" w14:textId="3EA09D4D" w:rsidR="0040242A" w:rsidRPr="00381F61" w:rsidRDefault="0040242A" w:rsidP="00E71CEB">
      <w:pPr>
        <w:jc w:val="both"/>
        <w:rPr>
          <w:rFonts w:ascii="Garamond" w:hAnsi="Garamond"/>
          <w:color w:val="000000" w:themeColor="text1"/>
        </w:rPr>
      </w:pPr>
      <w:r w:rsidRPr="00381F61">
        <w:rPr>
          <w:rFonts w:ascii="Garamond" w:hAnsi="Garamond"/>
          <w:color w:val="000000" w:themeColor="text1"/>
        </w:rPr>
        <w:t>The annual amount of NZS in, say, 20</w:t>
      </w:r>
      <w:r w:rsidR="001C68F8" w:rsidRPr="00381F61">
        <w:rPr>
          <w:rFonts w:ascii="Garamond" w:hAnsi="Garamond"/>
          <w:color w:val="000000" w:themeColor="text1"/>
        </w:rPr>
        <w:t>60</w:t>
      </w:r>
      <w:r w:rsidRPr="00381F61">
        <w:rPr>
          <w:rFonts w:ascii="Garamond" w:hAnsi="Garamond"/>
          <w:color w:val="000000" w:themeColor="text1"/>
        </w:rPr>
        <w:t xml:space="preserve"> will be the total amount that taxpayers of 20</w:t>
      </w:r>
      <w:r w:rsidR="001C68F8" w:rsidRPr="00381F61">
        <w:rPr>
          <w:rFonts w:ascii="Garamond" w:hAnsi="Garamond"/>
          <w:color w:val="000000" w:themeColor="text1"/>
        </w:rPr>
        <w:t>60</w:t>
      </w:r>
      <w:r w:rsidRPr="00381F61">
        <w:rPr>
          <w:rFonts w:ascii="Garamond" w:hAnsi="Garamond"/>
          <w:color w:val="000000" w:themeColor="text1"/>
        </w:rPr>
        <w:t xml:space="preserve"> are prepared to spend on NZS divided by the number entitled to receive it in 20</w:t>
      </w:r>
      <w:r w:rsidR="001C68F8" w:rsidRPr="00381F61">
        <w:rPr>
          <w:rFonts w:ascii="Garamond" w:hAnsi="Garamond"/>
          <w:color w:val="000000" w:themeColor="text1"/>
        </w:rPr>
        <w:t>60</w:t>
      </w:r>
      <w:r w:rsidR="00DC5E31" w:rsidRPr="00381F61">
        <w:rPr>
          <w:rFonts w:ascii="Garamond" w:hAnsi="Garamond"/>
          <w:color w:val="000000" w:themeColor="text1"/>
        </w:rPr>
        <w:t xml:space="preserve">. </w:t>
      </w:r>
      <w:r w:rsidRPr="00381F61">
        <w:rPr>
          <w:rFonts w:ascii="Garamond" w:hAnsi="Garamond"/>
          <w:color w:val="000000" w:themeColor="text1"/>
        </w:rPr>
        <w:t xml:space="preserve"> To the extent that taxpayers are not prepared to spend as much as is now contemplated (in 201</w:t>
      </w:r>
      <w:r w:rsidR="001C68F8" w:rsidRPr="00381F61">
        <w:rPr>
          <w:rFonts w:ascii="Garamond" w:hAnsi="Garamond"/>
          <w:color w:val="000000" w:themeColor="text1"/>
        </w:rPr>
        <w:t>9</w:t>
      </w:r>
      <w:r w:rsidRPr="00381F61">
        <w:rPr>
          <w:rFonts w:ascii="Garamond" w:hAnsi="Garamond"/>
          <w:color w:val="000000" w:themeColor="text1"/>
        </w:rPr>
        <w:t xml:space="preserve">), the annual amount to each pensioner will </w:t>
      </w:r>
      <w:r w:rsidR="00DC2EB2" w:rsidRPr="00381F61">
        <w:rPr>
          <w:rFonts w:ascii="Garamond" w:hAnsi="Garamond"/>
          <w:color w:val="000000" w:themeColor="text1"/>
        </w:rPr>
        <w:t>reduce</w:t>
      </w:r>
      <w:r w:rsidR="004B7169" w:rsidRPr="00381F61">
        <w:rPr>
          <w:rFonts w:ascii="Garamond" w:hAnsi="Garamond"/>
          <w:color w:val="000000" w:themeColor="text1"/>
        </w:rPr>
        <w:t xml:space="preserve">.  </w:t>
      </w:r>
      <w:r w:rsidRPr="00381F61">
        <w:rPr>
          <w:rFonts w:ascii="Garamond" w:hAnsi="Garamond"/>
          <w:color w:val="000000" w:themeColor="text1"/>
        </w:rPr>
        <w:t xml:space="preserve">That ‘political economy’ issue will have nothing to do with the amount in the New Zealand Superannuation Fund; nor the annual amount it can disburse because that </w:t>
      </w:r>
      <w:r w:rsidR="004B7169" w:rsidRPr="00381F61">
        <w:rPr>
          <w:rFonts w:ascii="Garamond" w:hAnsi="Garamond"/>
          <w:color w:val="000000" w:themeColor="text1"/>
        </w:rPr>
        <w:t>will have</w:t>
      </w:r>
      <w:r w:rsidRPr="00381F61">
        <w:rPr>
          <w:rFonts w:ascii="Garamond" w:hAnsi="Garamond"/>
          <w:color w:val="000000" w:themeColor="text1"/>
        </w:rPr>
        <w:t xml:space="preserve"> no bearing on</w:t>
      </w:r>
      <w:r w:rsidR="00DC2EB2" w:rsidRPr="00381F61">
        <w:rPr>
          <w:rFonts w:ascii="Garamond" w:hAnsi="Garamond"/>
          <w:color w:val="000000" w:themeColor="text1"/>
        </w:rPr>
        <w:t xml:space="preserve"> the</w:t>
      </w:r>
      <w:r w:rsidRPr="00381F61">
        <w:rPr>
          <w:rFonts w:ascii="Garamond" w:hAnsi="Garamond"/>
          <w:color w:val="000000" w:themeColor="text1"/>
        </w:rPr>
        <w:t xml:space="preserve"> cost </w:t>
      </w:r>
      <w:r w:rsidR="00DC2EB2" w:rsidRPr="00381F61">
        <w:rPr>
          <w:rFonts w:ascii="Garamond" w:hAnsi="Garamond"/>
          <w:color w:val="000000" w:themeColor="text1"/>
        </w:rPr>
        <w:t xml:space="preserve">of NZS </w:t>
      </w:r>
      <w:r w:rsidRPr="00381F61">
        <w:rPr>
          <w:rFonts w:ascii="Garamond" w:hAnsi="Garamond"/>
          <w:color w:val="000000" w:themeColor="text1"/>
        </w:rPr>
        <w:t>in 20</w:t>
      </w:r>
      <w:r w:rsidR="001C68F8" w:rsidRPr="00381F61">
        <w:rPr>
          <w:rFonts w:ascii="Garamond" w:hAnsi="Garamond"/>
          <w:color w:val="000000" w:themeColor="text1"/>
        </w:rPr>
        <w:t>60</w:t>
      </w:r>
      <w:r w:rsidRPr="00381F61">
        <w:rPr>
          <w:rFonts w:ascii="Garamond" w:hAnsi="Garamond"/>
          <w:color w:val="000000" w:themeColor="text1"/>
        </w:rPr>
        <w:t>.</w:t>
      </w:r>
    </w:p>
    <w:p w14:paraId="6101E938" w14:textId="77777777" w:rsidR="0040242A" w:rsidRPr="00381F61" w:rsidRDefault="0040242A" w:rsidP="00E71CEB">
      <w:pPr>
        <w:jc w:val="both"/>
        <w:rPr>
          <w:rFonts w:ascii="Garamond" w:hAnsi="Garamond"/>
        </w:rPr>
      </w:pPr>
    </w:p>
    <w:p w14:paraId="70569BB7" w14:textId="6E94CAB5" w:rsidR="002D57A4" w:rsidRPr="00381F61" w:rsidRDefault="005556AA" w:rsidP="00E71CEB">
      <w:pPr>
        <w:jc w:val="both"/>
        <w:rPr>
          <w:rFonts w:ascii="Garamond" w:hAnsi="Garamond"/>
        </w:rPr>
      </w:pPr>
      <w:r w:rsidRPr="00381F61">
        <w:rPr>
          <w:rFonts w:ascii="Garamond" w:hAnsi="Garamond"/>
        </w:rPr>
        <w:t>That does not mean the Treasury’s projections have no value</w:t>
      </w:r>
      <w:r w:rsidR="00196A68" w:rsidRPr="00381F61">
        <w:rPr>
          <w:rFonts w:ascii="Garamond" w:hAnsi="Garamond"/>
        </w:rPr>
        <w:t>,</w:t>
      </w:r>
      <w:r w:rsidRPr="00381F61">
        <w:rPr>
          <w:rFonts w:ascii="Garamond" w:hAnsi="Garamond"/>
        </w:rPr>
        <w:t xml:space="preserve"> but we must understand their significance</w:t>
      </w:r>
      <w:r w:rsidR="000A0459" w:rsidRPr="00381F61">
        <w:rPr>
          <w:rFonts w:ascii="Garamond" w:hAnsi="Garamond"/>
        </w:rPr>
        <w:t xml:space="preserve"> to retirement income policies in particular</w:t>
      </w:r>
      <w:r w:rsidRPr="00381F61">
        <w:rPr>
          <w:rFonts w:ascii="Garamond" w:hAnsi="Garamond"/>
        </w:rPr>
        <w:t xml:space="preserve">.  </w:t>
      </w:r>
      <w:r w:rsidR="002D57A4" w:rsidRPr="00381F61">
        <w:rPr>
          <w:rFonts w:ascii="Garamond" w:hAnsi="Garamond"/>
        </w:rPr>
        <w:t>Part of that is building a degree of trust in our future.</w:t>
      </w:r>
      <w:r w:rsidR="00762EF0" w:rsidRPr="00381F61">
        <w:rPr>
          <w:rFonts w:ascii="Garamond" w:hAnsi="Garamond"/>
        </w:rPr>
        <w:t xml:space="preserve">  Part of it is giving us plenty of warning about the trends under current policy settings.</w:t>
      </w:r>
    </w:p>
    <w:p w14:paraId="3E08AB77" w14:textId="77777777" w:rsidR="002D57A4" w:rsidRPr="00381F61" w:rsidRDefault="002D57A4" w:rsidP="00E71CEB">
      <w:pPr>
        <w:jc w:val="both"/>
        <w:rPr>
          <w:rFonts w:ascii="Garamond" w:hAnsi="Garamond"/>
        </w:rPr>
      </w:pPr>
    </w:p>
    <w:p w14:paraId="601FCB20" w14:textId="04ACDFAB" w:rsidR="005556AA" w:rsidRPr="00381F61" w:rsidRDefault="002D57A4" w:rsidP="00E71CEB">
      <w:pPr>
        <w:jc w:val="both"/>
        <w:rPr>
          <w:rFonts w:ascii="Garamond" w:hAnsi="Garamond"/>
        </w:rPr>
      </w:pPr>
      <w:r w:rsidRPr="00381F61">
        <w:rPr>
          <w:rFonts w:ascii="Garamond" w:hAnsi="Garamond"/>
        </w:rPr>
        <w:t>However, t</w:t>
      </w:r>
      <w:r w:rsidR="005556AA" w:rsidRPr="00381F61">
        <w:rPr>
          <w:rFonts w:ascii="Garamond" w:hAnsi="Garamond"/>
        </w:rPr>
        <w:t>oday’s taxpayers, through the government, decide on today’s spending priorities.  A similar process will take place in 10, 20 and 40 years and nothing we say today and n</w:t>
      </w:r>
      <w:r w:rsidR="0040242A" w:rsidRPr="00381F61">
        <w:rPr>
          <w:rFonts w:ascii="Garamond" w:hAnsi="Garamond"/>
        </w:rPr>
        <w:t xml:space="preserve">o institution we develop today, </w:t>
      </w:r>
      <w:r w:rsidR="005556AA" w:rsidRPr="00381F61">
        <w:rPr>
          <w:rFonts w:ascii="Garamond" w:hAnsi="Garamond"/>
        </w:rPr>
        <w:t xml:space="preserve">such as the </w:t>
      </w:r>
      <w:r w:rsidR="0040242A" w:rsidRPr="00381F61">
        <w:rPr>
          <w:rFonts w:ascii="Garamond" w:hAnsi="Garamond"/>
        </w:rPr>
        <w:t>New Zealand Superannuation Fund</w:t>
      </w:r>
      <w:r w:rsidR="0040242A" w:rsidRPr="00381F61">
        <w:rPr>
          <w:rStyle w:val="FootnoteReference"/>
          <w:rFonts w:ascii="Garamond" w:hAnsi="Garamond"/>
        </w:rPr>
        <w:footnoteReference w:id="20"/>
      </w:r>
      <w:r w:rsidR="0040242A" w:rsidRPr="00381F61">
        <w:rPr>
          <w:rFonts w:ascii="Garamond" w:hAnsi="Garamond"/>
        </w:rPr>
        <w:t xml:space="preserve"> or </w:t>
      </w:r>
      <w:r w:rsidR="001C68F8" w:rsidRPr="00381F61">
        <w:rPr>
          <w:rFonts w:ascii="Garamond" w:hAnsi="Garamond"/>
        </w:rPr>
        <w:t xml:space="preserve">any </w:t>
      </w:r>
      <w:r w:rsidR="0040242A" w:rsidRPr="00381F61">
        <w:rPr>
          <w:rFonts w:ascii="Garamond" w:hAnsi="Garamond"/>
        </w:rPr>
        <w:t>decision</w:t>
      </w:r>
      <w:r w:rsidR="001C68F8" w:rsidRPr="00381F61">
        <w:rPr>
          <w:rFonts w:ascii="Garamond" w:hAnsi="Garamond"/>
        </w:rPr>
        <w:t>s today on the future size and shape of NZS</w:t>
      </w:r>
      <w:r w:rsidR="0010612A" w:rsidRPr="00381F61">
        <w:rPr>
          <w:rFonts w:ascii="Garamond" w:hAnsi="Garamond"/>
        </w:rPr>
        <w:t>,</w:t>
      </w:r>
      <w:r w:rsidR="0040242A" w:rsidRPr="00381F61">
        <w:rPr>
          <w:rFonts w:ascii="Garamond" w:hAnsi="Garamond"/>
        </w:rPr>
        <w:t xml:space="preserve"> </w:t>
      </w:r>
      <w:r w:rsidR="005556AA" w:rsidRPr="00381F61">
        <w:rPr>
          <w:rFonts w:ascii="Garamond" w:hAnsi="Garamond"/>
        </w:rPr>
        <w:t>can change that.</w:t>
      </w:r>
    </w:p>
    <w:p w14:paraId="1FECFB22" w14:textId="77777777" w:rsidR="005556AA" w:rsidRPr="00381F61" w:rsidRDefault="005556AA" w:rsidP="00E71CEB">
      <w:pPr>
        <w:jc w:val="both"/>
        <w:rPr>
          <w:rFonts w:ascii="Garamond" w:hAnsi="Garamond"/>
        </w:rPr>
      </w:pPr>
    </w:p>
    <w:p w14:paraId="616AFBBA" w14:textId="3401E69E" w:rsidR="005556AA" w:rsidRPr="00381F61" w:rsidRDefault="005556AA" w:rsidP="00E71CEB">
      <w:pPr>
        <w:jc w:val="both"/>
        <w:rPr>
          <w:rFonts w:ascii="Garamond" w:hAnsi="Garamond"/>
        </w:rPr>
      </w:pPr>
      <w:r w:rsidRPr="00381F61">
        <w:rPr>
          <w:rFonts w:ascii="Garamond" w:hAnsi="Garamond"/>
        </w:rPr>
        <w:t>We develop or refine today’s Tier 1 pension (NZS) based on today’s conditions (sustainability, fairness etc</w:t>
      </w:r>
      <w:r w:rsidR="003025B4" w:rsidRPr="00381F61">
        <w:rPr>
          <w:rFonts w:ascii="Garamond" w:hAnsi="Garamond"/>
        </w:rPr>
        <w:t>.</w:t>
      </w:r>
      <w:r w:rsidRPr="00381F61">
        <w:rPr>
          <w:rFonts w:ascii="Garamond" w:hAnsi="Garamond"/>
        </w:rPr>
        <w:t>)</w:t>
      </w:r>
      <w:r w:rsidR="00A32A1B" w:rsidRPr="00381F61">
        <w:rPr>
          <w:rFonts w:ascii="Garamond" w:hAnsi="Garamond"/>
        </w:rPr>
        <w:t xml:space="preserve"> and we leave it to today’s savers to make their retirement saving plans based on what we know today.  The cost projections show what that might look</w:t>
      </w:r>
      <w:r w:rsidR="00E57FF5" w:rsidRPr="00381F61">
        <w:rPr>
          <w:rFonts w:ascii="Garamond" w:hAnsi="Garamond"/>
        </w:rPr>
        <w:t xml:space="preserve"> like</w:t>
      </w:r>
      <w:r w:rsidR="00A32A1B" w:rsidRPr="00381F61">
        <w:rPr>
          <w:rFonts w:ascii="Garamond" w:hAnsi="Garamond"/>
        </w:rPr>
        <w:t xml:space="preserve"> in 20 or 40 years so that savers can guess the robustness of their overall expected retirement income provision (state plus private)</w:t>
      </w:r>
      <w:r w:rsidR="0040242A" w:rsidRPr="00381F61">
        <w:rPr>
          <w:rFonts w:ascii="Garamond" w:hAnsi="Garamond"/>
        </w:rPr>
        <w:t xml:space="preserve"> and the contribution that NZS might make to that</w:t>
      </w:r>
      <w:r w:rsidR="00A32A1B" w:rsidRPr="00381F61">
        <w:rPr>
          <w:rFonts w:ascii="Garamond" w:hAnsi="Garamond"/>
        </w:rPr>
        <w:t>.</w:t>
      </w:r>
      <w:r w:rsidR="00DD31E2" w:rsidRPr="00381F61">
        <w:rPr>
          <w:rFonts w:ascii="Garamond" w:hAnsi="Garamond"/>
        </w:rPr>
        <w:t xml:space="preserve">  Savers can </w:t>
      </w:r>
      <w:r w:rsidR="002C2D90" w:rsidRPr="00381F61">
        <w:rPr>
          <w:rFonts w:ascii="Garamond" w:hAnsi="Garamond"/>
        </w:rPr>
        <w:t>assess the robustness of their planning and as they get closer to retirement, make appropriate adjustments to private provision.</w:t>
      </w:r>
    </w:p>
    <w:p w14:paraId="26F099AA" w14:textId="77777777" w:rsidR="002C2D90" w:rsidRPr="00381F61" w:rsidRDefault="002C2D90" w:rsidP="00E71CEB">
      <w:pPr>
        <w:jc w:val="both"/>
        <w:rPr>
          <w:rFonts w:ascii="Garamond" w:hAnsi="Garamond"/>
        </w:rPr>
      </w:pPr>
    </w:p>
    <w:p w14:paraId="7743D629" w14:textId="77C489C9" w:rsidR="002C2D90" w:rsidRPr="00381F61" w:rsidRDefault="002C2D90" w:rsidP="00E71CEB">
      <w:pPr>
        <w:jc w:val="both"/>
        <w:rPr>
          <w:rFonts w:ascii="Garamond" w:hAnsi="Garamond"/>
        </w:rPr>
      </w:pPr>
      <w:r w:rsidRPr="00381F61">
        <w:rPr>
          <w:rFonts w:ascii="Garamond" w:hAnsi="Garamond"/>
        </w:rPr>
        <w:t xml:space="preserve">The </w:t>
      </w:r>
      <w:r w:rsidR="0024699A" w:rsidRPr="00381F61">
        <w:rPr>
          <w:rFonts w:ascii="Garamond" w:hAnsi="Garamond"/>
        </w:rPr>
        <w:t xml:space="preserve">Treasury’s </w:t>
      </w:r>
      <w:r w:rsidRPr="00381F61">
        <w:rPr>
          <w:rFonts w:ascii="Garamond" w:hAnsi="Garamond"/>
        </w:rPr>
        <w:t>projections do not limit the possibility of changes, even quite rapid changes to public provision.  That is and must be the prerogative of taxpayers of the day</w:t>
      </w:r>
      <w:r w:rsidR="00121A5C" w:rsidRPr="00381F61">
        <w:rPr>
          <w:rFonts w:ascii="Garamond" w:hAnsi="Garamond"/>
        </w:rPr>
        <w:t>,</w:t>
      </w:r>
      <w:r w:rsidRPr="00381F61">
        <w:rPr>
          <w:rFonts w:ascii="Garamond" w:hAnsi="Garamond"/>
        </w:rPr>
        <w:t xml:space="preserve"> but we should expect the constant and consistent flow of information to reduce the possib</w:t>
      </w:r>
      <w:r w:rsidR="003C16DD" w:rsidRPr="00381F61">
        <w:rPr>
          <w:rFonts w:ascii="Garamond" w:hAnsi="Garamond"/>
        </w:rPr>
        <w:t>ility</w:t>
      </w:r>
      <w:r w:rsidRPr="00381F61">
        <w:rPr>
          <w:rFonts w:ascii="Garamond" w:hAnsi="Garamond"/>
        </w:rPr>
        <w:t xml:space="preserve"> of disruptive changes such as New Zealand faced over the 20 years from 1975</w:t>
      </w:r>
      <w:r w:rsidR="00BB46EE" w:rsidRPr="00381F61">
        <w:rPr>
          <w:rStyle w:val="FootnoteReference"/>
          <w:rFonts w:ascii="Garamond" w:hAnsi="Garamond"/>
        </w:rPr>
        <w:footnoteReference w:id="21"/>
      </w:r>
      <w:r w:rsidRPr="00381F61">
        <w:rPr>
          <w:rFonts w:ascii="Garamond" w:hAnsi="Garamond"/>
        </w:rPr>
        <w:t>.</w:t>
      </w:r>
    </w:p>
    <w:p w14:paraId="5F2F66D5" w14:textId="77777777" w:rsidR="00DC2EB2" w:rsidRPr="00381F61" w:rsidRDefault="00DC2EB2" w:rsidP="00E71CEB">
      <w:pPr>
        <w:jc w:val="both"/>
        <w:rPr>
          <w:rFonts w:ascii="Garamond" w:hAnsi="Garamond"/>
        </w:rPr>
      </w:pPr>
    </w:p>
    <w:p w14:paraId="5E27D6B5" w14:textId="770D456F" w:rsidR="003A4817" w:rsidRPr="00381F61" w:rsidRDefault="00DC2EB2" w:rsidP="00E71CEB">
      <w:pPr>
        <w:jc w:val="both"/>
        <w:rPr>
          <w:rFonts w:ascii="Garamond" w:hAnsi="Garamond"/>
          <w:color w:val="000000" w:themeColor="text1"/>
        </w:rPr>
      </w:pPr>
      <w:r w:rsidRPr="00381F61">
        <w:rPr>
          <w:rFonts w:ascii="Garamond" w:hAnsi="Garamond"/>
          <w:color w:val="000000" w:themeColor="text1"/>
        </w:rPr>
        <w:t>However, taxpayers of tomorrow might resent having their hands tied in any way with respect to decisions that are theirs to make at the appropriate time and recognising the then appropriate competing demands on their taxes.  A decision today about</w:t>
      </w:r>
      <w:r w:rsidR="00940F3F" w:rsidRPr="00381F61">
        <w:rPr>
          <w:rFonts w:ascii="Garamond" w:hAnsi="Garamond"/>
          <w:color w:val="000000" w:themeColor="text1"/>
        </w:rPr>
        <w:t>, for example,</w:t>
      </w:r>
      <w:r w:rsidRPr="00381F61">
        <w:rPr>
          <w:rFonts w:ascii="Garamond" w:hAnsi="Garamond"/>
          <w:color w:val="000000" w:themeColor="text1"/>
        </w:rPr>
        <w:t xml:space="preserve"> the state pension age in 20</w:t>
      </w:r>
      <w:r w:rsidR="00940F3F" w:rsidRPr="00381F61">
        <w:rPr>
          <w:rFonts w:ascii="Garamond" w:hAnsi="Garamond"/>
          <w:color w:val="000000" w:themeColor="text1"/>
        </w:rPr>
        <w:t>40</w:t>
      </w:r>
      <w:r w:rsidRPr="00381F61">
        <w:rPr>
          <w:rFonts w:ascii="Garamond" w:hAnsi="Garamond"/>
          <w:color w:val="000000" w:themeColor="text1"/>
        </w:rPr>
        <w:t xml:space="preserve"> could be seen, in 20 years, as a constraint on tomorrow’s decision-making process.</w:t>
      </w:r>
    </w:p>
    <w:p w14:paraId="684E6F1A" w14:textId="77777777" w:rsidR="003A4817" w:rsidRPr="00381F61" w:rsidRDefault="003A4817" w:rsidP="00E71CEB">
      <w:pPr>
        <w:jc w:val="both"/>
        <w:rPr>
          <w:rFonts w:ascii="Garamond" w:hAnsi="Garamond"/>
          <w:color w:val="000000" w:themeColor="text1"/>
        </w:rPr>
      </w:pPr>
    </w:p>
    <w:p w14:paraId="3888D3AB" w14:textId="69C1EBE4" w:rsidR="00DC2EB2" w:rsidRPr="00381F61" w:rsidRDefault="00DC2EB2" w:rsidP="00E71CEB">
      <w:pPr>
        <w:jc w:val="both"/>
        <w:rPr>
          <w:rFonts w:ascii="Garamond" w:hAnsi="Garamond"/>
        </w:rPr>
      </w:pPr>
      <w:r w:rsidRPr="00381F61">
        <w:rPr>
          <w:rFonts w:ascii="Garamond" w:hAnsi="Garamond"/>
          <w:color w:val="000000" w:themeColor="text1"/>
        </w:rPr>
        <w:t xml:space="preserve">Similarly, the presence of the New Zealand Superannuation Fund might be seen as a constraint on future governments’ ability to make decisions about the size of NZS.  Today’s taxpayers </w:t>
      </w:r>
      <w:r w:rsidR="0043793C" w:rsidRPr="00381F61">
        <w:rPr>
          <w:rFonts w:ascii="Garamond" w:hAnsi="Garamond"/>
          <w:color w:val="000000" w:themeColor="text1"/>
        </w:rPr>
        <w:t xml:space="preserve">might say they </w:t>
      </w:r>
      <w:r w:rsidR="005C26D7" w:rsidRPr="00381F61">
        <w:rPr>
          <w:rFonts w:ascii="Garamond" w:hAnsi="Garamond"/>
          <w:color w:val="000000" w:themeColor="text1"/>
        </w:rPr>
        <w:t xml:space="preserve">have paid </w:t>
      </w:r>
      <w:r w:rsidRPr="00381F61">
        <w:rPr>
          <w:rFonts w:ascii="Garamond" w:hAnsi="Garamond"/>
          <w:color w:val="000000" w:themeColor="text1"/>
        </w:rPr>
        <w:t xml:space="preserve">more than is needed today </w:t>
      </w:r>
      <w:r w:rsidR="005C26D7" w:rsidRPr="00381F61">
        <w:rPr>
          <w:rFonts w:ascii="Garamond" w:hAnsi="Garamond"/>
          <w:color w:val="000000" w:themeColor="text1"/>
        </w:rPr>
        <w:t xml:space="preserve">for NZS </w:t>
      </w:r>
      <w:r w:rsidRPr="00381F61">
        <w:rPr>
          <w:rFonts w:ascii="Garamond" w:hAnsi="Garamond"/>
          <w:color w:val="000000" w:themeColor="text1"/>
        </w:rPr>
        <w:t>(by the amount of the contributions to the NZSF) and might reasonably argue, when they become pensioners, that they have already partly paid for their pensions.</w:t>
      </w:r>
    </w:p>
    <w:p w14:paraId="4C768A6C" w14:textId="5A95CCC3" w:rsidR="001502CA" w:rsidRPr="00381F61" w:rsidRDefault="001502CA" w:rsidP="00E71CEB">
      <w:pPr>
        <w:jc w:val="both"/>
        <w:rPr>
          <w:rFonts w:ascii="Garamond" w:hAnsi="Garamond"/>
        </w:rPr>
      </w:pPr>
    </w:p>
    <w:p w14:paraId="3FDD3C64" w14:textId="3B22C19D" w:rsidR="00845144" w:rsidRPr="00381F61" w:rsidRDefault="00845144" w:rsidP="00E71CEB">
      <w:pPr>
        <w:jc w:val="both"/>
        <w:rPr>
          <w:rFonts w:ascii="Garamond" w:hAnsi="Garamond"/>
        </w:rPr>
      </w:pPr>
      <w:r w:rsidRPr="00381F61">
        <w:rPr>
          <w:rFonts w:ascii="Garamond" w:hAnsi="Garamond"/>
          <w:b/>
        </w:rPr>
        <w:t>Terms of reference for 2019 Review</w:t>
      </w:r>
    </w:p>
    <w:p w14:paraId="3F6A7316" w14:textId="71CDDEAB" w:rsidR="00845144" w:rsidRPr="00381F61" w:rsidRDefault="00845144" w:rsidP="00E71CEB">
      <w:pPr>
        <w:jc w:val="both"/>
        <w:rPr>
          <w:rFonts w:ascii="Garamond" w:hAnsi="Garamond"/>
        </w:rPr>
      </w:pPr>
    </w:p>
    <w:p w14:paraId="01E4317F" w14:textId="1A7BA701" w:rsidR="00845144" w:rsidRPr="00381F61" w:rsidRDefault="00845144" w:rsidP="00E71CEB">
      <w:pPr>
        <w:jc w:val="both"/>
        <w:rPr>
          <w:rFonts w:ascii="Garamond" w:hAnsi="Garamond"/>
        </w:rPr>
      </w:pPr>
      <w:r w:rsidRPr="00381F61">
        <w:rPr>
          <w:rFonts w:ascii="Garamond" w:hAnsi="Garamond"/>
        </w:rPr>
        <w:t>The Terms of Reference for the Retirement Commissioner’s 2019 Review do potentially allow for coverage of the issues raised in this section.  The Review is asked for:</w:t>
      </w:r>
    </w:p>
    <w:p w14:paraId="6936927A" w14:textId="77777777" w:rsidR="00980927" w:rsidRPr="00381F61" w:rsidRDefault="00980927" w:rsidP="00845144">
      <w:pPr>
        <w:pStyle w:val="ListParagraph"/>
        <w:widowControl w:val="0"/>
        <w:tabs>
          <w:tab w:val="left" w:pos="1191"/>
          <w:tab w:val="left" w:pos="1192"/>
        </w:tabs>
        <w:autoSpaceDE w:val="0"/>
        <w:autoSpaceDN w:val="0"/>
        <w:ind w:left="284" w:right="114"/>
        <w:contextualSpacing w:val="0"/>
        <w:jc w:val="both"/>
        <w:rPr>
          <w:rFonts w:ascii="Garamond" w:hAnsi="Garamond"/>
          <w:sz w:val="8"/>
          <w:szCs w:val="8"/>
        </w:rPr>
      </w:pPr>
    </w:p>
    <w:p w14:paraId="0C662986" w14:textId="720948B1" w:rsidR="00845144" w:rsidRPr="00381F61" w:rsidRDefault="00845144" w:rsidP="00701CA1">
      <w:pPr>
        <w:pStyle w:val="ListParagraph"/>
        <w:widowControl w:val="0"/>
        <w:tabs>
          <w:tab w:val="left" w:pos="1191"/>
          <w:tab w:val="left" w:pos="1192"/>
        </w:tabs>
        <w:autoSpaceDE w:val="0"/>
        <w:autoSpaceDN w:val="0"/>
        <w:ind w:left="284" w:right="114"/>
        <w:contextualSpacing w:val="0"/>
        <w:jc w:val="both"/>
        <w:rPr>
          <w:rFonts w:ascii="Garamond" w:hAnsi="Garamond"/>
          <w:color w:val="1A1A1A"/>
          <w:sz w:val="22"/>
          <w:szCs w:val="22"/>
        </w:rPr>
      </w:pPr>
      <w:r w:rsidRPr="00381F61">
        <w:rPr>
          <w:rFonts w:ascii="Garamond" w:hAnsi="Garamond"/>
        </w:rPr>
        <w:t>“</w:t>
      </w:r>
      <w:r w:rsidRPr="00381F61">
        <w:rPr>
          <w:rFonts w:ascii="Garamond" w:hAnsi="Garamond"/>
          <w:color w:val="1A1A1A"/>
          <w:sz w:val="22"/>
          <w:szCs w:val="22"/>
        </w:rPr>
        <w:t>An assessment of the impact of current retirement income policies on current and future generations, with due consideration given to the fiscal sustainability of current New Zealand superannuation</w:t>
      </w:r>
      <w:r w:rsidRPr="00381F61">
        <w:rPr>
          <w:rFonts w:ascii="Garamond" w:hAnsi="Garamond"/>
          <w:color w:val="1A1A1A"/>
          <w:spacing w:val="30"/>
          <w:sz w:val="22"/>
          <w:szCs w:val="22"/>
        </w:rPr>
        <w:t xml:space="preserve"> </w:t>
      </w:r>
      <w:r w:rsidRPr="00381F61">
        <w:rPr>
          <w:rFonts w:ascii="Garamond" w:hAnsi="Garamond"/>
          <w:color w:val="1A1A1A"/>
          <w:sz w:val="22"/>
          <w:szCs w:val="22"/>
        </w:rPr>
        <w:t>settings.”</w:t>
      </w:r>
    </w:p>
    <w:p w14:paraId="14C28118" w14:textId="7A80F264" w:rsidR="00845144" w:rsidRPr="00381F61" w:rsidRDefault="00845144" w:rsidP="00E71CEB">
      <w:pPr>
        <w:jc w:val="both"/>
        <w:rPr>
          <w:rFonts w:ascii="Garamond" w:hAnsi="Garamond"/>
        </w:rPr>
      </w:pPr>
    </w:p>
    <w:p w14:paraId="3FDFE75B" w14:textId="34C83021" w:rsidR="00845144" w:rsidRPr="00381F61" w:rsidRDefault="00845144" w:rsidP="00E71CEB">
      <w:pPr>
        <w:jc w:val="both"/>
        <w:rPr>
          <w:rFonts w:ascii="Garamond" w:hAnsi="Garamond"/>
        </w:rPr>
      </w:pPr>
      <w:r w:rsidRPr="00381F61">
        <w:rPr>
          <w:rFonts w:ascii="Garamond" w:hAnsi="Garamond"/>
        </w:rPr>
        <w:t>We have more to say on issues associated specifically with fiscal sustainability in the next section 5.  Under the topics covered in this section, we would anticipate coverage in the 2019 Review of issues associated with the Treasury’s ‘Long Term Fiscal Model’.</w:t>
      </w:r>
    </w:p>
    <w:p w14:paraId="3C0236E1" w14:textId="77777777" w:rsidR="00A50AD6" w:rsidRPr="00381F61" w:rsidRDefault="00A50AD6" w:rsidP="00E71CEB">
      <w:pPr>
        <w:jc w:val="both"/>
        <w:rPr>
          <w:rFonts w:ascii="Garamond" w:hAnsi="Garamond"/>
        </w:rPr>
      </w:pPr>
    </w:p>
    <w:p w14:paraId="62C61491" w14:textId="49E6E69F" w:rsidR="00A50AD6" w:rsidRPr="00381F61" w:rsidRDefault="00A50AD6" w:rsidP="00E71CEB">
      <w:pPr>
        <w:jc w:val="both"/>
        <w:rPr>
          <w:rFonts w:ascii="Garamond" w:hAnsi="Garamond"/>
          <w:b/>
        </w:rPr>
      </w:pPr>
      <w:r w:rsidRPr="00381F61">
        <w:rPr>
          <w:rFonts w:ascii="Garamond" w:hAnsi="Garamond"/>
          <w:b/>
        </w:rPr>
        <w:t>Questions New Zealand needs to discuss</w:t>
      </w:r>
      <w:r w:rsidR="00A256AB" w:rsidRPr="00381F61">
        <w:rPr>
          <w:rFonts w:ascii="Garamond" w:hAnsi="Garamond"/>
          <w:b/>
        </w:rPr>
        <w:t xml:space="preserve"> on New Zealand Superannuation’s cost</w:t>
      </w:r>
      <w:r w:rsidR="00121A5C" w:rsidRPr="00381F61">
        <w:rPr>
          <w:rFonts w:ascii="Garamond" w:hAnsi="Garamond"/>
          <w:b/>
        </w:rPr>
        <w:t>:</w:t>
      </w:r>
    </w:p>
    <w:p w14:paraId="10B5AFBB" w14:textId="77777777" w:rsidR="0040242A" w:rsidRPr="00381F61" w:rsidRDefault="0040242A" w:rsidP="00E71CEB">
      <w:pPr>
        <w:jc w:val="both"/>
        <w:rPr>
          <w:rFonts w:ascii="Garamond" w:hAnsi="Garamond"/>
          <w:b/>
        </w:rPr>
      </w:pPr>
    </w:p>
    <w:p w14:paraId="3DF4C6D5" w14:textId="59DD5FC9" w:rsidR="00F57DA6" w:rsidRPr="00381F61" w:rsidRDefault="0040242A" w:rsidP="00E71CEB">
      <w:pPr>
        <w:pStyle w:val="ListParagraph"/>
        <w:numPr>
          <w:ilvl w:val="0"/>
          <w:numId w:val="20"/>
        </w:numPr>
        <w:jc w:val="both"/>
        <w:rPr>
          <w:rFonts w:ascii="Garamond" w:hAnsi="Garamond"/>
        </w:rPr>
      </w:pPr>
      <w:r w:rsidRPr="00381F61">
        <w:rPr>
          <w:rFonts w:ascii="Garamond" w:hAnsi="Garamond"/>
        </w:rPr>
        <w:t xml:space="preserve">Are we convinced that the future </w:t>
      </w:r>
      <w:r w:rsidRPr="00381F61">
        <w:rPr>
          <w:rFonts w:ascii="Garamond" w:hAnsi="Garamond"/>
          <w:u w:val="single"/>
        </w:rPr>
        <w:t>cost</w:t>
      </w:r>
      <w:r w:rsidRPr="00381F61">
        <w:rPr>
          <w:rFonts w:ascii="Garamond" w:hAnsi="Garamond"/>
        </w:rPr>
        <w:t xml:space="preserve"> of NZS will be the amounts paid each year and that will have nothing to do with the amount of money in the NZSF?</w:t>
      </w:r>
    </w:p>
    <w:p w14:paraId="6B4058EE" w14:textId="77777777" w:rsidR="00A42E25" w:rsidRPr="00381F61" w:rsidRDefault="00A42E25" w:rsidP="00E71CEB">
      <w:pPr>
        <w:pStyle w:val="ListParagraph"/>
        <w:jc w:val="both"/>
        <w:rPr>
          <w:rFonts w:ascii="Garamond" w:hAnsi="Garamond"/>
        </w:rPr>
      </w:pPr>
    </w:p>
    <w:p w14:paraId="74EEE760" w14:textId="324E20B1" w:rsidR="00F57DA6" w:rsidRPr="00381F61" w:rsidRDefault="00F57DA6" w:rsidP="00E71CEB">
      <w:pPr>
        <w:pStyle w:val="ListParagraph"/>
        <w:numPr>
          <w:ilvl w:val="0"/>
          <w:numId w:val="20"/>
        </w:numPr>
        <w:jc w:val="both"/>
        <w:rPr>
          <w:rFonts w:ascii="Garamond" w:hAnsi="Garamond"/>
        </w:rPr>
      </w:pPr>
      <w:r w:rsidRPr="00381F61">
        <w:rPr>
          <w:rFonts w:ascii="Garamond" w:hAnsi="Garamond"/>
        </w:rPr>
        <w:t xml:space="preserve">How robust are the Treasury’s projections in the ‘Long Term Fiscal Model’ </w:t>
      </w:r>
      <w:r w:rsidR="00121A5C" w:rsidRPr="00381F61">
        <w:rPr>
          <w:rFonts w:ascii="Garamond" w:hAnsi="Garamond"/>
        </w:rPr>
        <w:t xml:space="preserve">to highlight the trends </w:t>
      </w:r>
      <w:r w:rsidRPr="00381F61">
        <w:rPr>
          <w:rFonts w:ascii="Garamond" w:hAnsi="Garamond"/>
        </w:rPr>
        <w:t>and what are the main risks to those?</w:t>
      </w:r>
      <w:r w:rsidR="00940F3F" w:rsidRPr="00381F61">
        <w:rPr>
          <w:rFonts w:ascii="Garamond" w:hAnsi="Garamond"/>
        </w:rPr>
        <w:t xml:space="preserve">  How can we improve them?</w:t>
      </w:r>
    </w:p>
    <w:p w14:paraId="1EA08A64" w14:textId="77777777" w:rsidR="00A42E25" w:rsidRPr="00381F61" w:rsidRDefault="00A42E25" w:rsidP="00E71CEB">
      <w:pPr>
        <w:ind w:left="709"/>
        <w:jc w:val="both"/>
        <w:rPr>
          <w:rFonts w:ascii="Garamond" w:hAnsi="Garamond"/>
        </w:rPr>
      </w:pPr>
    </w:p>
    <w:p w14:paraId="1CB07EC9" w14:textId="3FC94BE0" w:rsidR="0040242A" w:rsidRPr="00381F61" w:rsidRDefault="0040242A" w:rsidP="00E71CEB">
      <w:pPr>
        <w:pStyle w:val="ListParagraph"/>
        <w:numPr>
          <w:ilvl w:val="0"/>
          <w:numId w:val="20"/>
        </w:numPr>
        <w:jc w:val="both"/>
        <w:rPr>
          <w:rFonts w:ascii="Garamond" w:hAnsi="Garamond"/>
        </w:rPr>
      </w:pPr>
      <w:r w:rsidRPr="00381F61">
        <w:rPr>
          <w:rFonts w:ascii="Garamond" w:hAnsi="Garamond"/>
        </w:rPr>
        <w:t xml:space="preserve">Why can’t we have an accessible model that allows us to see what the cost implications of different </w:t>
      </w:r>
      <w:r w:rsidR="003025B4" w:rsidRPr="00381F61">
        <w:rPr>
          <w:rFonts w:ascii="Garamond" w:hAnsi="Garamond"/>
        </w:rPr>
        <w:t>possible changes to the design of NZS?  What</w:t>
      </w:r>
      <w:r w:rsidR="00B107D0" w:rsidRPr="00381F61">
        <w:rPr>
          <w:rFonts w:ascii="Garamond" w:hAnsi="Garamond"/>
        </w:rPr>
        <w:t>,</w:t>
      </w:r>
      <w:r w:rsidR="003025B4" w:rsidRPr="00381F61">
        <w:rPr>
          <w:rFonts w:ascii="Garamond" w:hAnsi="Garamond"/>
        </w:rPr>
        <w:t xml:space="preserve"> for example</w:t>
      </w:r>
      <w:r w:rsidR="00B107D0" w:rsidRPr="00381F61">
        <w:rPr>
          <w:rFonts w:ascii="Garamond" w:hAnsi="Garamond"/>
        </w:rPr>
        <w:t>,</w:t>
      </w:r>
      <w:r w:rsidR="003025B4" w:rsidRPr="00381F61">
        <w:rPr>
          <w:rFonts w:ascii="Garamond" w:hAnsi="Garamond"/>
        </w:rPr>
        <w:t xml:space="preserve"> are the implications of </w:t>
      </w:r>
      <w:r w:rsidR="00940F3F" w:rsidRPr="00381F61">
        <w:rPr>
          <w:rFonts w:ascii="Garamond" w:hAnsi="Garamond"/>
        </w:rPr>
        <w:t>possible</w:t>
      </w:r>
      <w:r w:rsidR="00845144" w:rsidRPr="00381F61">
        <w:rPr>
          <w:rFonts w:ascii="Garamond" w:hAnsi="Garamond"/>
        </w:rPr>
        <w:t xml:space="preserve"> </w:t>
      </w:r>
      <w:r w:rsidR="003025B4" w:rsidRPr="00381F61">
        <w:rPr>
          <w:rFonts w:ascii="Garamond" w:hAnsi="Garamond"/>
        </w:rPr>
        <w:t xml:space="preserve">changes in the state pension age?  What might happen if other aspects of the </w:t>
      </w:r>
      <w:r w:rsidR="00940F3F" w:rsidRPr="00381F61">
        <w:rPr>
          <w:rFonts w:ascii="Garamond" w:hAnsi="Garamond"/>
        </w:rPr>
        <w:t xml:space="preserve">benefit </w:t>
      </w:r>
      <w:r w:rsidR="003025B4" w:rsidRPr="00381F61">
        <w:rPr>
          <w:rFonts w:ascii="Garamond" w:hAnsi="Garamond"/>
        </w:rPr>
        <w:t>de</w:t>
      </w:r>
      <w:r w:rsidR="004B7169" w:rsidRPr="00381F61">
        <w:rPr>
          <w:rFonts w:ascii="Garamond" w:hAnsi="Garamond"/>
        </w:rPr>
        <w:t>s</w:t>
      </w:r>
      <w:r w:rsidR="003025B4" w:rsidRPr="00381F61">
        <w:rPr>
          <w:rFonts w:ascii="Garamond" w:hAnsi="Garamond"/>
        </w:rPr>
        <w:t>ign changed?</w:t>
      </w:r>
      <w:r w:rsidR="00615FC2" w:rsidRPr="00381F61">
        <w:rPr>
          <w:rStyle w:val="FootnoteReference"/>
          <w:rFonts w:ascii="Garamond" w:hAnsi="Garamond"/>
        </w:rPr>
        <w:footnoteReference w:id="22"/>
      </w:r>
    </w:p>
    <w:p w14:paraId="46E43185" w14:textId="77777777" w:rsidR="00F33829" w:rsidRPr="00381F61" w:rsidRDefault="00F33829" w:rsidP="00611B93">
      <w:pPr>
        <w:ind w:left="709"/>
        <w:jc w:val="both"/>
        <w:rPr>
          <w:rFonts w:ascii="Garamond" w:hAnsi="Garamond"/>
        </w:rPr>
      </w:pPr>
    </w:p>
    <w:p w14:paraId="4BC45B02" w14:textId="2B969462" w:rsidR="00F33829" w:rsidRPr="00381F61" w:rsidRDefault="00F33829" w:rsidP="00E71CEB">
      <w:pPr>
        <w:pStyle w:val="ListParagraph"/>
        <w:numPr>
          <w:ilvl w:val="0"/>
          <w:numId w:val="20"/>
        </w:numPr>
        <w:jc w:val="both"/>
        <w:rPr>
          <w:rFonts w:ascii="Garamond" w:hAnsi="Garamond"/>
        </w:rPr>
      </w:pPr>
      <w:r w:rsidRPr="00381F61">
        <w:rPr>
          <w:rFonts w:ascii="Garamond" w:hAnsi="Garamond"/>
        </w:rPr>
        <w:t xml:space="preserve">Are we clear what the purpose of </w:t>
      </w:r>
      <w:r w:rsidR="00611B93" w:rsidRPr="00381F61">
        <w:rPr>
          <w:rFonts w:ascii="Garamond" w:hAnsi="Garamond"/>
        </w:rPr>
        <w:t>the Treasury’s projections is and their significance to governments’ planning and individuals’ decisions about retirement saving?</w:t>
      </w:r>
    </w:p>
    <w:p w14:paraId="48260625" w14:textId="77777777" w:rsidR="00940F3F" w:rsidRPr="00381F61" w:rsidRDefault="00940F3F" w:rsidP="00E71CEB">
      <w:pPr>
        <w:jc w:val="both"/>
        <w:rPr>
          <w:rFonts w:ascii="Garamond" w:hAnsi="Garamond"/>
        </w:rPr>
      </w:pPr>
    </w:p>
    <w:p w14:paraId="0E370F1C" w14:textId="2C18361F" w:rsidR="003025B4" w:rsidRPr="00381F61" w:rsidRDefault="003025B4" w:rsidP="00E71CEB">
      <w:pPr>
        <w:jc w:val="both"/>
        <w:rPr>
          <w:rFonts w:ascii="Garamond" w:hAnsi="Garamond"/>
        </w:rPr>
      </w:pPr>
      <w:r w:rsidRPr="00381F61">
        <w:rPr>
          <w:rFonts w:ascii="Garamond" w:hAnsi="Garamond"/>
        </w:rPr>
        <w:br w:type="page"/>
      </w:r>
    </w:p>
    <w:p w14:paraId="25F15C7B" w14:textId="4B4AD3B5" w:rsidR="00A97583" w:rsidRPr="00381F61" w:rsidRDefault="00F519BC" w:rsidP="00E71CEB">
      <w:pPr>
        <w:jc w:val="both"/>
        <w:rPr>
          <w:rFonts w:ascii="Garamond" w:hAnsi="Garamond"/>
          <w:b/>
        </w:rPr>
      </w:pPr>
      <w:r w:rsidRPr="00381F61">
        <w:rPr>
          <w:rFonts w:ascii="Garamond" w:hAnsi="Garamond"/>
          <w:b/>
        </w:rPr>
        <w:lastRenderedPageBreak/>
        <w:t>5</w:t>
      </w:r>
      <w:r w:rsidR="00B372BB" w:rsidRPr="00381F61">
        <w:rPr>
          <w:rFonts w:ascii="Garamond" w:hAnsi="Garamond"/>
          <w:b/>
        </w:rPr>
        <w:t>.</w:t>
      </w:r>
      <w:r w:rsidR="00B372BB" w:rsidRPr="00381F61">
        <w:rPr>
          <w:rFonts w:ascii="Garamond" w:hAnsi="Garamond"/>
          <w:b/>
        </w:rPr>
        <w:tab/>
      </w:r>
      <w:r w:rsidR="00040837" w:rsidRPr="00381F61">
        <w:rPr>
          <w:rFonts w:ascii="Garamond" w:hAnsi="Garamond"/>
          <w:b/>
        </w:rPr>
        <w:t>Is N</w:t>
      </w:r>
      <w:r w:rsidR="0024699A" w:rsidRPr="00381F61">
        <w:rPr>
          <w:rFonts w:ascii="Garamond" w:hAnsi="Garamond"/>
          <w:b/>
        </w:rPr>
        <w:t>ew Zealand Superannuation</w:t>
      </w:r>
      <w:r w:rsidR="00040837" w:rsidRPr="00381F61">
        <w:rPr>
          <w:rFonts w:ascii="Garamond" w:hAnsi="Garamond"/>
          <w:b/>
        </w:rPr>
        <w:t xml:space="preserve"> ‘sustainable’?</w:t>
      </w:r>
    </w:p>
    <w:p w14:paraId="233BF626" w14:textId="77777777" w:rsidR="00B372BB" w:rsidRPr="00381F61" w:rsidRDefault="00B372BB" w:rsidP="00E71CEB">
      <w:pPr>
        <w:pStyle w:val="Footer"/>
        <w:jc w:val="both"/>
        <w:rPr>
          <w:rFonts w:ascii="Garamond" w:hAnsi="Garamond"/>
        </w:rPr>
      </w:pPr>
    </w:p>
    <w:p w14:paraId="616135C8" w14:textId="34634FCA" w:rsidR="00B372BB" w:rsidRPr="00381F61" w:rsidRDefault="00B372BB" w:rsidP="00E71CEB">
      <w:pPr>
        <w:pStyle w:val="Footer"/>
        <w:jc w:val="both"/>
        <w:rPr>
          <w:rFonts w:ascii="Garamond" w:hAnsi="Garamond"/>
        </w:rPr>
      </w:pPr>
      <w:r w:rsidRPr="00381F61">
        <w:rPr>
          <w:rFonts w:ascii="Garamond" w:hAnsi="Garamond"/>
        </w:rPr>
        <w:t>New Zealand Superannuation (NZS) is one of the simplest</w:t>
      </w:r>
      <w:r w:rsidR="00AD1C2E" w:rsidRPr="00381F61">
        <w:rPr>
          <w:rFonts w:ascii="Garamond" w:hAnsi="Garamond"/>
        </w:rPr>
        <w:t>, most elegant</w:t>
      </w:r>
      <w:r w:rsidRPr="00381F61">
        <w:rPr>
          <w:rFonts w:ascii="Garamond" w:hAnsi="Garamond"/>
        </w:rPr>
        <w:t xml:space="preserve"> Tier 1 pensions in the developed world.  Every New Zealand resident qualifies for NZS from age 65 as long as they have been resident:</w:t>
      </w:r>
    </w:p>
    <w:p w14:paraId="69593330" w14:textId="2800D124" w:rsidR="00B372BB" w:rsidRPr="00381F61" w:rsidRDefault="00B372BB" w:rsidP="00E71CEB">
      <w:pPr>
        <w:pStyle w:val="Footer"/>
        <w:numPr>
          <w:ilvl w:val="0"/>
          <w:numId w:val="12"/>
        </w:numPr>
        <w:tabs>
          <w:tab w:val="clear" w:pos="4513"/>
          <w:tab w:val="clear" w:pos="9026"/>
        </w:tabs>
        <w:jc w:val="both"/>
        <w:rPr>
          <w:rFonts w:ascii="Garamond" w:hAnsi="Garamond"/>
        </w:rPr>
      </w:pPr>
      <w:r w:rsidRPr="00381F61">
        <w:rPr>
          <w:rFonts w:ascii="Garamond" w:hAnsi="Garamond"/>
        </w:rPr>
        <w:t>at least 10 years after age 20</w:t>
      </w:r>
      <w:r w:rsidR="003025B4" w:rsidRPr="00381F61">
        <w:rPr>
          <w:rStyle w:val="FootnoteReference"/>
          <w:rFonts w:ascii="Garamond" w:hAnsi="Garamond"/>
        </w:rPr>
        <w:footnoteReference w:id="23"/>
      </w:r>
      <w:r w:rsidRPr="00381F61">
        <w:rPr>
          <w:rFonts w:ascii="Garamond" w:hAnsi="Garamond"/>
        </w:rPr>
        <w:t>, including</w:t>
      </w:r>
    </w:p>
    <w:p w14:paraId="1E0DAA1B" w14:textId="77777777" w:rsidR="00B372BB" w:rsidRPr="00381F61" w:rsidRDefault="00B372BB" w:rsidP="00E71CEB">
      <w:pPr>
        <w:pStyle w:val="Footer"/>
        <w:numPr>
          <w:ilvl w:val="0"/>
          <w:numId w:val="12"/>
        </w:numPr>
        <w:tabs>
          <w:tab w:val="clear" w:pos="4513"/>
          <w:tab w:val="clear" w:pos="9026"/>
        </w:tabs>
        <w:jc w:val="both"/>
        <w:rPr>
          <w:rFonts w:ascii="Garamond" w:hAnsi="Garamond"/>
        </w:rPr>
      </w:pPr>
      <w:r w:rsidRPr="00381F61">
        <w:rPr>
          <w:rFonts w:ascii="Garamond" w:hAnsi="Garamond"/>
        </w:rPr>
        <w:t>at least 5 years after age 50.</w:t>
      </w:r>
    </w:p>
    <w:p w14:paraId="4E5EC9A6" w14:textId="77777777" w:rsidR="00B372BB" w:rsidRPr="00381F61" w:rsidRDefault="00B372BB" w:rsidP="00E71CEB">
      <w:pPr>
        <w:jc w:val="both"/>
        <w:rPr>
          <w:rFonts w:ascii="Garamond" w:hAnsi="Garamond"/>
          <w:b/>
          <w:bCs/>
          <w:color w:val="002060"/>
        </w:rPr>
      </w:pPr>
    </w:p>
    <w:p w14:paraId="74EB5AD9" w14:textId="7DD025E2" w:rsidR="00B372BB" w:rsidRPr="00381F61" w:rsidRDefault="00B372BB" w:rsidP="00E71CEB">
      <w:pPr>
        <w:jc w:val="both"/>
        <w:rPr>
          <w:rFonts w:ascii="Garamond" w:hAnsi="Garamond"/>
        </w:rPr>
      </w:pPr>
      <w:r w:rsidRPr="00381F61">
        <w:rPr>
          <w:rFonts w:ascii="Garamond" w:hAnsi="Garamond"/>
        </w:rPr>
        <w:t>NZS provides a net 66% of the net national average wage for a married couple and about 42% for a single person who lives alone</w:t>
      </w:r>
      <w:r w:rsidR="00611B93" w:rsidRPr="00381F61">
        <w:rPr>
          <w:rStyle w:val="FootnoteReference"/>
          <w:rFonts w:ascii="Garamond" w:hAnsi="Garamond"/>
        </w:rPr>
        <w:footnoteReference w:id="24"/>
      </w:r>
      <w:r w:rsidRPr="00381F61">
        <w:rPr>
          <w:rFonts w:ascii="Garamond" w:hAnsi="Garamond"/>
        </w:rPr>
        <w:t>.  It is adjusted annually to reflect changes in inflation but with an underpinning link to the national average wage.  The grossed-up amount is taxed as ordinary income.</w:t>
      </w:r>
    </w:p>
    <w:p w14:paraId="04092F78" w14:textId="77777777" w:rsidR="00B372BB" w:rsidRPr="00381F61" w:rsidRDefault="00B372BB" w:rsidP="00E71CEB">
      <w:pPr>
        <w:pStyle w:val="FootnoteText"/>
        <w:jc w:val="both"/>
        <w:rPr>
          <w:rFonts w:ascii="Garamond" w:hAnsi="Garamond" w:cs="Arial"/>
          <w:color w:val="080000"/>
          <w:lang w:eastAsia="en-US"/>
        </w:rPr>
      </w:pPr>
    </w:p>
    <w:p w14:paraId="13E34418" w14:textId="59016197" w:rsidR="00DC2EB2" w:rsidRPr="00381F61" w:rsidRDefault="00D91AF2" w:rsidP="00E71CEB">
      <w:pPr>
        <w:pStyle w:val="FootnoteText"/>
        <w:jc w:val="both"/>
        <w:rPr>
          <w:rFonts w:ascii="Garamond" w:hAnsi="Garamond" w:cs="Arial"/>
          <w:color w:val="080000"/>
          <w:lang w:eastAsia="en-US"/>
        </w:rPr>
      </w:pPr>
      <w:r w:rsidRPr="00381F61">
        <w:rPr>
          <w:rFonts w:ascii="Garamond" w:hAnsi="Garamond" w:cs="Arial"/>
          <w:color w:val="080000"/>
          <w:lang w:eastAsia="en-US"/>
        </w:rPr>
        <w:t xml:space="preserve">In </w:t>
      </w:r>
      <w:r w:rsidR="008E6314" w:rsidRPr="00381F61">
        <w:rPr>
          <w:rFonts w:ascii="Garamond" w:hAnsi="Garamond" w:cs="Arial"/>
          <w:color w:val="080000"/>
          <w:lang w:eastAsia="en-US"/>
        </w:rPr>
        <w:t xml:space="preserve">the </w:t>
      </w:r>
      <w:r w:rsidRPr="00381F61">
        <w:rPr>
          <w:rFonts w:ascii="Garamond" w:hAnsi="Garamond" w:cs="Arial"/>
          <w:color w:val="080000"/>
          <w:lang w:eastAsia="en-US"/>
        </w:rPr>
        <w:t>2016 Review, t</w:t>
      </w:r>
      <w:r w:rsidR="00DC2EB2" w:rsidRPr="00381F61">
        <w:rPr>
          <w:rFonts w:ascii="Garamond" w:hAnsi="Garamond" w:cs="Arial"/>
          <w:color w:val="080000"/>
          <w:lang w:eastAsia="en-US"/>
        </w:rPr>
        <w:t>he Retirement Commissioner expressed concern about the escalating cost of NZS:</w:t>
      </w:r>
    </w:p>
    <w:p w14:paraId="10B8096A" w14:textId="77777777" w:rsidR="00DC2EB2" w:rsidRPr="00381F61" w:rsidRDefault="00DC2EB2" w:rsidP="00E71CEB">
      <w:pPr>
        <w:pStyle w:val="FootnoteText"/>
        <w:jc w:val="both"/>
        <w:rPr>
          <w:rFonts w:ascii="Garamond" w:hAnsi="Garamond" w:cs="Arial"/>
          <w:color w:val="080000"/>
          <w:sz w:val="8"/>
          <w:szCs w:val="8"/>
          <w:lang w:eastAsia="en-US"/>
        </w:rPr>
      </w:pPr>
    </w:p>
    <w:p w14:paraId="578A36FE" w14:textId="74467110" w:rsidR="00915438" w:rsidRPr="00381F61" w:rsidRDefault="00915438" w:rsidP="00E71CEB">
      <w:pPr>
        <w:ind w:left="426"/>
        <w:jc w:val="both"/>
        <w:rPr>
          <w:rFonts w:ascii="Garamond" w:hAnsi="Garamond"/>
          <w:sz w:val="22"/>
          <w:szCs w:val="22"/>
        </w:rPr>
      </w:pPr>
      <w:r w:rsidRPr="00381F61">
        <w:rPr>
          <w:rFonts w:ascii="Garamond" w:hAnsi="Garamond" w:cs="Arial"/>
          <w:color w:val="080000"/>
          <w:sz w:val="22"/>
          <w:szCs w:val="22"/>
        </w:rPr>
        <w:t>“</w:t>
      </w:r>
      <w:r w:rsidR="00681676" w:rsidRPr="00381F61">
        <w:rPr>
          <w:rFonts w:ascii="Garamond" w:hAnsi="Garamond"/>
          <w:sz w:val="22"/>
          <w:szCs w:val="22"/>
        </w:rPr>
        <w:t>NZ Super costs were $</w:t>
      </w:r>
      <w:r w:rsidRPr="00381F61">
        <w:rPr>
          <w:rFonts w:ascii="Garamond" w:hAnsi="Garamond"/>
          <w:sz w:val="22"/>
          <w:szCs w:val="22"/>
        </w:rPr>
        <w:t>10.4 billion (net) in 2015/16, which is 14%</w:t>
      </w:r>
      <w:r w:rsidR="00611B93" w:rsidRPr="00381F61">
        <w:rPr>
          <w:rFonts w:ascii="Garamond" w:hAnsi="Garamond"/>
          <w:sz w:val="22"/>
          <w:szCs w:val="22"/>
        </w:rPr>
        <w:t xml:space="preserve"> of core crown expenses and 4.1</w:t>
      </w:r>
      <w:r w:rsidRPr="00381F61">
        <w:rPr>
          <w:rFonts w:ascii="Garamond" w:hAnsi="Garamond"/>
          <w:sz w:val="22"/>
          <w:szCs w:val="22"/>
        </w:rPr>
        <w:t xml:space="preserve">% of GDP. </w:t>
      </w:r>
      <w:r w:rsidR="00BA2CB2" w:rsidRPr="00381F61">
        <w:rPr>
          <w:rFonts w:ascii="Garamond" w:hAnsi="Garamond"/>
          <w:sz w:val="22"/>
          <w:szCs w:val="22"/>
        </w:rPr>
        <w:t xml:space="preserve"> </w:t>
      </w:r>
      <w:r w:rsidRPr="00381F61">
        <w:rPr>
          <w:rFonts w:ascii="Garamond" w:hAnsi="Garamond"/>
          <w:sz w:val="22"/>
          <w:szCs w:val="22"/>
        </w:rPr>
        <w:t xml:space="preserve">Treasury predict that it will rise to 7.1% (net) of GDP in 43 years. </w:t>
      </w:r>
      <w:r w:rsidR="00CA54DC" w:rsidRPr="00381F61">
        <w:rPr>
          <w:rFonts w:ascii="Garamond" w:hAnsi="Garamond"/>
          <w:sz w:val="22"/>
          <w:szCs w:val="22"/>
        </w:rPr>
        <w:t xml:space="preserve"> </w:t>
      </w:r>
      <w:r w:rsidRPr="00381F61">
        <w:rPr>
          <w:rFonts w:ascii="Garamond" w:hAnsi="Garamond"/>
          <w:sz w:val="22"/>
          <w:szCs w:val="22"/>
        </w:rPr>
        <w:t>If we play that scenario today u</w:t>
      </w:r>
      <w:r w:rsidR="00681676" w:rsidRPr="00381F61">
        <w:rPr>
          <w:rFonts w:ascii="Garamond" w:hAnsi="Garamond"/>
          <w:sz w:val="22"/>
          <w:szCs w:val="22"/>
        </w:rPr>
        <w:t>sing 2015/16 numbers (7.1% of $</w:t>
      </w:r>
      <w:r w:rsidRPr="00381F61">
        <w:rPr>
          <w:rFonts w:ascii="Garamond" w:hAnsi="Garamond"/>
          <w:sz w:val="22"/>
          <w:szCs w:val="22"/>
        </w:rPr>
        <w:t>251 B</w:t>
      </w:r>
      <w:r w:rsidR="009300CC" w:rsidRPr="00381F61">
        <w:rPr>
          <w:rFonts w:ascii="Garamond" w:hAnsi="Garamond"/>
          <w:sz w:val="22"/>
          <w:szCs w:val="22"/>
        </w:rPr>
        <w:t>) the bill for super would be $</w:t>
      </w:r>
      <w:r w:rsidRPr="00381F61">
        <w:rPr>
          <w:rFonts w:ascii="Garamond" w:hAnsi="Garamond"/>
          <w:sz w:val="22"/>
          <w:szCs w:val="22"/>
        </w:rPr>
        <w:t>17.87 billion, which begs the question, where</w:t>
      </w:r>
      <w:r w:rsidR="00681676" w:rsidRPr="00381F61">
        <w:rPr>
          <w:rFonts w:ascii="Garamond" w:hAnsi="Garamond"/>
          <w:sz w:val="22"/>
          <w:szCs w:val="22"/>
        </w:rPr>
        <w:t xml:space="preserve"> would we draw the additional $</w:t>
      </w:r>
      <w:r w:rsidRPr="00381F61">
        <w:rPr>
          <w:rFonts w:ascii="Garamond" w:hAnsi="Garamond"/>
          <w:sz w:val="22"/>
          <w:szCs w:val="22"/>
        </w:rPr>
        <w:t>7.43 billion from?”</w:t>
      </w:r>
      <w:r w:rsidRPr="00381F61">
        <w:rPr>
          <w:rStyle w:val="FootnoteReference"/>
          <w:rFonts w:ascii="Garamond" w:hAnsi="Garamond"/>
          <w:sz w:val="22"/>
          <w:szCs w:val="22"/>
        </w:rPr>
        <w:footnoteReference w:id="25"/>
      </w:r>
    </w:p>
    <w:p w14:paraId="09A760BA" w14:textId="2EAC2142" w:rsidR="00B372BB" w:rsidRPr="00381F61" w:rsidRDefault="00B372BB" w:rsidP="00E71CEB">
      <w:pPr>
        <w:pStyle w:val="FootnoteText"/>
        <w:jc w:val="both"/>
        <w:rPr>
          <w:rFonts w:ascii="Garamond" w:hAnsi="Garamond" w:cs="Arial"/>
          <w:color w:val="080000"/>
          <w:lang w:eastAsia="en-US"/>
        </w:rPr>
      </w:pPr>
    </w:p>
    <w:p w14:paraId="7536863A" w14:textId="2CA21279" w:rsidR="00B372BB" w:rsidRPr="00381F61" w:rsidRDefault="00611B93" w:rsidP="00E71CEB">
      <w:pPr>
        <w:pStyle w:val="FootnoteText"/>
        <w:jc w:val="both"/>
        <w:rPr>
          <w:rFonts w:ascii="Garamond" w:hAnsi="Garamond" w:cs="Arial"/>
          <w:color w:val="080000"/>
          <w:lang w:eastAsia="en-US"/>
        </w:rPr>
      </w:pPr>
      <w:r w:rsidRPr="00381F61">
        <w:rPr>
          <w:rFonts w:ascii="Garamond" w:hAnsi="Garamond" w:cs="Arial"/>
          <w:color w:val="080000"/>
          <w:lang w:eastAsia="en-US"/>
        </w:rPr>
        <w:t xml:space="preserve">NZS </w:t>
      </w:r>
      <w:r w:rsidR="00B372BB" w:rsidRPr="00381F61">
        <w:rPr>
          <w:rFonts w:ascii="Garamond" w:hAnsi="Garamond" w:cs="Arial"/>
          <w:color w:val="080000"/>
          <w:lang w:eastAsia="en-US"/>
        </w:rPr>
        <w:t>truly isn’t ‘unsustainable’, if by that we mean it can’t survive and must reduce.  W</w:t>
      </w:r>
      <w:r w:rsidR="00681676" w:rsidRPr="00381F61">
        <w:rPr>
          <w:rFonts w:ascii="Garamond" w:hAnsi="Garamond" w:cs="Arial"/>
          <w:color w:val="080000"/>
          <w:lang w:eastAsia="en-US"/>
        </w:rPr>
        <w:t>e should stop saying that.</w:t>
      </w:r>
      <w:r w:rsidR="00CA54DC" w:rsidRPr="00381F61">
        <w:rPr>
          <w:rFonts w:ascii="Garamond" w:hAnsi="Garamond" w:cs="Arial"/>
          <w:color w:val="080000"/>
          <w:lang w:eastAsia="en-US"/>
        </w:rPr>
        <w:t xml:space="preserve">  </w:t>
      </w:r>
    </w:p>
    <w:p w14:paraId="47C843EC" w14:textId="77777777" w:rsidR="00B372BB" w:rsidRPr="00381F61" w:rsidRDefault="00B372BB" w:rsidP="00E71CEB">
      <w:pPr>
        <w:pStyle w:val="FootnoteText"/>
        <w:jc w:val="both"/>
        <w:rPr>
          <w:rFonts w:ascii="Garamond" w:hAnsi="Garamond" w:cs="Arial"/>
          <w:color w:val="080000"/>
          <w:lang w:eastAsia="en-US"/>
        </w:rPr>
      </w:pPr>
    </w:p>
    <w:p w14:paraId="4D842940" w14:textId="77777777" w:rsidR="00B92C8D" w:rsidRPr="00381F61" w:rsidRDefault="00B92C8D" w:rsidP="00E71CEB">
      <w:pPr>
        <w:jc w:val="both"/>
        <w:rPr>
          <w:rFonts w:ascii="Garamond" w:hAnsi="Garamond"/>
          <w:bCs/>
        </w:rPr>
      </w:pPr>
      <w:r w:rsidRPr="00381F61">
        <w:rPr>
          <w:rFonts w:ascii="Garamond" w:hAnsi="Garamond"/>
          <w:bCs/>
        </w:rPr>
        <w:t>We know that the population aged 65+ will about double over coming decades</w:t>
      </w:r>
      <w:r w:rsidRPr="00381F61">
        <w:rPr>
          <w:rStyle w:val="FootnoteReference"/>
          <w:rFonts w:ascii="Garamond" w:hAnsi="Garamond"/>
          <w:bCs/>
        </w:rPr>
        <w:footnoteReference w:id="26"/>
      </w:r>
      <w:r w:rsidRPr="00381F61">
        <w:rPr>
          <w:rFonts w:ascii="Garamond" w:hAnsi="Garamond"/>
          <w:bCs/>
        </w:rPr>
        <w:t xml:space="preserve"> and that the costs of healthcare and NZS will increase substantially if current settings remain.  These two major government programmes will be the most directly affected by the ageing population.  However, we also know that New Zealand’s economy will grow and, barring catastrophes, we should as a country be able to afford more than we currently pay for the age-related programmes.</w:t>
      </w:r>
    </w:p>
    <w:p w14:paraId="622F68F8" w14:textId="77777777" w:rsidR="00B92C8D" w:rsidRPr="00381F61" w:rsidRDefault="00B92C8D" w:rsidP="00E71CEB">
      <w:pPr>
        <w:jc w:val="both"/>
        <w:rPr>
          <w:rFonts w:ascii="Garamond" w:hAnsi="Garamond"/>
          <w:bCs/>
        </w:rPr>
      </w:pPr>
    </w:p>
    <w:p w14:paraId="4FDAE170" w14:textId="7A94F611" w:rsidR="00B92C8D" w:rsidRPr="00381F61" w:rsidRDefault="00B92C8D" w:rsidP="00E71CEB">
      <w:pPr>
        <w:jc w:val="both"/>
        <w:rPr>
          <w:rFonts w:ascii="Garamond" w:hAnsi="Garamond"/>
          <w:bCs/>
        </w:rPr>
      </w:pPr>
      <w:r w:rsidRPr="00381F61">
        <w:rPr>
          <w:rFonts w:ascii="Garamond" w:hAnsi="Garamond"/>
          <w:bCs/>
        </w:rPr>
        <w:t>The Treasury makes projections of the impact of all these influences on government spending at least every four years</w:t>
      </w:r>
      <w:r w:rsidR="003E4697" w:rsidRPr="00381F61">
        <w:rPr>
          <w:rFonts w:ascii="Garamond" w:hAnsi="Garamond"/>
          <w:bCs/>
        </w:rPr>
        <w:t>.</w:t>
      </w:r>
      <w:r w:rsidRPr="00381F61">
        <w:rPr>
          <w:rFonts w:ascii="Garamond" w:hAnsi="Garamond"/>
          <w:bCs/>
        </w:rPr>
        <w:t xml:space="preserve">  The most recent estimates from the Treasury</w:t>
      </w:r>
      <w:r w:rsidRPr="00381F61">
        <w:rPr>
          <w:rStyle w:val="FootnoteReference"/>
          <w:rFonts w:ascii="Garamond" w:hAnsi="Garamond"/>
          <w:bCs/>
        </w:rPr>
        <w:footnoteReference w:id="27"/>
      </w:r>
      <w:r w:rsidRPr="00381F61">
        <w:rPr>
          <w:rFonts w:ascii="Garamond" w:hAnsi="Garamond"/>
          <w:bCs/>
        </w:rPr>
        <w:t xml:space="preserve"> show the government’s ‘primary core Crown operat</w:t>
      </w:r>
      <w:r w:rsidR="00961DA4" w:rsidRPr="00381F61">
        <w:rPr>
          <w:rFonts w:ascii="Garamond" w:hAnsi="Garamond"/>
          <w:bCs/>
        </w:rPr>
        <w:t>ing spending’ changing from 28.4</w:t>
      </w:r>
      <w:r w:rsidRPr="00381F61">
        <w:rPr>
          <w:rFonts w:ascii="Garamond" w:hAnsi="Garamond"/>
          <w:bCs/>
        </w:rPr>
        <w:t>%</w:t>
      </w:r>
      <w:r w:rsidR="00961DA4" w:rsidRPr="00381F61">
        <w:rPr>
          <w:rStyle w:val="FootnoteReference"/>
          <w:rFonts w:ascii="Garamond" w:hAnsi="Garamond"/>
          <w:bCs/>
        </w:rPr>
        <w:footnoteReference w:id="28"/>
      </w:r>
      <w:r w:rsidRPr="00381F61">
        <w:rPr>
          <w:rFonts w:ascii="Garamond" w:hAnsi="Garamond"/>
          <w:bCs/>
        </w:rPr>
        <w:t xml:space="preserve"> of Gross Domestic Prod</w:t>
      </w:r>
      <w:r w:rsidR="00961DA4" w:rsidRPr="00381F61">
        <w:rPr>
          <w:rFonts w:ascii="Garamond" w:hAnsi="Garamond"/>
          <w:bCs/>
        </w:rPr>
        <w:t>uct (GDP) over the 45 years 2015</w:t>
      </w:r>
      <w:r w:rsidRPr="00381F61">
        <w:rPr>
          <w:rFonts w:ascii="Garamond" w:hAnsi="Garamond"/>
          <w:bCs/>
        </w:rPr>
        <w:t xml:space="preserve"> to 2060.  The Treasury looked at two major scenarios:</w:t>
      </w:r>
    </w:p>
    <w:p w14:paraId="1B075C62" w14:textId="77777777" w:rsidR="00B92C8D" w:rsidRPr="00381F61" w:rsidRDefault="00B92C8D" w:rsidP="00E71CEB">
      <w:pPr>
        <w:jc w:val="both"/>
        <w:rPr>
          <w:rFonts w:ascii="Garamond" w:hAnsi="Garamond"/>
          <w:bCs/>
          <w:sz w:val="8"/>
          <w:szCs w:val="8"/>
        </w:rPr>
      </w:pPr>
    </w:p>
    <w:p w14:paraId="046FD527" w14:textId="35747955" w:rsidR="00B92C8D" w:rsidRPr="00381F61" w:rsidRDefault="00CB4B33" w:rsidP="00E71CEB">
      <w:pPr>
        <w:numPr>
          <w:ilvl w:val="0"/>
          <w:numId w:val="12"/>
        </w:numPr>
        <w:jc w:val="both"/>
        <w:rPr>
          <w:rFonts w:ascii="Garamond" w:hAnsi="Garamond"/>
          <w:bCs/>
        </w:rPr>
      </w:pPr>
      <w:r w:rsidRPr="00381F61">
        <w:rPr>
          <w:rFonts w:ascii="Garamond" w:hAnsi="Garamond"/>
          <w:bCs/>
        </w:rPr>
        <w:lastRenderedPageBreak/>
        <w:t>holding total tax receipts at about 29% of GDP (roughly the current level)</w:t>
      </w:r>
      <w:r w:rsidR="00D93D1E" w:rsidRPr="00381F61">
        <w:rPr>
          <w:rFonts w:ascii="Garamond" w:hAnsi="Garamond"/>
          <w:bCs/>
        </w:rPr>
        <w:t>,</w:t>
      </w:r>
      <w:r w:rsidRPr="00381F61">
        <w:rPr>
          <w:rFonts w:ascii="Garamond" w:hAnsi="Garamond"/>
          <w:bCs/>
        </w:rPr>
        <w:t xml:space="preserve"> </w:t>
      </w:r>
      <w:r w:rsidR="00961DA4" w:rsidRPr="00381F61">
        <w:rPr>
          <w:rFonts w:ascii="Garamond" w:hAnsi="Garamond"/>
          <w:bCs/>
        </w:rPr>
        <w:t>rising from 28.4</w:t>
      </w:r>
      <w:r w:rsidR="00BE5C0A" w:rsidRPr="00381F61">
        <w:rPr>
          <w:rFonts w:ascii="Garamond" w:hAnsi="Garamond"/>
          <w:bCs/>
        </w:rPr>
        <w:t>% of GDP in 2010 to 36.1</w:t>
      </w:r>
      <w:r w:rsidR="00B92C8D" w:rsidRPr="00381F61">
        <w:rPr>
          <w:rFonts w:ascii="Garamond" w:hAnsi="Garamond"/>
          <w:bCs/>
        </w:rPr>
        <w:t>% (</w:t>
      </w:r>
      <w:r w:rsidR="003A0B40" w:rsidRPr="00381F61">
        <w:rPr>
          <w:rFonts w:ascii="Garamond" w:hAnsi="Garamond"/>
          <w:bCs/>
        </w:rPr>
        <w:t>what the Treasury calls ‘</w:t>
      </w:r>
      <w:r w:rsidR="00B92C8D" w:rsidRPr="00381F61">
        <w:rPr>
          <w:rFonts w:ascii="Garamond" w:hAnsi="Garamond"/>
          <w:bCs/>
        </w:rPr>
        <w:t>Histori</w:t>
      </w:r>
      <w:r w:rsidR="003A0B40" w:rsidRPr="00381F61">
        <w:rPr>
          <w:rFonts w:ascii="Garamond" w:hAnsi="Garamond"/>
          <w:bCs/>
        </w:rPr>
        <w:t>cal Spending Patterns</w:t>
      </w:r>
      <w:r w:rsidR="00B92C8D" w:rsidRPr="00381F61">
        <w:rPr>
          <w:rStyle w:val="FootnoteReference"/>
          <w:rFonts w:ascii="Garamond" w:hAnsi="Garamond"/>
          <w:bCs/>
        </w:rPr>
        <w:footnoteReference w:id="29"/>
      </w:r>
      <w:r w:rsidR="00181487" w:rsidRPr="00381F61">
        <w:rPr>
          <w:rFonts w:ascii="Garamond" w:hAnsi="Garamond"/>
          <w:bCs/>
        </w:rPr>
        <w:t xml:space="preserve">).  This would see </w:t>
      </w:r>
      <w:r w:rsidRPr="00381F61">
        <w:rPr>
          <w:rFonts w:ascii="Garamond" w:hAnsi="Garamond"/>
          <w:bCs/>
        </w:rPr>
        <w:t>an</w:t>
      </w:r>
      <w:r w:rsidR="00181487" w:rsidRPr="00381F61">
        <w:rPr>
          <w:rFonts w:ascii="Garamond" w:hAnsi="Garamond"/>
          <w:bCs/>
        </w:rPr>
        <w:t xml:space="preserve"> estimated fiscal deficit of 1.2</w:t>
      </w:r>
      <w:r w:rsidRPr="00381F61">
        <w:rPr>
          <w:rFonts w:ascii="Garamond" w:hAnsi="Garamond"/>
          <w:bCs/>
        </w:rPr>
        <w:t xml:space="preserve">% of GDP by 2030, growing to </w:t>
      </w:r>
      <w:r w:rsidR="00181487" w:rsidRPr="00381F61">
        <w:rPr>
          <w:rFonts w:ascii="Garamond" w:hAnsi="Garamond"/>
          <w:bCs/>
        </w:rPr>
        <w:t>6.1% of GDP by 2060.</w:t>
      </w:r>
    </w:p>
    <w:p w14:paraId="5150D976" w14:textId="77777777" w:rsidR="00B92C8D" w:rsidRPr="00381F61" w:rsidRDefault="00B92C8D" w:rsidP="00E71CEB">
      <w:pPr>
        <w:ind w:left="720"/>
        <w:jc w:val="both"/>
        <w:rPr>
          <w:rFonts w:ascii="Garamond" w:hAnsi="Garamond"/>
          <w:bCs/>
          <w:sz w:val="8"/>
          <w:szCs w:val="8"/>
        </w:rPr>
      </w:pPr>
    </w:p>
    <w:p w14:paraId="25B368B9" w14:textId="60AB8319" w:rsidR="00B92C8D" w:rsidRPr="00381F61" w:rsidRDefault="00B92C8D" w:rsidP="00E71CEB">
      <w:pPr>
        <w:numPr>
          <w:ilvl w:val="0"/>
          <w:numId w:val="12"/>
        </w:numPr>
        <w:jc w:val="both"/>
        <w:rPr>
          <w:rFonts w:ascii="Garamond" w:hAnsi="Garamond"/>
          <w:bCs/>
        </w:rPr>
      </w:pPr>
      <w:r w:rsidRPr="00381F61">
        <w:rPr>
          <w:rFonts w:ascii="Garamond" w:hAnsi="Garamond"/>
          <w:bCs/>
        </w:rPr>
        <w:t>what the Treasury calls ‘Spending Path to Maintain Net Debt’.</w:t>
      </w:r>
      <w:r w:rsidR="00181487" w:rsidRPr="00381F61">
        <w:rPr>
          <w:rFonts w:ascii="Garamond" w:hAnsi="Garamond"/>
          <w:bCs/>
        </w:rPr>
        <w:t xml:space="preserve">  </w:t>
      </w:r>
      <w:r w:rsidR="00181487" w:rsidRPr="00381F61">
        <w:rPr>
          <w:rFonts w:ascii="Garamond" w:hAnsi="Garamond"/>
        </w:rPr>
        <w:t xml:space="preserve">This says that future trends in spending are constrained to reduce government debt down to about 20% of GDP and then maintain </w:t>
      </w:r>
      <w:r w:rsidR="00275D03" w:rsidRPr="00381F61">
        <w:rPr>
          <w:rFonts w:ascii="Garamond" w:hAnsi="Garamond"/>
        </w:rPr>
        <w:t>debt</w:t>
      </w:r>
      <w:r w:rsidR="00181487" w:rsidRPr="00381F61">
        <w:rPr>
          <w:rFonts w:ascii="Garamond" w:hAnsi="Garamond"/>
        </w:rPr>
        <w:t xml:space="preserve"> at that level.  It would require the estimated fiscal deficits under the Historical Spending Patterns model to be eliminated by reduced government spending (equivalent to 6.1% of GDP by 2060).</w:t>
      </w:r>
    </w:p>
    <w:p w14:paraId="6EC5476A" w14:textId="77777777" w:rsidR="00B92C8D" w:rsidRPr="00381F61" w:rsidRDefault="00B92C8D" w:rsidP="00E71CEB">
      <w:pPr>
        <w:jc w:val="both"/>
        <w:rPr>
          <w:rFonts w:ascii="Garamond" w:hAnsi="Garamond"/>
          <w:b/>
          <w:bCs/>
        </w:rPr>
      </w:pPr>
    </w:p>
    <w:p w14:paraId="21518EEB" w14:textId="7C8F3785" w:rsidR="00B92C8D" w:rsidRPr="00381F61" w:rsidRDefault="00B92C8D" w:rsidP="00E71CEB">
      <w:pPr>
        <w:jc w:val="both"/>
        <w:rPr>
          <w:rFonts w:ascii="Garamond" w:hAnsi="Garamond"/>
          <w:bCs/>
          <w:szCs w:val="28"/>
        </w:rPr>
      </w:pPr>
      <w:r w:rsidRPr="00381F61">
        <w:rPr>
          <w:rFonts w:ascii="Garamond" w:hAnsi="Garamond"/>
          <w:bCs/>
          <w:szCs w:val="28"/>
        </w:rPr>
        <w:t>These projections do not paint the grim fiscal future that some predict</w:t>
      </w:r>
      <w:r w:rsidR="00B107D0" w:rsidRPr="00381F61">
        <w:rPr>
          <w:rFonts w:ascii="Garamond" w:hAnsi="Garamond"/>
          <w:bCs/>
          <w:szCs w:val="28"/>
        </w:rPr>
        <w:t>,</w:t>
      </w:r>
      <w:r w:rsidRPr="00381F61">
        <w:rPr>
          <w:rFonts w:ascii="Garamond" w:hAnsi="Garamond"/>
          <w:bCs/>
          <w:szCs w:val="28"/>
        </w:rPr>
        <w:t xml:space="preserve"> but </w:t>
      </w:r>
      <w:r w:rsidR="00181487" w:rsidRPr="00381F61">
        <w:rPr>
          <w:rFonts w:ascii="Garamond" w:hAnsi="Garamond"/>
          <w:bCs/>
          <w:szCs w:val="28"/>
        </w:rPr>
        <w:t>they are large numbers.  In 2015, 28.4</w:t>
      </w:r>
      <w:r w:rsidR="00227D46" w:rsidRPr="00381F61">
        <w:rPr>
          <w:rFonts w:ascii="Garamond" w:hAnsi="Garamond"/>
          <w:bCs/>
          <w:szCs w:val="28"/>
        </w:rPr>
        <w:t>% of GDP was nearly $68.6</w:t>
      </w:r>
      <w:r w:rsidRPr="00381F61">
        <w:rPr>
          <w:rFonts w:ascii="Garamond" w:hAnsi="Garamond"/>
          <w:bCs/>
          <w:szCs w:val="28"/>
        </w:rPr>
        <w:t xml:space="preserve"> billion (each 1% was equivalent to $2</w:t>
      </w:r>
      <w:r w:rsidR="00227D46" w:rsidRPr="00381F61">
        <w:rPr>
          <w:rFonts w:ascii="Garamond" w:hAnsi="Garamond"/>
          <w:bCs/>
          <w:szCs w:val="28"/>
        </w:rPr>
        <w:t>.4</w:t>
      </w:r>
      <w:r w:rsidRPr="00381F61">
        <w:rPr>
          <w:rFonts w:ascii="Garamond" w:hAnsi="Garamond"/>
          <w:bCs/>
          <w:szCs w:val="28"/>
        </w:rPr>
        <w:t xml:space="preserve"> billion). </w:t>
      </w:r>
    </w:p>
    <w:p w14:paraId="50E485F1" w14:textId="77777777" w:rsidR="00B92C8D" w:rsidRPr="00381F61" w:rsidRDefault="00B92C8D" w:rsidP="00E71CEB">
      <w:pPr>
        <w:jc w:val="both"/>
        <w:rPr>
          <w:rFonts w:ascii="Garamond" w:hAnsi="Garamond"/>
          <w:bCs/>
          <w:szCs w:val="28"/>
        </w:rPr>
      </w:pPr>
    </w:p>
    <w:p w14:paraId="69F34DB5" w14:textId="2509B4C6" w:rsidR="00B92C8D" w:rsidRPr="00381F61" w:rsidRDefault="00B92C8D" w:rsidP="00E71CEB">
      <w:pPr>
        <w:jc w:val="both"/>
        <w:rPr>
          <w:rFonts w:ascii="Garamond" w:hAnsi="Garamond"/>
          <w:bCs/>
        </w:rPr>
      </w:pPr>
      <w:r w:rsidRPr="00381F61">
        <w:rPr>
          <w:rFonts w:ascii="Garamond" w:hAnsi="Garamond"/>
          <w:bCs/>
        </w:rPr>
        <w:t xml:space="preserve">In 2060 dollars, the Treasury estimates </w:t>
      </w:r>
      <w:r w:rsidR="00275D03" w:rsidRPr="00381F61">
        <w:rPr>
          <w:rFonts w:ascii="Garamond" w:hAnsi="Garamond"/>
          <w:bCs/>
        </w:rPr>
        <w:t xml:space="preserve">(2016) </w:t>
      </w:r>
      <w:r w:rsidRPr="00381F61">
        <w:rPr>
          <w:rFonts w:ascii="Garamond" w:hAnsi="Garamond"/>
          <w:bCs/>
        </w:rPr>
        <w:t>that t</w:t>
      </w:r>
      <w:r w:rsidR="00EB4721" w:rsidRPr="00381F61">
        <w:rPr>
          <w:rFonts w:ascii="Garamond" w:hAnsi="Garamond"/>
          <w:bCs/>
        </w:rPr>
        <w:t>he net cost of NZS will be $105.4</w:t>
      </w:r>
      <w:r w:rsidRPr="00381F61">
        <w:rPr>
          <w:rFonts w:ascii="Garamond" w:hAnsi="Garamond"/>
          <w:bCs/>
        </w:rPr>
        <w:t xml:space="preserve"> billion.  By 2060, estimated GDP will be a nominal</w:t>
      </w:r>
      <w:r w:rsidR="00EB4721" w:rsidRPr="00381F61">
        <w:rPr>
          <w:rFonts w:ascii="Garamond" w:hAnsi="Garamond"/>
          <w:bCs/>
        </w:rPr>
        <w:t xml:space="preserve"> $1,487</w:t>
      </w:r>
      <w:r w:rsidRPr="00381F61">
        <w:rPr>
          <w:rFonts w:ascii="Garamond" w:hAnsi="Garamond"/>
          <w:bCs/>
        </w:rPr>
        <w:t xml:space="preserve"> billio</w:t>
      </w:r>
      <w:r w:rsidR="00EB4721" w:rsidRPr="00381F61">
        <w:rPr>
          <w:rFonts w:ascii="Garamond" w:hAnsi="Garamond"/>
          <w:bCs/>
        </w:rPr>
        <w:t xml:space="preserve">n.  Bringing those </w:t>
      </w:r>
      <w:r w:rsidR="00CB4B33" w:rsidRPr="00381F61">
        <w:rPr>
          <w:rFonts w:ascii="Garamond" w:hAnsi="Garamond"/>
          <w:bCs/>
        </w:rPr>
        <w:t xml:space="preserve">numbers </w:t>
      </w:r>
      <w:r w:rsidR="00C36C4F" w:rsidRPr="00381F61">
        <w:rPr>
          <w:rFonts w:ascii="Garamond" w:hAnsi="Garamond"/>
          <w:bCs/>
        </w:rPr>
        <w:t>back to 201</w:t>
      </w:r>
      <w:r w:rsidR="006503AF" w:rsidRPr="00381F61">
        <w:rPr>
          <w:rFonts w:ascii="Garamond" w:hAnsi="Garamond"/>
          <w:bCs/>
        </w:rPr>
        <w:t>6</w:t>
      </w:r>
      <w:r w:rsidRPr="00381F61">
        <w:rPr>
          <w:rFonts w:ascii="Garamond" w:hAnsi="Garamond"/>
          <w:bCs/>
        </w:rPr>
        <w:t xml:space="preserve"> dollars at the assumed inflation rate of 2% p.a. suggests that the economy will grow in real terms </w:t>
      </w:r>
      <w:r w:rsidR="00563B99" w:rsidRPr="00381F61">
        <w:rPr>
          <w:rFonts w:ascii="Garamond" w:hAnsi="Garamond"/>
          <w:bCs/>
        </w:rPr>
        <w:t>by about 153</w:t>
      </w:r>
      <w:r w:rsidRPr="00381F61">
        <w:rPr>
          <w:rFonts w:ascii="Garamond" w:hAnsi="Garamond"/>
          <w:bCs/>
        </w:rPr>
        <w:t xml:space="preserve">% over the </w:t>
      </w:r>
      <w:r w:rsidR="00563B99" w:rsidRPr="00381F61">
        <w:rPr>
          <w:rFonts w:ascii="Garamond" w:hAnsi="Garamond"/>
          <w:bCs/>
        </w:rPr>
        <w:t>45</w:t>
      </w:r>
      <w:r w:rsidRPr="00381F61">
        <w:rPr>
          <w:rFonts w:ascii="Garamond" w:hAnsi="Garamond"/>
          <w:bCs/>
        </w:rPr>
        <w:t xml:space="preserve"> years</w:t>
      </w:r>
      <w:r w:rsidR="00563B99" w:rsidRPr="00381F61">
        <w:rPr>
          <w:rStyle w:val="FootnoteReference"/>
          <w:rFonts w:ascii="Garamond" w:hAnsi="Garamond"/>
          <w:bCs/>
        </w:rPr>
        <w:footnoteReference w:id="30"/>
      </w:r>
      <w:r w:rsidRPr="00381F61">
        <w:rPr>
          <w:rFonts w:ascii="Garamond" w:hAnsi="Garamond"/>
          <w:bCs/>
        </w:rPr>
        <w:t>.  In the meantime, the total population will have grown by about 3</w:t>
      </w:r>
      <w:r w:rsidR="00AD4320" w:rsidRPr="00381F61">
        <w:rPr>
          <w:rFonts w:ascii="Garamond" w:hAnsi="Garamond"/>
          <w:bCs/>
        </w:rPr>
        <w:t>9</w:t>
      </w:r>
      <w:r w:rsidRPr="00381F61">
        <w:rPr>
          <w:rFonts w:ascii="Garamond" w:hAnsi="Garamond"/>
          <w:bCs/>
        </w:rPr>
        <w:t>%</w:t>
      </w:r>
      <w:r w:rsidRPr="00381F61">
        <w:rPr>
          <w:rStyle w:val="FootnoteReference"/>
          <w:rFonts w:ascii="Garamond" w:hAnsi="Garamond"/>
          <w:bCs/>
        </w:rPr>
        <w:footnoteReference w:id="31"/>
      </w:r>
      <w:r w:rsidRPr="00381F61">
        <w:rPr>
          <w:rFonts w:ascii="Garamond" w:hAnsi="Garamond"/>
          <w:bCs/>
        </w:rPr>
        <w:t>.</w:t>
      </w:r>
    </w:p>
    <w:p w14:paraId="35F90CD2" w14:textId="77777777" w:rsidR="00B92C8D" w:rsidRPr="00381F61" w:rsidRDefault="00B92C8D" w:rsidP="00E71CEB">
      <w:pPr>
        <w:jc w:val="both"/>
        <w:rPr>
          <w:rFonts w:ascii="Garamond" w:hAnsi="Garamond"/>
          <w:bCs/>
        </w:rPr>
      </w:pPr>
    </w:p>
    <w:p w14:paraId="2E6D95A1" w14:textId="2ED13970" w:rsidR="00B92C8D" w:rsidRPr="00381F61" w:rsidRDefault="00B92C8D" w:rsidP="00E71CEB">
      <w:pPr>
        <w:jc w:val="both"/>
        <w:rPr>
          <w:rFonts w:ascii="Garamond" w:hAnsi="Garamond"/>
          <w:bCs/>
          <w:szCs w:val="28"/>
        </w:rPr>
      </w:pPr>
      <w:r w:rsidRPr="00381F61">
        <w:rPr>
          <w:rFonts w:ascii="Garamond" w:hAnsi="Garamond"/>
          <w:bCs/>
        </w:rPr>
        <w:t xml:space="preserve">The difference in the two Treasury scenarios is an expected </w:t>
      </w:r>
      <w:r w:rsidR="000658DC" w:rsidRPr="00381F61">
        <w:rPr>
          <w:rFonts w:ascii="Garamond" w:hAnsi="Garamond"/>
          <w:bCs/>
        </w:rPr>
        <w:t>total government spending of 6.1% of GDP by 2060 (28.4% to 34.5</w:t>
      </w:r>
      <w:r w:rsidRPr="00381F61">
        <w:rPr>
          <w:rFonts w:ascii="Garamond" w:hAnsi="Garamond"/>
          <w:bCs/>
        </w:rPr>
        <w:t xml:space="preserve">%).  </w:t>
      </w:r>
      <w:r w:rsidR="000658DC" w:rsidRPr="00381F61">
        <w:rPr>
          <w:rFonts w:ascii="Garamond" w:hAnsi="Garamond"/>
          <w:bCs/>
        </w:rPr>
        <w:t xml:space="preserve">We expect to spend a net </w:t>
      </w:r>
      <w:r w:rsidR="00770557" w:rsidRPr="00381F61">
        <w:rPr>
          <w:rFonts w:ascii="Garamond" w:hAnsi="Garamond"/>
          <w:bCs/>
        </w:rPr>
        <w:t>6.7</w:t>
      </w:r>
      <w:r w:rsidR="002172F4" w:rsidRPr="00381F61">
        <w:rPr>
          <w:rFonts w:ascii="Garamond" w:hAnsi="Garamond"/>
          <w:bCs/>
        </w:rPr>
        <w:t>5</w:t>
      </w:r>
      <w:r w:rsidRPr="00381F61">
        <w:rPr>
          <w:rFonts w:ascii="Garamond" w:hAnsi="Garamond"/>
          <w:bCs/>
        </w:rPr>
        <w:t>% of GDP on NZS alone by then</w:t>
      </w:r>
      <w:r w:rsidR="000658DC" w:rsidRPr="00381F61">
        <w:rPr>
          <w:rFonts w:ascii="Garamond" w:hAnsi="Garamond"/>
          <w:bCs/>
        </w:rPr>
        <w:t xml:space="preserve"> (see section </w:t>
      </w:r>
      <w:r w:rsidR="000856CF" w:rsidRPr="00381F61">
        <w:rPr>
          <w:rFonts w:ascii="Garamond" w:hAnsi="Garamond"/>
          <w:bCs/>
        </w:rPr>
        <w:t>4</w:t>
      </w:r>
      <w:r w:rsidR="000658DC" w:rsidRPr="00381F61">
        <w:rPr>
          <w:rFonts w:ascii="Garamond" w:hAnsi="Garamond"/>
          <w:bCs/>
        </w:rPr>
        <w:t xml:space="preserve"> above) so the difference of 6.1</w:t>
      </w:r>
      <w:r w:rsidRPr="00381F61">
        <w:rPr>
          <w:rFonts w:ascii="Garamond" w:hAnsi="Garamond"/>
          <w:bCs/>
        </w:rPr>
        <w:t>% in overall spending is a significant number.</w:t>
      </w:r>
    </w:p>
    <w:p w14:paraId="3D1203F3" w14:textId="77777777" w:rsidR="00B92C8D" w:rsidRPr="00381F61" w:rsidRDefault="00B92C8D" w:rsidP="00E71CEB">
      <w:pPr>
        <w:jc w:val="both"/>
        <w:rPr>
          <w:rFonts w:ascii="Garamond" w:hAnsi="Garamond"/>
          <w:bCs/>
          <w:szCs w:val="28"/>
        </w:rPr>
      </w:pPr>
    </w:p>
    <w:p w14:paraId="772E5F89" w14:textId="624CDD72" w:rsidR="00B92C8D" w:rsidRPr="00381F61" w:rsidRDefault="00B92C8D" w:rsidP="00E71CEB">
      <w:pPr>
        <w:jc w:val="both"/>
        <w:rPr>
          <w:rFonts w:ascii="Garamond" w:hAnsi="Garamond"/>
          <w:bCs/>
          <w:szCs w:val="28"/>
        </w:rPr>
      </w:pPr>
      <w:r w:rsidRPr="00381F61">
        <w:rPr>
          <w:rFonts w:ascii="Garamond" w:hAnsi="Garamond"/>
          <w:bCs/>
          <w:szCs w:val="28"/>
        </w:rPr>
        <w:t>However, none of these numbers establishes a case that New Zealand faces an imminent fiscal crisis</w:t>
      </w:r>
      <w:r w:rsidR="00475BF5" w:rsidRPr="00381F61">
        <w:rPr>
          <w:rFonts w:ascii="Garamond" w:hAnsi="Garamond"/>
          <w:bCs/>
          <w:szCs w:val="28"/>
        </w:rPr>
        <w:t xml:space="preserve">, remembering that government spending was 32.2% as </w:t>
      </w:r>
      <w:r w:rsidR="00E34430" w:rsidRPr="00381F61">
        <w:rPr>
          <w:rFonts w:ascii="Garamond" w:hAnsi="Garamond"/>
          <w:bCs/>
          <w:szCs w:val="28"/>
        </w:rPr>
        <w:t>recently as</w:t>
      </w:r>
      <w:r w:rsidR="001C7AE1" w:rsidRPr="00381F61">
        <w:rPr>
          <w:rFonts w:ascii="Garamond" w:hAnsi="Garamond"/>
          <w:bCs/>
          <w:szCs w:val="28"/>
        </w:rPr>
        <w:t xml:space="preserve"> </w:t>
      </w:r>
      <w:r w:rsidR="00475BF5" w:rsidRPr="00381F61">
        <w:rPr>
          <w:rFonts w:ascii="Garamond" w:hAnsi="Garamond"/>
          <w:bCs/>
          <w:szCs w:val="28"/>
        </w:rPr>
        <w:t>2010</w:t>
      </w:r>
      <w:r w:rsidRPr="00381F61">
        <w:rPr>
          <w:rFonts w:ascii="Garamond" w:hAnsi="Garamond"/>
          <w:bCs/>
          <w:szCs w:val="28"/>
        </w:rPr>
        <w:t>.  We know that an ageing population will require an increase in taxes unless current programmes (not just those directly affecting the old) are cut.  We also know that what we have has worked reasonably well and costs less than many other countries currently spend on the old</w:t>
      </w:r>
      <w:r w:rsidRPr="00381F61">
        <w:rPr>
          <w:rStyle w:val="FootnoteReference"/>
          <w:rFonts w:ascii="Garamond" w:hAnsi="Garamond"/>
          <w:bCs/>
          <w:szCs w:val="28"/>
        </w:rPr>
        <w:footnoteReference w:id="32"/>
      </w:r>
      <w:r w:rsidRPr="00381F61">
        <w:rPr>
          <w:rFonts w:ascii="Garamond" w:hAnsi="Garamond"/>
          <w:bCs/>
          <w:szCs w:val="28"/>
        </w:rPr>
        <w:t>.</w:t>
      </w:r>
    </w:p>
    <w:p w14:paraId="4913F7F1" w14:textId="77777777" w:rsidR="00B92C8D" w:rsidRPr="00381F61" w:rsidRDefault="00B92C8D" w:rsidP="00E71CEB">
      <w:pPr>
        <w:jc w:val="both"/>
        <w:rPr>
          <w:rFonts w:ascii="Garamond" w:hAnsi="Garamond"/>
          <w:bCs/>
          <w:szCs w:val="28"/>
        </w:rPr>
      </w:pPr>
    </w:p>
    <w:p w14:paraId="1E1BA50E" w14:textId="2B9551FC" w:rsidR="00B92C8D" w:rsidRPr="00381F61" w:rsidRDefault="00B92C8D" w:rsidP="00E71CEB">
      <w:pPr>
        <w:jc w:val="both"/>
        <w:rPr>
          <w:rFonts w:ascii="Garamond" w:hAnsi="Garamond"/>
          <w:bCs/>
          <w:szCs w:val="28"/>
        </w:rPr>
      </w:pPr>
      <w:r w:rsidRPr="00381F61">
        <w:rPr>
          <w:rFonts w:ascii="Garamond" w:hAnsi="Garamond"/>
          <w:bCs/>
          <w:szCs w:val="28"/>
        </w:rPr>
        <w:t>But here is the real question – looking just at NZS, do we expect that taxpayers in 206</w:t>
      </w:r>
      <w:r w:rsidR="000658DC" w:rsidRPr="00381F61">
        <w:rPr>
          <w:rFonts w:ascii="Garamond" w:hAnsi="Garamond"/>
          <w:bCs/>
          <w:szCs w:val="28"/>
        </w:rPr>
        <w:t xml:space="preserve">0 will be happy to pay a net </w:t>
      </w:r>
      <w:r w:rsidR="00770557" w:rsidRPr="00381F61">
        <w:rPr>
          <w:rFonts w:ascii="Garamond" w:hAnsi="Garamond"/>
          <w:bCs/>
          <w:szCs w:val="28"/>
        </w:rPr>
        <w:t>6.7</w:t>
      </w:r>
      <w:r w:rsidR="002172F4" w:rsidRPr="00381F61">
        <w:rPr>
          <w:rFonts w:ascii="Garamond" w:hAnsi="Garamond"/>
          <w:bCs/>
          <w:szCs w:val="28"/>
        </w:rPr>
        <w:t>5</w:t>
      </w:r>
      <w:r w:rsidRPr="00381F61">
        <w:rPr>
          <w:rFonts w:ascii="Garamond" w:hAnsi="Garamond"/>
          <w:bCs/>
          <w:szCs w:val="28"/>
        </w:rPr>
        <w:t>% of GDP, shared out amongst everyone over age 65?  If we think that 2060’s taxpayers might object</w:t>
      </w:r>
      <w:r w:rsidR="00A370CB" w:rsidRPr="00381F61">
        <w:rPr>
          <w:rFonts w:ascii="Garamond" w:hAnsi="Garamond"/>
          <w:bCs/>
          <w:szCs w:val="28"/>
        </w:rPr>
        <w:t>,</w:t>
      </w:r>
      <w:r w:rsidRPr="00381F61">
        <w:rPr>
          <w:rFonts w:ascii="Garamond" w:hAnsi="Garamond"/>
          <w:bCs/>
          <w:szCs w:val="28"/>
        </w:rPr>
        <w:t xml:space="preserve"> then we could expect them to cut benefits and those changes could be made with little warning.  New Zealand’s own experiences with changes to NZS, the 1985-1998 surcharge and the introduction of KiwiSaver illustrate that clearly.</w:t>
      </w:r>
    </w:p>
    <w:p w14:paraId="2597CF06" w14:textId="77777777" w:rsidR="00B92C8D" w:rsidRPr="00381F61" w:rsidRDefault="00B92C8D" w:rsidP="00E71CEB">
      <w:pPr>
        <w:jc w:val="both"/>
        <w:rPr>
          <w:rFonts w:ascii="Garamond" w:hAnsi="Garamond"/>
          <w:bCs/>
          <w:szCs w:val="28"/>
        </w:rPr>
      </w:pPr>
    </w:p>
    <w:p w14:paraId="4BEDD0DA" w14:textId="77777777" w:rsidR="00B92C8D" w:rsidRPr="00381F61" w:rsidRDefault="00B92C8D" w:rsidP="00E71CEB">
      <w:pPr>
        <w:jc w:val="both"/>
        <w:rPr>
          <w:rFonts w:ascii="Garamond" w:hAnsi="Garamond"/>
          <w:b/>
          <w:bCs/>
          <w:szCs w:val="28"/>
        </w:rPr>
      </w:pPr>
      <w:r w:rsidRPr="00381F61">
        <w:rPr>
          <w:rFonts w:ascii="Garamond" w:hAnsi="Garamond"/>
          <w:bCs/>
          <w:szCs w:val="28"/>
        </w:rPr>
        <w:t xml:space="preserve">Rapid changes to a long-term programme like NZS are undesirable because New Zealanders build their private savings arrangements on this ‘Tier 1’ state pension.  If the cost of NZS must be cut, </w:t>
      </w:r>
      <w:r w:rsidRPr="00381F61">
        <w:rPr>
          <w:rFonts w:ascii="Garamond" w:hAnsi="Garamond"/>
          <w:bCs/>
          <w:szCs w:val="28"/>
        </w:rPr>
        <w:lastRenderedPageBreak/>
        <w:t>we need to give as much notice as possible so that people can make appropriate changes to their retirement saving plans.  That’s why we need to talk about NZS now and to run that discussion on a regular basis in the future.</w:t>
      </w:r>
    </w:p>
    <w:p w14:paraId="71D6839E" w14:textId="77777777" w:rsidR="00B92C8D" w:rsidRPr="00381F61" w:rsidRDefault="00B92C8D" w:rsidP="00E71CEB">
      <w:pPr>
        <w:pStyle w:val="FootnoteText"/>
        <w:jc w:val="both"/>
        <w:rPr>
          <w:rFonts w:ascii="Garamond" w:hAnsi="Garamond" w:cs="Arial"/>
          <w:color w:val="080000"/>
          <w:lang w:eastAsia="en-US"/>
        </w:rPr>
      </w:pPr>
    </w:p>
    <w:p w14:paraId="68E2A174" w14:textId="39710A93" w:rsidR="00B372BB" w:rsidRPr="00381F61" w:rsidRDefault="00B372BB" w:rsidP="00E71CEB">
      <w:pPr>
        <w:pStyle w:val="FootnoteText"/>
        <w:jc w:val="both"/>
        <w:rPr>
          <w:rFonts w:ascii="Garamond" w:hAnsi="Garamond" w:cs="Arial"/>
          <w:color w:val="080000"/>
          <w:lang w:eastAsia="en-US"/>
        </w:rPr>
      </w:pPr>
      <w:r w:rsidRPr="00381F61">
        <w:rPr>
          <w:rFonts w:ascii="Garamond" w:hAnsi="Garamond" w:cs="Arial"/>
          <w:color w:val="080000"/>
          <w:lang w:eastAsia="en-US"/>
        </w:rPr>
        <w:t>NZS currently</w:t>
      </w:r>
      <w:r w:rsidR="0075103B" w:rsidRPr="00381F61">
        <w:rPr>
          <w:rFonts w:ascii="Garamond" w:hAnsi="Garamond" w:cs="Arial"/>
          <w:color w:val="080000"/>
          <w:lang w:eastAsia="en-US"/>
        </w:rPr>
        <w:t xml:space="preserve"> (2019)</w:t>
      </w:r>
      <w:r w:rsidRPr="00381F61">
        <w:rPr>
          <w:rFonts w:ascii="Garamond" w:hAnsi="Garamond" w:cs="Arial"/>
          <w:color w:val="080000"/>
          <w:lang w:eastAsia="en-US"/>
        </w:rPr>
        <w:t xml:space="preserve"> costs a </w:t>
      </w:r>
      <w:r w:rsidRPr="00381F61">
        <w:rPr>
          <w:rFonts w:ascii="Garamond" w:hAnsi="Garamond" w:cs="Arial"/>
          <w:i/>
          <w:color w:val="080000"/>
          <w:lang w:eastAsia="en-US"/>
        </w:rPr>
        <w:t>net</w:t>
      </w:r>
      <w:r w:rsidRPr="00381F61">
        <w:rPr>
          <w:rFonts w:ascii="Garamond" w:hAnsi="Garamond" w:cs="Arial"/>
          <w:color w:val="080000"/>
          <w:lang w:eastAsia="en-US"/>
        </w:rPr>
        <w:t xml:space="preserve"> 4</w:t>
      </w:r>
      <w:r w:rsidR="00770557" w:rsidRPr="00381F61">
        <w:rPr>
          <w:rFonts w:ascii="Garamond" w:hAnsi="Garamond" w:cs="Arial"/>
          <w:color w:val="080000"/>
          <w:lang w:eastAsia="en-US"/>
        </w:rPr>
        <w:t>.</w:t>
      </w:r>
      <w:r w:rsidR="0075103B" w:rsidRPr="00381F61">
        <w:rPr>
          <w:rFonts w:ascii="Garamond" w:hAnsi="Garamond" w:cs="Arial"/>
          <w:color w:val="080000"/>
          <w:lang w:eastAsia="en-US"/>
        </w:rPr>
        <w:t>1</w:t>
      </w:r>
      <w:r w:rsidRPr="00381F61">
        <w:rPr>
          <w:rFonts w:ascii="Garamond" w:hAnsi="Garamond" w:cs="Arial"/>
          <w:color w:val="080000"/>
          <w:lang w:eastAsia="en-US"/>
        </w:rPr>
        <w:t>% of GDP and the Treasury says that</w:t>
      </w:r>
      <w:r w:rsidR="0075103B" w:rsidRPr="00381F61">
        <w:rPr>
          <w:rFonts w:ascii="Garamond" w:hAnsi="Garamond" w:cs="Arial"/>
          <w:color w:val="080000"/>
          <w:lang w:eastAsia="en-US"/>
        </w:rPr>
        <w:t xml:space="preserve"> </w:t>
      </w:r>
      <w:r w:rsidRPr="00381F61">
        <w:rPr>
          <w:rFonts w:ascii="Garamond" w:hAnsi="Garamond" w:cs="Arial"/>
          <w:color w:val="080000"/>
          <w:lang w:eastAsia="en-US"/>
        </w:rPr>
        <w:t xml:space="preserve">will increase to a </w:t>
      </w:r>
      <w:r w:rsidRPr="00381F61">
        <w:rPr>
          <w:rFonts w:ascii="Garamond" w:hAnsi="Garamond" w:cs="Arial"/>
          <w:i/>
          <w:color w:val="080000"/>
          <w:lang w:eastAsia="en-US"/>
        </w:rPr>
        <w:t>net</w:t>
      </w:r>
      <w:r w:rsidRPr="00381F61">
        <w:rPr>
          <w:rFonts w:ascii="Garamond" w:hAnsi="Garamond" w:cs="Arial"/>
          <w:color w:val="080000"/>
          <w:lang w:eastAsia="en-US"/>
        </w:rPr>
        <w:t xml:space="preserve"> </w:t>
      </w:r>
      <w:r w:rsidR="00770557" w:rsidRPr="00381F61">
        <w:rPr>
          <w:rFonts w:ascii="Garamond" w:hAnsi="Garamond" w:cs="Arial"/>
          <w:color w:val="080000"/>
          <w:lang w:eastAsia="en-US"/>
        </w:rPr>
        <w:t>6.7</w:t>
      </w:r>
      <w:r w:rsidR="0075103B" w:rsidRPr="00381F61">
        <w:rPr>
          <w:rFonts w:ascii="Garamond" w:hAnsi="Garamond" w:cs="Arial"/>
          <w:color w:val="080000"/>
          <w:lang w:eastAsia="en-US"/>
        </w:rPr>
        <w:t>5</w:t>
      </w:r>
      <w:r w:rsidRPr="00381F61">
        <w:rPr>
          <w:rFonts w:ascii="Garamond" w:hAnsi="Garamond" w:cs="Arial"/>
          <w:color w:val="080000"/>
          <w:lang w:eastAsia="en-US"/>
        </w:rPr>
        <w:t>% by 2060</w:t>
      </w:r>
      <w:r w:rsidR="0075103B" w:rsidRPr="00381F61">
        <w:rPr>
          <w:rStyle w:val="FootnoteReference"/>
          <w:rFonts w:ascii="Garamond" w:hAnsi="Garamond" w:cs="Arial"/>
          <w:color w:val="080000"/>
          <w:lang w:eastAsia="en-US"/>
        </w:rPr>
        <w:footnoteReference w:id="33"/>
      </w:r>
      <w:r w:rsidRPr="00381F61">
        <w:rPr>
          <w:rFonts w:ascii="Garamond" w:hAnsi="Garamond" w:cs="Arial"/>
          <w:color w:val="080000"/>
          <w:lang w:eastAsia="en-US"/>
        </w:rPr>
        <w:t>.  That’s a lot of money today and even more tomorrow.  However, let’s put those large numbers into perspective.  The Treasury expects New Zealand</w:t>
      </w:r>
      <w:r w:rsidR="00E34430" w:rsidRPr="00381F61">
        <w:rPr>
          <w:rFonts w:ascii="Garamond" w:hAnsi="Garamond" w:cs="Arial"/>
          <w:color w:val="080000"/>
          <w:lang w:eastAsia="en-US"/>
        </w:rPr>
        <w:t xml:space="preserve">, </w:t>
      </w:r>
      <w:r w:rsidR="00E34430" w:rsidRPr="00381F61">
        <w:rPr>
          <w:rFonts w:ascii="Garamond" w:hAnsi="Garamond" w:cs="Arial"/>
          <w:color w:val="080000"/>
          <w:u w:val="single"/>
          <w:lang w:eastAsia="en-US"/>
        </w:rPr>
        <w:t>in 40 years’ time</w:t>
      </w:r>
      <w:r w:rsidR="00E34430" w:rsidRPr="00381F61">
        <w:rPr>
          <w:rFonts w:ascii="Garamond" w:hAnsi="Garamond" w:cs="Arial"/>
          <w:color w:val="080000"/>
          <w:lang w:eastAsia="en-US"/>
        </w:rPr>
        <w:t>,</w:t>
      </w:r>
      <w:r w:rsidRPr="00381F61">
        <w:rPr>
          <w:rFonts w:ascii="Garamond" w:hAnsi="Garamond" w:cs="Arial"/>
          <w:color w:val="080000"/>
          <w:lang w:eastAsia="en-US"/>
        </w:rPr>
        <w:t xml:space="preserve"> to spend less than the average of all OECD countries spend on pensions </w:t>
      </w:r>
      <w:r w:rsidRPr="00381F61">
        <w:rPr>
          <w:rFonts w:ascii="Garamond" w:hAnsi="Garamond" w:cs="Arial"/>
          <w:color w:val="080000"/>
          <w:u w:val="single"/>
          <w:lang w:eastAsia="en-US"/>
        </w:rPr>
        <w:t>today</w:t>
      </w:r>
      <w:r w:rsidRPr="00381F61">
        <w:rPr>
          <w:rFonts w:ascii="Garamond" w:hAnsi="Garamond" w:cs="Arial"/>
          <w:color w:val="080000"/>
          <w:lang w:eastAsia="en-US"/>
        </w:rPr>
        <w:t>.</w:t>
      </w:r>
      <w:r w:rsidR="00D92F87" w:rsidRPr="00381F61">
        <w:rPr>
          <w:rFonts w:ascii="Garamond" w:hAnsi="Garamond" w:cs="Arial"/>
          <w:color w:val="080000"/>
          <w:lang w:eastAsia="en-US"/>
        </w:rPr>
        <w:t xml:space="preserve">  The OECD reports that, in 2011</w:t>
      </w:r>
      <w:r w:rsidR="005231C7" w:rsidRPr="00381F61">
        <w:rPr>
          <w:rFonts w:ascii="Garamond" w:hAnsi="Garamond" w:cs="Arial"/>
          <w:color w:val="080000"/>
          <w:lang w:eastAsia="en-US"/>
        </w:rPr>
        <w:t xml:space="preserve"> (</w:t>
      </w:r>
      <w:r w:rsidR="00E34430" w:rsidRPr="00381F61">
        <w:rPr>
          <w:rFonts w:ascii="Garamond" w:hAnsi="Garamond" w:cs="Arial"/>
          <w:color w:val="080000"/>
          <w:lang w:eastAsia="en-US"/>
        </w:rPr>
        <w:t xml:space="preserve">eight </w:t>
      </w:r>
      <w:r w:rsidR="005231C7" w:rsidRPr="00381F61">
        <w:rPr>
          <w:rFonts w:ascii="Garamond" w:hAnsi="Garamond" w:cs="Arial"/>
          <w:color w:val="080000"/>
          <w:lang w:eastAsia="en-US"/>
        </w:rPr>
        <w:t>years ago)</w:t>
      </w:r>
      <w:r w:rsidR="00D92F87" w:rsidRPr="00381F61">
        <w:rPr>
          <w:rFonts w:ascii="Garamond" w:hAnsi="Garamond" w:cs="Arial"/>
          <w:color w:val="080000"/>
          <w:lang w:eastAsia="en-US"/>
        </w:rPr>
        <w:t xml:space="preserve">, the average cost of </w:t>
      </w:r>
      <w:r w:rsidR="002825BC" w:rsidRPr="00381F61">
        <w:rPr>
          <w:rFonts w:ascii="Garamond" w:hAnsi="Garamond" w:cs="Arial"/>
          <w:color w:val="080000"/>
          <w:lang w:eastAsia="en-US"/>
        </w:rPr>
        <w:t xml:space="preserve">public spending on old age and survivor pensions was </w:t>
      </w:r>
      <w:r w:rsidR="00C94EFC" w:rsidRPr="00381F61">
        <w:rPr>
          <w:rFonts w:ascii="Garamond" w:hAnsi="Garamond" w:cs="Arial"/>
          <w:color w:val="080000"/>
          <w:lang w:eastAsia="en-US"/>
        </w:rPr>
        <w:t>a net 7.3% of GDP</w:t>
      </w:r>
      <w:r w:rsidR="00C94EFC" w:rsidRPr="00381F61">
        <w:rPr>
          <w:rStyle w:val="FootnoteReference"/>
          <w:rFonts w:ascii="Garamond" w:hAnsi="Garamond" w:cs="Arial"/>
          <w:color w:val="080000"/>
          <w:lang w:eastAsia="en-US"/>
        </w:rPr>
        <w:footnoteReference w:id="34"/>
      </w:r>
      <w:r w:rsidR="00C94EFC" w:rsidRPr="00381F61">
        <w:rPr>
          <w:rFonts w:ascii="Garamond" w:hAnsi="Garamond" w:cs="Arial"/>
          <w:color w:val="080000"/>
          <w:lang w:eastAsia="en-US"/>
        </w:rPr>
        <w:t>.</w:t>
      </w:r>
    </w:p>
    <w:p w14:paraId="5958CE7C" w14:textId="77777777" w:rsidR="00B372BB" w:rsidRPr="00381F61" w:rsidRDefault="00B372BB" w:rsidP="00E71CEB">
      <w:pPr>
        <w:pStyle w:val="FootnoteText"/>
        <w:jc w:val="both"/>
        <w:rPr>
          <w:rFonts w:ascii="Garamond" w:hAnsi="Garamond" w:cs="Arial"/>
          <w:color w:val="080000"/>
          <w:lang w:eastAsia="en-US"/>
        </w:rPr>
      </w:pPr>
    </w:p>
    <w:p w14:paraId="3EF641BD" w14:textId="52280FE5" w:rsidR="00B372BB" w:rsidRPr="00381F61" w:rsidRDefault="00B372BB" w:rsidP="00E71CEB">
      <w:pPr>
        <w:pStyle w:val="FootnoteText"/>
        <w:jc w:val="both"/>
        <w:rPr>
          <w:rFonts w:ascii="Garamond" w:hAnsi="Garamond" w:cs="Arial"/>
          <w:color w:val="080000"/>
          <w:lang w:eastAsia="en-US"/>
        </w:rPr>
      </w:pPr>
      <w:r w:rsidRPr="00381F61">
        <w:rPr>
          <w:rFonts w:ascii="Garamond" w:hAnsi="Garamond" w:cs="Arial"/>
          <w:color w:val="080000"/>
          <w:lang w:eastAsia="en-US"/>
        </w:rPr>
        <w:t xml:space="preserve">So what makes </w:t>
      </w:r>
      <w:r w:rsidR="00C94EFC" w:rsidRPr="00381F61">
        <w:rPr>
          <w:rFonts w:ascii="Garamond" w:hAnsi="Garamond" w:cs="Arial"/>
          <w:color w:val="080000"/>
          <w:lang w:eastAsia="en-US"/>
        </w:rPr>
        <w:t>our Treasury’s</w:t>
      </w:r>
      <w:r w:rsidRPr="00381F61">
        <w:rPr>
          <w:rFonts w:ascii="Garamond" w:hAnsi="Garamond" w:cs="Arial"/>
          <w:color w:val="080000"/>
          <w:lang w:eastAsia="en-US"/>
        </w:rPr>
        <w:t xml:space="preserve"> 2060 estimate ‘unsustainable’?  As ever, it will be a question of priorities – will 2060 taxpayers be happy about spending that much on pensions for the old?</w:t>
      </w:r>
      <w:r w:rsidR="00AC0D26" w:rsidRPr="00381F61">
        <w:rPr>
          <w:rFonts w:ascii="Garamond" w:hAnsi="Garamond" w:cs="Arial"/>
          <w:color w:val="080000"/>
          <w:lang w:eastAsia="en-US"/>
        </w:rPr>
        <w:t xml:space="preserve">  We do not know the answer t</w:t>
      </w:r>
      <w:r w:rsidR="006503AF" w:rsidRPr="00381F61">
        <w:rPr>
          <w:rFonts w:ascii="Garamond" w:hAnsi="Garamond" w:cs="Arial"/>
          <w:color w:val="080000"/>
          <w:lang w:eastAsia="en-US"/>
        </w:rPr>
        <w:t>o</w:t>
      </w:r>
      <w:r w:rsidR="00AC0D26" w:rsidRPr="00381F61">
        <w:rPr>
          <w:rFonts w:ascii="Garamond" w:hAnsi="Garamond" w:cs="Arial"/>
          <w:color w:val="080000"/>
          <w:lang w:eastAsia="en-US"/>
        </w:rPr>
        <w:t xml:space="preserve"> that question, but we do know that today, in most OECD countries, </w:t>
      </w:r>
      <w:r w:rsidR="006503AF" w:rsidRPr="00381F61">
        <w:rPr>
          <w:rFonts w:ascii="Garamond" w:hAnsi="Garamond" w:cs="Arial"/>
          <w:color w:val="080000"/>
          <w:lang w:eastAsia="en-US"/>
        </w:rPr>
        <w:t>taxpayers seem happy to do that</w:t>
      </w:r>
      <w:r w:rsidR="00AC0D26" w:rsidRPr="00381F61">
        <w:rPr>
          <w:rFonts w:ascii="Garamond" w:hAnsi="Garamond" w:cs="Arial"/>
          <w:color w:val="080000"/>
          <w:lang w:eastAsia="en-US"/>
        </w:rPr>
        <w:t>, all else considered.</w:t>
      </w:r>
    </w:p>
    <w:p w14:paraId="0844CF92" w14:textId="77777777" w:rsidR="00B372BB" w:rsidRPr="00381F61" w:rsidRDefault="00B372BB" w:rsidP="00E71CEB">
      <w:pPr>
        <w:pStyle w:val="FootnoteText"/>
        <w:jc w:val="both"/>
        <w:rPr>
          <w:rFonts w:ascii="Garamond" w:hAnsi="Garamond" w:cs="Arial"/>
          <w:color w:val="080000"/>
          <w:lang w:eastAsia="en-US"/>
        </w:rPr>
      </w:pPr>
    </w:p>
    <w:p w14:paraId="52DBDAB2" w14:textId="24B508B6" w:rsidR="00B372BB" w:rsidRPr="00381F61" w:rsidRDefault="00206335" w:rsidP="00E71CEB">
      <w:pPr>
        <w:pStyle w:val="FootnoteText"/>
        <w:jc w:val="both"/>
        <w:rPr>
          <w:rFonts w:ascii="Garamond" w:hAnsi="Garamond" w:cs="Arial"/>
          <w:color w:val="080000"/>
          <w:lang w:eastAsia="en-US"/>
        </w:rPr>
      </w:pPr>
      <w:r w:rsidRPr="00381F61">
        <w:rPr>
          <w:rFonts w:ascii="Garamond" w:hAnsi="Garamond" w:cs="Arial"/>
          <w:color w:val="080000"/>
          <w:lang w:eastAsia="en-US"/>
        </w:rPr>
        <w:t>H</w:t>
      </w:r>
      <w:r w:rsidR="00B372BB" w:rsidRPr="00381F61">
        <w:rPr>
          <w:rFonts w:ascii="Garamond" w:hAnsi="Garamond" w:cs="Arial"/>
          <w:color w:val="080000"/>
          <w:lang w:eastAsia="en-US"/>
        </w:rPr>
        <w:t>ealth spending will have a similar trajectory to the cost of NZS</w:t>
      </w:r>
      <w:r w:rsidR="00071B98" w:rsidRPr="00381F61">
        <w:rPr>
          <w:rFonts w:ascii="Garamond" w:hAnsi="Garamond" w:cs="Arial"/>
          <w:color w:val="080000"/>
          <w:lang w:eastAsia="en-US"/>
        </w:rPr>
        <w:t>.  T</w:t>
      </w:r>
      <w:r w:rsidR="00B372BB" w:rsidRPr="00381F61">
        <w:rPr>
          <w:rFonts w:ascii="Garamond" w:hAnsi="Garamond" w:cs="Arial"/>
          <w:color w:val="080000"/>
          <w:lang w:eastAsia="en-US"/>
        </w:rPr>
        <w:t>he</w:t>
      </w:r>
      <w:r w:rsidR="00C94EFC" w:rsidRPr="00381F61">
        <w:rPr>
          <w:rFonts w:ascii="Garamond" w:hAnsi="Garamond" w:cs="Arial"/>
          <w:color w:val="080000"/>
          <w:lang w:eastAsia="en-US"/>
        </w:rPr>
        <w:t xml:space="preserve"> gross </w:t>
      </w:r>
      <w:r w:rsidRPr="00381F61">
        <w:rPr>
          <w:rFonts w:ascii="Garamond" w:hAnsi="Garamond" w:cs="Arial"/>
          <w:color w:val="080000"/>
          <w:lang w:eastAsia="en-US"/>
        </w:rPr>
        <w:t xml:space="preserve">government’s </w:t>
      </w:r>
      <w:r w:rsidR="00071B98" w:rsidRPr="00381F61">
        <w:rPr>
          <w:rFonts w:ascii="Garamond" w:hAnsi="Garamond" w:cs="Arial"/>
          <w:color w:val="080000"/>
          <w:lang w:eastAsia="en-US"/>
        </w:rPr>
        <w:t>health spend was</w:t>
      </w:r>
      <w:r w:rsidR="00C94EFC" w:rsidRPr="00381F61">
        <w:rPr>
          <w:rFonts w:ascii="Garamond" w:hAnsi="Garamond" w:cs="Arial"/>
          <w:color w:val="080000"/>
          <w:lang w:eastAsia="en-US"/>
        </w:rPr>
        <w:t xml:space="preserve"> 6.2</w:t>
      </w:r>
      <w:r w:rsidR="00B372BB" w:rsidRPr="00381F61">
        <w:rPr>
          <w:rFonts w:ascii="Garamond" w:hAnsi="Garamond" w:cs="Arial"/>
          <w:color w:val="080000"/>
          <w:lang w:eastAsia="en-US"/>
        </w:rPr>
        <w:t>% of GDP</w:t>
      </w:r>
      <w:r w:rsidR="00071B98" w:rsidRPr="00381F61">
        <w:rPr>
          <w:rFonts w:ascii="Garamond" w:hAnsi="Garamond" w:cs="Arial"/>
          <w:color w:val="080000"/>
          <w:lang w:eastAsia="en-US"/>
        </w:rPr>
        <w:t xml:space="preserve"> in 2015</w:t>
      </w:r>
      <w:r w:rsidR="00B372BB" w:rsidRPr="00381F61">
        <w:rPr>
          <w:rFonts w:ascii="Garamond" w:hAnsi="Garamond" w:cs="Arial"/>
          <w:color w:val="080000"/>
          <w:lang w:eastAsia="en-US"/>
        </w:rPr>
        <w:t>.  The Treasury’s 2016 Long Term Fiscal Model expects</w:t>
      </w:r>
      <w:r w:rsidR="00C94EFC" w:rsidRPr="00381F61">
        <w:rPr>
          <w:rFonts w:ascii="Garamond" w:hAnsi="Garamond" w:cs="Arial"/>
          <w:color w:val="080000"/>
          <w:lang w:eastAsia="en-US"/>
        </w:rPr>
        <w:t xml:space="preserve"> that to be 9.7</w:t>
      </w:r>
      <w:r w:rsidR="00B372BB" w:rsidRPr="00381F61">
        <w:rPr>
          <w:rFonts w:ascii="Garamond" w:hAnsi="Garamond" w:cs="Arial"/>
          <w:color w:val="080000"/>
          <w:lang w:eastAsia="en-US"/>
        </w:rPr>
        <w:t>% by 2060</w:t>
      </w:r>
      <w:r w:rsidR="005B563F" w:rsidRPr="00381F61">
        <w:rPr>
          <w:rStyle w:val="FootnoteReference"/>
          <w:rFonts w:ascii="Garamond" w:hAnsi="Garamond" w:cs="Arial"/>
          <w:color w:val="080000"/>
          <w:lang w:eastAsia="en-US"/>
        </w:rPr>
        <w:footnoteReference w:id="35"/>
      </w:r>
      <w:r w:rsidR="00B372BB" w:rsidRPr="00381F61">
        <w:rPr>
          <w:rFonts w:ascii="Garamond" w:hAnsi="Garamond" w:cs="Arial"/>
          <w:color w:val="080000"/>
          <w:lang w:eastAsia="en-US"/>
        </w:rPr>
        <w:t>.  We don’t say that health spending is ‘unsustainable’ and must reduce today.</w:t>
      </w:r>
      <w:r w:rsidR="001F72D8" w:rsidRPr="00381F61">
        <w:rPr>
          <w:rFonts w:ascii="Garamond" w:hAnsi="Garamond" w:cs="Arial"/>
          <w:color w:val="080000"/>
          <w:lang w:eastAsia="en-US"/>
        </w:rPr>
        <w:t xml:space="preserve">  </w:t>
      </w:r>
      <w:r w:rsidR="00AC0D26" w:rsidRPr="00381F61">
        <w:rPr>
          <w:rFonts w:ascii="Garamond" w:hAnsi="Garamond" w:cs="Arial"/>
          <w:color w:val="080000"/>
          <w:lang w:eastAsia="en-US"/>
        </w:rPr>
        <w:t xml:space="preserve">In fact, many say that it should be increased.  </w:t>
      </w:r>
      <w:r w:rsidR="001F72D8" w:rsidRPr="00381F61">
        <w:rPr>
          <w:rFonts w:ascii="Garamond" w:hAnsi="Garamond" w:cs="Arial"/>
          <w:color w:val="080000"/>
          <w:lang w:eastAsia="en-US"/>
        </w:rPr>
        <w:t>What makes NZS different in this regard?</w:t>
      </w:r>
    </w:p>
    <w:p w14:paraId="5761C384" w14:textId="77777777" w:rsidR="00B372BB" w:rsidRPr="00381F61" w:rsidRDefault="00B372BB" w:rsidP="00E71CEB">
      <w:pPr>
        <w:pStyle w:val="FootnoteText"/>
        <w:jc w:val="both"/>
        <w:rPr>
          <w:rFonts w:ascii="Garamond" w:hAnsi="Garamond" w:cs="Arial"/>
          <w:color w:val="080000"/>
          <w:lang w:eastAsia="en-US"/>
        </w:rPr>
      </w:pPr>
    </w:p>
    <w:p w14:paraId="5C968B86" w14:textId="6B26BD9C" w:rsidR="00B372BB" w:rsidRPr="00381F61" w:rsidRDefault="00B372BB" w:rsidP="00E71CEB">
      <w:pPr>
        <w:pStyle w:val="FootnoteText"/>
        <w:jc w:val="both"/>
        <w:rPr>
          <w:rFonts w:ascii="Garamond" w:hAnsi="Garamond" w:cs="Arial"/>
          <w:color w:val="080000"/>
          <w:lang w:eastAsia="en-US"/>
        </w:rPr>
      </w:pPr>
      <w:r w:rsidRPr="00381F61">
        <w:rPr>
          <w:rFonts w:ascii="Garamond" w:hAnsi="Garamond" w:cs="Arial"/>
          <w:color w:val="080000"/>
          <w:lang w:eastAsia="en-US"/>
        </w:rPr>
        <w:t>Even if we think that 2060 taxpayers might be unhappy about either the cost of NZS or of health in 2060 (or both), it will still be an issue for 206</w:t>
      </w:r>
      <w:r w:rsidR="00206335" w:rsidRPr="00381F61">
        <w:rPr>
          <w:rFonts w:ascii="Garamond" w:hAnsi="Garamond" w:cs="Arial"/>
          <w:color w:val="080000"/>
          <w:lang w:eastAsia="en-US"/>
        </w:rPr>
        <w:t>0 taxpayers to resolve, not 201</w:t>
      </w:r>
      <w:r w:rsidR="00E34430" w:rsidRPr="00381F61">
        <w:rPr>
          <w:rFonts w:ascii="Garamond" w:hAnsi="Garamond" w:cs="Arial"/>
          <w:color w:val="080000"/>
          <w:lang w:eastAsia="en-US"/>
        </w:rPr>
        <w:t>9</w:t>
      </w:r>
      <w:r w:rsidR="001F72D8" w:rsidRPr="00381F61">
        <w:rPr>
          <w:rFonts w:ascii="Garamond" w:hAnsi="Garamond" w:cs="Arial"/>
          <w:color w:val="080000"/>
          <w:lang w:eastAsia="en-US"/>
        </w:rPr>
        <w:t xml:space="preserve"> taxpayers</w:t>
      </w:r>
      <w:r w:rsidRPr="00381F61">
        <w:rPr>
          <w:rFonts w:ascii="Garamond" w:hAnsi="Garamond" w:cs="Arial"/>
          <w:color w:val="080000"/>
          <w:lang w:eastAsia="en-US"/>
        </w:rPr>
        <w:t>.  Each year’s taxpayers effectively make those spending priority decisions every year and that will be the case in 2060 as it is now</w:t>
      </w:r>
      <w:r w:rsidR="006503AF" w:rsidRPr="00381F61">
        <w:rPr>
          <w:rFonts w:ascii="Garamond" w:hAnsi="Garamond" w:cs="Arial"/>
          <w:color w:val="080000"/>
          <w:lang w:eastAsia="en-US"/>
        </w:rPr>
        <w:t>.  T</w:t>
      </w:r>
      <w:r w:rsidR="00AC0D26" w:rsidRPr="00381F61">
        <w:rPr>
          <w:rFonts w:ascii="Garamond" w:hAnsi="Garamond" w:cs="Arial"/>
          <w:color w:val="080000"/>
          <w:lang w:eastAsia="en-US"/>
        </w:rPr>
        <w:t xml:space="preserve">hose </w:t>
      </w:r>
      <w:r w:rsidR="006503AF" w:rsidRPr="00381F61">
        <w:rPr>
          <w:rFonts w:ascii="Garamond" w:hAnsi="Garamond" w:cs="Arial"/>
          <w:color w:val="080000"/>
          <w:lang w:eastAsia="en-US"/>
        </w:rPr>
        <w:t>who</w:t>
      </w:r>
      <w:r w:rsidR="00AC0D26" w:rsidRPr="00381F61">
        <w:rPr>
          <w:rFonts w:ascii="Garamond" w:hAnsi="Garamond" w:cs="Arial"/>
          <w:color w:val="080000"/>
          <w:lang w:eastAsia="en-US"/>
        </w:rPr>
        <w:t xml:space="preserve"> will be taxpayers in 2060 may start agitating for changes over </w:t>
      </w:r>
      <w:r w:rsidR="006503AF" w:rsidRPr="00381F61">
        <w:rPr>
          <w:rFonts w:ascii="Garamond" w:hAnsi="Garamond" w:cs="Arial"/>
          <w:color w:val="080000"/>
          <w:lang w:eastAsia="en-US"/>
        </w:rPr>
        <w:t>the period</w:t>
      </w:r>
      <w:r w:rsidR="00AC0D26" w:rsidRPr="00381F61">
        <w:rPr>
          <w:rFonts w:ascii="Garamond" w:hAnsi="Garamond" w:cs="Arial"/>
          <w:color w:val="080000"/>
          <w:lang w:eastAsia="en-US"/>
        </w:rPr>
        <w:t xml:space="preserve"> to that point but that</w:t>
      </w:r>
      <w:r w:rsidR="006503AF" w:rsidRPr="00381F61">
        <w:rPr>
          <w:rFonts w:ascii="Garamond" w:hAnsi="Garamond" w:cs="Arial"/>
          <w:color w:val="080000"/>
          <w:lang w:eastAsia="en-US"/>
        </w:rPr>
        <w:t>’</w:t>
      </w:r>
      <w:r w:rsidR="00AC0D26" w:rsidRPr="00381F61">
        <w:rPr>
          <w:rFonts w:ascii="Garamond" w:hAnsi="Garamond" w:cs="Arial"/>
          <w:color w:val="080000"/>
          <w:lang w:eastAsia="en-US"/>
        </w:rPr>
        <w:t>s a decision they will make</w:t>
      </w:r>
      <w:r w:rsidR="006503AF" w:rsidRPr="00381F61">
        <w:rPr>
          <w:rFonts w:ascii="Garamond" w:hAnsi="Garamond" w:cs="Arial"/>
          <w:color w:val="080000"/>
          <w:lang w:eastAsia="en-US"/>
        </w:rPr>
        <w:t xml:space="preserve"> at the time</w:t>
      </w:r>
      <w:r w:rsidRPr="00381F61">
        <w:rPr>
          <w:rFonts w:ascii="Garamond" w:hAnsi="Garamond" w:cs="Arial"/>
          <w:color w:val="080000"/>
          <w:lang w:eastAsia="en-US"/>
        </w:rPr>
        <w:t>.</w:t>
      </w:r>
    </w:p>
    <w:p w14:paraId="16737517" w14:textId="77777777" w:rsidR="00B372BB" w:rsidRPr="00381F61" w:rsidRDefault="00B372BB" w:rsidP="00E71CEB">
      <w:pPr>
        <w:pStyle w:val="FootnoteText"/>
        <w:jc w:val="both"/>
        <w:rPr>
          <w:rFonts w:ascii="Garamond" w:hAnsi="Garamond" w:cs="Arial"/>
          <w:color w:val="080000"/>
          <w:lang w:eastAsia="en-US"/>
        </w:rPr>
      </w:pPr>
    </w:p>
    <w:p w14:paraId="665FABED" w14:textId="332B082C" w:rsidR="00B372BB" w:rsidRPr="00381F61" w:rsidRDefault="00B372BB" w:rsidP="00E71CEB">
      <w:pPr>
        <w:pStyle w:val="FootnoteText"/>
        <w:jc w:val="both"/>
        <w:rPr>
          <w:rFonts w:ascii="Garamond" w:hAnsi="Garamond" w:cs="Arial"/>
          <w:color w:val="080000"/>
          <w:lang w:eastAsia="en-US"/>
        </w:rPr>
      </w:pPr>
      <w:r w:rsidRPr="00381F61">
        <w:rPr>
          <w:rFonts w:ascii="Garamond" w:hAnsi="Garamond" w:cs="Arial"/>
          <w:color w:val="080000"/>
          <w:lang w:eastAsia="en-US"/>
        </w:rPr>
        <w:t>If we worry about what the cost of NZS might be in 2060, why aren’t we questioning today’s cost?  Taxpayers spend a net 4.</w:t>
      </w:r>
      <w:r w:rsidR="00571E1D" w:rsidRPr="00381F61">
        <w:rPr>
          <w:rFonts w:ascii="Garamond" w:hAnsi="Garamond" w:cs="Arial"/>
          <w:color w:val="080000"/>
          <w:lang w:eastAsia="en-US"/>
        </w:rPr>
        <w:t>1</w:t>
      </w:r>
      <w:r w:rsidRPr="00381F61">
        <w:rPr>
          <w:rFonts w:ascii="Garamond" w:hAnsi="Garamond" w:cs="Arial"/>
          <w:color w:val="080000"/>
          <w:lang w:eastAsia="en-US"/>
        </w:rPr>
        <w:t>% of GDP today</w:t>
      </w:r>
      <w:r w:rsidR="002F0293" w:rsidRPr="00381F61">
        <w:rPr>
          <w:rFonts w:ascii="Garamond" w:hAnsi="Garamond" w:cs="Arial"/>
          <w:color w:val="080000"/>
          <w:lang w:eastAsia="en-US"/>
        </w:rPr>
        <w:t xml:space="preserve"> </w:t>
      </w:r>
      <w:r w:rsidR="00FB7E9E" w:rsidRPr="00381F61">
        <w:rPr>
          <w:rFonts w:ascii="Garamond" w:hAnsi="Garamond" w:cs="Arial"/>
          <w:color w:val="080000"/>
          <w:lang w:eastAsia="en-US"/>
        </w:rPr>
        <w:t xml:space="preserve">(2018) </w:t>
      </w:r>
      <w:r w:rsidR="002F0293" w:rsidRPr="00381F61">
        <w:rPr>
          <w:rFonts w:ascii="Garamond" w:hAnsi="Garamond" w:cs="Arial"/>
          <w:color w:val="080000"/>
          <w:lang w:eastAsia="en-US"/>
        </w:rPr>
        <w:t>– that’s more than $1</w:t>
      </w:r>
      <w:r w:rsidR="00980927" w:rsidRPr="00381F61">
        <w:rPr>
          <w:rFonts w:ascii="Garamond" w:hAnsi="Garamond" w:cs="Arial"/>
          <w:color w:val="080000"/>
          <w:lang w:eastAsia="en-US"/>
        </w:rPr>
        <w:t>2.3</w:t>
      </w:r>
      <w:r w:rsidR="002F0293" w:rsidRPr="00381F61">
        <w:rPr>
          <w:rFonts w:ascii="Garamond" w:hAnsi="Garamond" w:cs="Arial"/>
          <w:color w:val="080000"/>
          <w:lang w:eastAsia="en-US"/>
        </w:rPr>
        <w:t xml:space="preserve"> billion</w:t>
      </w:r>
      <w:r w:rsidRPr="00381F61">
        <w:rPr>
          <w:rFonts w:ascii="Garamond" w:hAnsi="Garamond" w:cs="Arial"/>
          <w:color w:val="080000"/>
          <w:lang w:eastAsia="en-US"/>
        </w:rPr>
        <w:t>.  Is that a good use of taxpayers’ money</w:t>
      </w:r>
      <w:r w:rsidR="00394D22" w:rsidRPr="00381F61">
        <w:rPr>
          <w:rFonts w:ascii="Garamond" w:hAnsi="Garamond" w:cs="Arial"/>
          <w:color w:val="080000"/>
          <w:lang w:eastAsia="en-US"/>
        </w:rPr>
        <w:t>?  H</w:t>
      </w:r>
      <w:r w:rsidRPr="00381F61">
        <w:rPr>
          <w:rFonts w:ascii="Garamond" w:hAnsi="Garamond" w:cs="Arial"/>
          <w:color w:val="080000"/>
          <w:lang w:eastAsia="en-US"/>
        </w:rPr>
        <w:t xml:space="preserve">ave we got the design of NZS right?  </w:t>
      </w:r>
      <w:r w:rsidR="00C94EFC" w:rsidRPr="00381F61">
        <w:rPr>
          <w:rFonts w:ascii="Garamond" w:hAnsi="Garamond" w:cs="Arial"/>
          <w:color w:val="080000"/>
          <w:lang w:eastAsia="en-US"/>
        </w:rPr>
        <w:t xml:space="preserve">The next section </w:t>
      </w:r>
      <w:r w:rsidR="000856CF" w:rsidRPr="00381F61">
        <w:rPr>
          <w:rFonts w:ascii="Garamond" w:hAnsi="Garamond" w:cs="Arial"/>
          <w:color w:val="080000"/>
          <w:lang w:eastAsia="en-US"/>
        </w:rPr>
        <w:t>6</w:t>
      </w:r>
      <w:r w:rsidR="00C94EFC" w:rsidRPr="00381F61">
        <w:rPr>
          <w:rFonts w:ascii="Garamond" w:hAnsi="Garamond" w:cs="Arial"/>
          <w:color w:val="080000"/>
          <w:lang w:eastAsia="en-US"/>
        </w:rPr>
        <w:t xml:space="preserve"> suggests not.  </w:t>
      </w:r>
      <w:r w:rsidRPr="00381F61">
        <w:rPr>
          <w:rFonts w:ascii="Garamond" w:hAnsi="Garamond" w:cs="Arial"/>
          <w:color w:val="080000"/>
          <w:lang w:eastAsia="en-US"/>
        </w:rPr>
        <w:t xml:space="preserve">We should talk about those </w:t>
      </w:r>
      <w:r w:rsidR="007D6B1A" w:rsidRPr="00381F61">
        <w:rPr>
          <w:rFonts w:ascii="Garamond" w:hAnsi="Garamond" w:cs="Arial"/>
          <w:color w:val="080000"/>
          <w:lang w:eastAsia="en-US"/>
        </w:rPr>
        <w:t xml:space="preserve">design issues </w:t>
      </w:r>
      <w:r w:rsidRPr="00381F61">
        <w:rPr>
          <w:rFonts w:ascii="Garamond" w:hAnsi="Garamond" w:cs="Arial"/>
          <w:color w:val="080000"/>
          <w:lang w:eastAsia="en-US"/>
        </w:rPr>
        <w:t xml:space="preserve">rather than </w:t>
      </w:r>
      <w:r w:rsidR="00B107D0" w:rsidRPr="00381F61">
        <w:rPr>
          <w:rFonts w:ascii="Garamond" w:hAnsi="Garamond" w:cs="Arial"/>
          <w:color w:val="080000"/>
          <w:lang w:eastAsia="en-US"/>
        </w:rPr>
        <w:t>guess</w:t>
      </w:r>
      <w:r w:rsidRPr="00381F61">
        <w:rPr>
          <w:rFonts w:ascii="Garamond" w:hAnsi="Garamond" w:cs="Arial"/>
          <w:color w:val="080000"/>
          <w:lang w:eastAsia="en-US"/>
        </w:rPr>
        <w:t xml:space="preserve"> what 2060 taxpayers might think of </w:t>
      </w:r>
      <w:r w:rsidR="00FB7E9E" w:rsidRPr="00381F61">
        <w:rPr>
          <w:rFonts w:ascii="Garamond" w:hAnsi="Garamond" w:cs="Arial"/>
          <w:color w:val="080000"/>
          <w:lang w:eastAsia="en-US"/>
        </w:rPr>
        <w:t>6.75</w:t>
      </w:r>
      <w:r w:rsidRPr="00381F61">
        <w:rPr>
          <w:rFonts w:ascii="Garamond" w:hAnsi="Garamond" w:cs="Arial"/>
          <w:color w:val="080000"/>
          <w:lang w:eastAsia="en-US"/>
        </w:rPr>
        <w:t>%.</w:t>
      </w:r>
    </w:p>
    <w:p w14:paraId="7F538241" w14:textId="77777777" w:rsidR="00B372BB" w:rsidRPr="00381F61" w:rsidRDefault="00B372BB" w:rsidP="00E71CEB">
      <w:pPr>
        <w:pStyle w:val="FootnoteText"/>
        <w:jc w:val="both"/>
        <w:rPr>
          <w:rFonts w:ascii="Garamond" w:hAnsi="Garamond" w:cs="Arial"/>
          <w:color w:val="080000"/>
          <w:lang w:eastAsia="en-US"/>
        </w:rPr>
      </w:pPr>
    </w:p>
    <w:p w14:paraId="41B8EBAD" w14:textId="4844FBF0" w:rsidR="00B372BB" w:rsidRPr="00381F61" w:rsidRDefault="008B730D" w:rsidP="00E71CEB">
      <w:pPr>
        <w:pStyle w:val="FootnoteText"/>
        <w:jc w:val="both"/>
        <w:rPr>
          <w:rFonts w:ascii="Garamond" w:eastAsia="Times New Roman" w:hAnsi="Garamond" w:cs="Arial"/>
          <w:iCs/>
          <w:color w:val="000000" w:themeColor="text1"/>
          <w:lang w:eastAsia="en-US"/>
        </w:rPr>
      </w:pPr>
      <w:r w:rsidRPr="00381F61">
        <w:rPr>
          <w:rFonts w:ascii="Garamond" w:eastAsia="Times New Roman" w:hAnsi="Garamond" w:cs="Arial"/>
          <w:iCs/>
          <w:color w:val="000000" w:themeColor="text1"/>
          <w:lang w:eastAsia="en-US"/>
        </w:rPr>
        <w:t xml:space="preserve">And, as explained in section </w:t>
      </w:r>
      <w:r w:rsidR="000856CF" w:rsidRPr="00381F61">
        <w:rPr>
          <w:rFonts w:ascii="Garamond" w:eastAsia="Times New Roman" w:hAnsi="Garamond" w:cs="Arial"/>
          <w:iCs/>
          <w:color w:val="000000" w:themeColor="text1"/>
          <w:lang w:eastAsia="en-US"/>
        </w:rPr>
        <w:t>7</w:t>
      </w:r>
      <w:r w:rsidRPr="00381F61">
        <w:rPr>
          <w:rFonts w:ascii="Garamond" w:eastAsia="Times New Roman" w:hAnsi="Garamond" w:cs="Arial"/>
          <w:iCs/>
          <w:color w:val="000000" w:themeColor="text1"/>
          <w:lang w:eastAsia="en-US"/>
        </w:rPr>
        <w:t xml:space="preserve">, </w:t>
      </w:r>
      <w:r w:rsidR="00B372BB" w:rsidRPr="00381F61">
        <w:rPr>
          <w:rFonts w:ascii="Garamond" w:eastAsia="Times New Roman" w:hAnsi="Garamond" w:cs="Arial"/>
          <w:iCs/>
          <w:color w:val="000000" w:themeColor="text1"/>
          <w:lang w:eastAsia="en-US"/>
        </w:rPr>
        <w:t xml:space="preserve">contributions to the New Zealand Superannuation Fund (NZSF) will </w:t>
      </w:r>
      <w:r w:rsidRPr="00381F61">
        <w:rPr>
          <w:rFonts w:ascii="Garamond" w:eastAsia="Times New Roman" w:hAnsi="Garamond" w:cs="Arial"/>
          <w:iCs/>
          <w:color w:val="000000" w:themeColor="text1"/>
          <w:lang w:eastAsia="en-US"/>
        </w:rPr>
        <w:t xml:space="preserve">not </w:t>
      </w:r>
      <w:r w:rsidR="00B372BB" w:rsidRPr="00381F61">
        <w:rPr>
          <w:rFonts w:ascii="Garamond" w:eastAsia="Times New Roman" w:hAnsi="Garamond" w:cs="Arial"/>
          <w:iCs/>
          <w:color w:val="000000" w:themeColor="text1"/>
          <w:lang w:eastAsia="en-US"/>
        </w:rPr>
        <w:t xml:space="preserve">help.  </w:t>
      </w:r>
      <w:r w:rsidR="00544859" w:rsidRPr="00381F61">
        <w:rPr>
          <w:rFonts w:ascii="Garamond" w:eastAsia="Times New Roman" w:hAnsi="Garamond" w:cs="Arial"/>
          <w:iCs/>
          <w:color w:val="000000" w:themeColor="text1"/>
          <w:lang w:eastAsia="en-US"/>
        </w:rPr>
        <w:t>Putting an extra $2</w:t>
      </w:r>
      <w:r w:rsidR="00FB7E9E" w:rsidRPr="00381F61">
        <w:rPr>
          <w:rFonts w:ascii="Garamond" w:eastAsia="Times New Roman" w:hAnsi="Garamond" w:cs="Arial"/>
          <w:iCs/>
          <w:color w:val="000000" w:themeColor="text1"/>
          <w:lang w:eastAsia="en-US"/>
        </w:rPr>
        <w:t>5.5</w:t>
      </w:r>
      <w:r w:rsidR="00544859" w:rsidRPr="00381F61">
        <w:rPr>
          <w:rFonts w:ascii="Garamond" w:eastAsia="Times New Roman" w:hAnsi="Garamond" w:cs="Arial"/>
          <w:iCs/>
          <w:color w:val="000000" w:themeColor="text1"/>
          <w:lang w:eastAsia="en-US"/>
        </w:rPr>
        <w:t xml:space="preserve"> billion into the NZSF between 20</w:t>
      </w:r>
      <w:r w:rsidR="00FB7E9E" w:rsidRPr="00381F61">
        <w:rPr>
          <w:rFonts w:ascii="Garamond" w:eastAsia="Times New Roman" w:hAnsi="Garamond" w:cs="Arial"/>
          <w:iCs/>
          <w:color w:val="000000" w:themeColor="text1"/>
          <w:lang w:eastAsia="en-US"/>
        </w:rPr>
        <w:t>19</w:t>
      </w:r>
      <w:r w:rsidR="00544859" w:rsidRPr="00381F61">
        <w:rPr>
          <w:rFonts w:ascii="Garamond" w:eastAsia="Times New Roman" w:hAnsi="Garamond" w:cs="Arial"/>
          <w:iCs/>
          <w:color w:val="000000" w:themeColor="text1"/>
          <w:lang w:eastAsia="en-US"/>
        </w:rPr>
        <w:t xml:space="preserve"> and 203</w:t>
      </w:r>
      <w:r w:rsidR="00FB7E9E" w:rsidRPr="00381F61">
        <w:rPr>
          <w:rFonts w:ascii="Garamond" w:eastAsia="Times New Roman" w:hAnsi="Garamond" w:cs="Arial"/>
          <w:iCs/>
          <w:color w:val="000000" w:themeColor="text1"/>
          <w:lang w:eastAsia="en-US"/>
        </w:rPr>
        <w:t>4</w:t>
      </w:r>
      <w:r w:rsidR="00544859" w:rsidRPr="00381F61">
        <w:rPr>
          <w:rStyle w:val="FootnoteReference"/>
          <w:rFonts w:ascii="Garamond" w:eastAsia="Times New Roman" w:hAnsi="Garamond" w:cs="Arial"/>
          <w:iCs/>
          <w:color w:val="000000" w:themeColor="text1"/>
          <w:lang w:eastAsia="en-US"/>
        </w:rPr>
        <w:footnoteReference w:id="36"/>
      </w:r>
      <w:r w:rsidR="00B372BB" w:rsidRPr="00381F61">
        <w:rPr>
          <w:rFonts w:ascii="Garamond" w:eastAsia="Times New Roman" w:hAnsi="Garamond" w:cs="Arial"/>
          <w:iCs/>
          <w:color w:val="000000" w:themeColor="text1"/>
          <w:lang w:eastAsia="en-US"/>
        </w:rPr>
        <w:t xml:space="preserve"> really </w:t>
      </w:r>
      <w:r w:rsidR="00187E88" w:rsidRPr="00381F61">
        <w:rPr>
          <w:rFonts w:ascii="Garamond" w:eastAsia="Times New Roman" w:hAnsi="Garamond" w:cs="Arial"/>
          <w:iCs/>
          <w:color w:val="000000" w:themeColor="text1"/>
          <w:lang w:eastAsia="en-US"/>
        </w:rPr>
        <w:t>won’t</w:t>
      </w:r>
      <w:r w:rsidR="00B372BB" w:rsidRPr="00381F61">
        <w:rPr>
          <w:rFonts w:ascii="Garamond" w:eastAsia="Times New Roman" w:hAnsi="Garamond" w:cs="Arial"/>
          <w:iCs/>
          <w:color w:val="000000" w:themeColor="text1"/>
          <w:lang w:eastAsia="en-US"/>
        </w:rPr>
        <w:t xml:space="preserve"> ma</w:t>
      </w:r>
      <w:r w:rsidRPr="00381F61">
        <w:rPr>
          <w:rFonts w:ascii="Garamond" w:eastAsia="Times New Roman" w:hAnsi="Garamond" w:cs="Arial"/>
          <w:iCs/>
          <w:color w:val="000000" w:themeColor="text1"/>
          <w:lang w:eastAsia="en-US"/>
        </w:rPr>
        <w:t>tter</w:t>
      </w:r>
      <w:r w:rsidR="00B372BB" w:rsidRPr="00381F61">
        <w:rPr>
          <w:rFonts w:ascii="Garamond" w:eastAsia="Times New Roman" w:hAnsi="Garamond" w:cs="Arial"/>
          <w:iCs/>
          <w:color w:val="000000" w:themeColor="text1"/>
          <w:lang w:eastAsia="en-US"/>
        </w:rPr>
        <w:t xml:space="preserve">.  The partial pre-funding of NZS through the NZSF </w:t>
      </w:r>
      <w:r w:rsidR="00C94EFC" w:rsidRPr="00381F61">
        <w:rPr>
          <w:rFonts w:ascii="Garamond" w:eastAsia="Times New Roman" w:hAnsi="Garamond" w:cs="Arial"/>
          <w:iCs/>
          <w:color w:val="000000" w:themeColor="text1"/>
          <w:lang w:eastAsia="en-US"/>
        </w:rPr>
        <w:t>does not</w:t>
      </w:r>
      <w:r w:rsidR="00B372BB" w:rsidRPr="00381F61">
        <w:rPr>
          <w:rFonts w:ascii="Garamond" w:eastAsia="Times New Roman" w:hAnsi="Garamond" w:cs="Arial"/>
          <w:iCs/>
          <w:color w:val="000000" w:themeColor="text1"/>
          <w:lang w:eastAsia="en-US"/>
        </w:rPr>
        <w:t xml:space="preserve"> change the future cost of NZS by one dollar but</w:t>
      </w:r>
      <w:r w:rsidR="007D6B1A" w:rsidRPr="00381F61">
        <w:rPr>
          <w:rFonts w:ascii="Garamond" w:eastAsia="Times New Roman" w:hAnsi="Garamond" w:cs="Arial"/>
          <w:iCs/>
          <w:color w:val="000000" w:themeColor="text1"/>
          <w:lang w:eastAsia="en-US"/>
        </w:rPr>
        <w:t xml:space="preserve"> only</w:t>
      </w:r>
      <w:r w:rsidR="00B372BB" w:rsidRPr="00381F61">
        <w:rPr>
          <w:rFonts w:ascii="Garamond" w:eastAsia="Times New Roman" w:hAnsi="Garamond" w:cs="Arial"/>
          <w:iCs/>
          <w:color w:val="000000" w:themeColor="text1"/>
          <w:lang w:eastAsia="en-US"/>
        </w:rPr>
        <w:t xml:space="preserve"> slightly re-arranges its incidence (more cost today for </w:t>
      </w:r>
      <w:r w:rsidR="008424CB" w:rsidRPr="00381F61">
        <w:rPr>
          <w:rFonts w:ascii="Garamond" w:eastAsia="Times New Roman" w:hAnsi="Garamond" w:cs="Arial"/>
          <w:iCs/>
          <w:color w:val="000000" w:themeColor="text1"/>
          <w:lang w:eastAsia="en-US"/>
        </w:rPr>
        <w:t xml:space="preserve">possibly, but not guaranteed, </w:t>
      </w:r>
      <w:r w:rsidR="00B372BB" w:rsidRPr="00381F61">
        <w:rPr>
          <w:rFonts w:ascii="Garamond" w:eastAsia="Times New Roman" w:hAnsi="Garamond" w:cs="Arial"/>
          <w:iCs/>
          <w:color w:val="000000" w:themeColor="text1"/>
          <w:lang w:eastAsia="en-US"/>
        </w:rPr>
        <w:t xml:space="preserve">slightly less tomorrow).  The cost of NZS today (and tomorrow) is the benefits actually paid.  If we want to cut the cost of NZS, we must reduce the value of </w:t>
      </w:r>
      <w:r w:rsidR="00FA3D97" w:rsidRPr="00381F61">
        <w:rPr>
          <w:rFonts w:ascii="Garamond" w:eastAsia="Times New Roman" w:hAnsi="Garamond" w:cs="Arial"/>
          <w:iCs/>
          <w:color w:val="000000" w:themeColor="text1"/>
          <w:lang w:eastAsia="en-US"/>
        </w:rPr>
        <w:t xml:space="preserve">the </w:t>
      </w:r>
      <w:r w:rsidR="00B372BB" w:rsidRPr="00381F61">
        <w:rPr>
          <w:rFonts w:ascii="Garamond" w:eastAsia="Times New Roman" w:hAnsi="Garamond" w:cs="Arial"/>
          <w:iCs/>
          <w:color w:val="000000" w:themeColor="text1"/>
          <w:lang w:eastAsia="en-US"/>
        </w:rPr>
        <w:t>pension</w:t>
      </w:r>
      <w:r w:rsidR="00B107D0" w:rsidRPr="00381F61">
        <w:rPr>
          <w:rFonts w:ascii="Garamond" w:eastAsia="Times New Roman" w:hAnsi="Garamond" w:cs="Arial"/>
          <w:iCs/>
          <w:color w:val="000000" w:themeColor="text1"/>
          <w:lang w:eastAsia="en-US"/>
        </w:rPr>
        <w:t xml:space="preserve"> paid</w:t>
      </w:r>
      <w:r w:rsidR="00486D0E" w:rsidRPr="00381F61">
        <w:rPr>
          <w:rFonts w:ascii="Garamond" w:eastAsia="Times New Roman" w:hAnsi="Garamond" w:cs="Arial"/>
          <w:iCs/>
          <w:color w:val="000000" w:themeColor="text1"/>
          <w:lang w:eastAsia="en-US"/>
        </w:rPr>
        <w:t xml:space="preserve"> or reduce the number </w:t>
      </w:r>
      <w:r w:rsidR="00B96D3D" w:rsidRPr="00381F61">
        <w:rPr>
          <w:rFonts w:ascii="Garamond" w:eastAsia="Times New Roman" w:hAnsi="Garamond" w:cs="Arial"/>
          <w:iCs/>
          <w:color w:val="000000" w:themeColor="text1"/>
          <w:lang w:eastAsia="en-US"/>
        </w:rPr>
        <w:t xml:space="preserve">of people </w:t>
      </w:r>
      <w:r w:rsidR="00486D0E" w:rsidRPr="00381F61">
        <w:rPr>
          <w:rFonts w:ascii="Garamond" w:eastAsia="Times New Roman" w:hAnsi="Garamond" w:cs="Arial"/>
          <w:iCs/>
          <w:color w:val="000000" w:themeColor="text1"/>
          <w:lang w:eastAsia="en-US"/>
        </w:rPr>
        <w:t>it is paid to</w:t>
      </w:r>
      <w:r w:rsidR="00B372BB" w:rsidRPr="00381F61">
        <w:rPr>
          <w:rFonts w:ascii="Garamond" w:eastAsia="Times New Roman" w:hAnsi="Garamond" w:cs="Arial"/>
          <w:iCs/>
          <w:color w:val="000000" w:themeColor="text1"/>
          <w:lang w:eastAsia="en-US"/>
        </w:rPr>
        <w:t xml:space="preserve">.  So, even </w:t>
      </w:r>
      <w:r w:rsidR="00AF27AA" w:rsidRPr="00381F61">
        <w:rPr>
          <w:rFonts w:ascii="Garamond" w:eastAsia="Times New Roman" w:hAnsi="Garamond" w:cs="Arial"/>
          <w:iCs/>
          <w:color w:val="000000" w:themeColor="text1"/>
          <w:lang w:eastAsia="en-US"/>
        </w:rPr>
        <w:t>though</w:t>
      </w:r>
      <w:r w:rsidR="00B372BB" w:rsidRPr="00381F61">
        <w:rPr>
          <w:rFonts w:ascii="Garamond" w:eastAsia="Times New Roman" w:hAnsi="Garamond" w:cs="Arial"/>
          <w:iCs/>
          <w:color w:val="000000" w:themeColor="text1"/>
          <w:lang w:eastAsia="en-US"/>
        </w:rPr>
        <w:t xml:space="preserve"> contributions to the NZSF </w:t>
      </w:r>
      <w:r w:rsidR="00AF27AA" w:rsidRPr="00381F61">
        <w:rPr>
          <w:rFonts w:ascii="Garamond" w:eastAsia="Times New Roman" w:hAnsi="Garamond" w:cs="Arial"/>
          <w:iCs/>
          <w:color w:val="000000" w:themeColor="text1"/>
          <w:lang w:eastAsia="en-US"/>
        </w:rPr>
        <w:t xml:space="preserve">have now </w:t>
      </w:r>
      <w:r w:rsidR="00B372BB" w:rsidRPr="00381F61">
        <w:rPr>
          <w:rFonts w:ascii="Garamond" w:eastAsia="Times New Roman" w:hAnsi="Garamond" w:cs="Arial"/>
          <w:iCs/>
          <w:color w:val="000000" w:themeColor="text1"/>
          <w:lang w:eastAsia="en-US"/>
        </w:rPr>
        <w:t>resumed, that doesn’t change the sustainability or otherwise of NZS at all.</w:t>
      </w:r>
    </w:p>
    <w:p w14:paraId="6E36339F" w14:textId="77777777" w:rsidR="00B372BB" w:rsidRPr="00381F61" w:rsidRDefault="00B372BB" w:rsidP="00E71CEB">
      <w:pPr>
        <w:pStyle w:val="FootnoteText"/>
        <w:jc w:val="both"/>
        <w:rPr>
          <w:rFonts w:ascii="Garamond" w:eastAsia="Times New Roman" w:hAnsi="Garamond" w:cs="Arial"/>
          <w:iCs/>
          <w:color w:val="000000" w:themeColor="text1"/>
          <w:lang w:eastAsia="en-US"/>
        </w:rPr>
      </w:pPr>
    </w:p>
    <w:p w14:paraId="7946F122" w14:textId="59E90D62" w:rsidR="00B372BB" w:rsidRPr="00381F61" w:rsidRDefault="00ED5266" w:rsidP="00E71CEB">
      <w:pPr>
        <w:pStyle w:val="FootnoteText"/>
        <w:jc w:val="both"/>
        <w:rPr>
          <w:rFonts w:ascii="Garamond" w:hAnsi="Garamond"/>
          <w:color w:val="000000" w:themeColor="text1"/>
        </w:rPr>
      </w:pPr>
      <w:r w:rsidRPr="00381F61">
        <w:rPr>
          <w:rFonts w:ascii="Garamond" w:hAnsi="Garamond"/>
          <w:color w:val="000000" w:themeColor="text1"/>
        </w:rPr>
        <w:t>We need a</w:t>
      </w:r>
      <w:r w:rsidR="00B372BB" w:rsidRPr="00381F61">
        <w:rPr>
          <w:rFonts w:ascii="Garamond" w:hAnsi="Garamond"/>
          <w:color w:val="000000" w:themeColor="text1"/>
        </w:rPr>
        <w:t xml:space="preserve"> research-led discussion to test whether </w:t>
      </w:r>
      <w:r w:rsidR="00D068DA" w:rsidRPr="00381F61">
        <w:rPr>
          <w:rFonts w:ascii="Garamond" w:hAnsi="Garamond"/>
          <w:color w:val="000000" w:themeColor="text1"/>
        </w:rPr>
        <w:t>New Zealand has</w:t>
      </w:r>
      <w:r w:rsidR="00B372BB" w:rsidRPr="00381F61">
        <w:rPr>
          <w:rFonts w:ascii="Garamond" w:hAnsi="Garamond"/>
          <w:color w:val="000000" w:themeColor="text1"/>
        </w:rPr>
        <w:t xml:space="preserve"> the best Tier 1 pension in the world (nothing less will do) and whether taxpayers get good value for the </w:t>
      </w:r>
      <w:r w:rsidR="000F522D" w:rsidRPr="00381F61">
        <w:rPr>
          <w:rFonts w:ascii="Garamond" w:hAnsi="Garamond"/>
          <w:color w:val="000000" w:themeColor="text1"/>
        </w:rPr>
        <w:t xml:space="preserve">net </w:t>
      </w:r>
      <w:r w:rsidR="00B372BB" w:rsidRPr="00381F61">
        <w:rPr>
          <w:rFonts w:ascii="Garamond" w:hAnsi="Garamond"/>
          <w:color w:val="000000" w:themeColor="text1"/>
        </w:rPr>
        <w:t>$1</w:t>
      </w:r>
      <w:r w:rsidR="00FB7E9E" w:rsidRPr="00381F61">
        <w:rPr>
          <w:rFonts w:ascii="Garamond" w:hAnsi="Garamond"/>
          <w:color w:val="000000" w:themeColor="text1"/>
        </w:rPr>
        <w:t>2.3</w:t>
      </w:r>
      <w:r w:rsidR="00B372BB" w:rsidRPr="00381F61">
        <w:rPr>
          <w:rFonts w:ascii="Garamond" w:hAnsi="Garamond"/>
          <w:color w:val="000000" w:themeColor="text1"/>
        </w:rPr>
        <w:t xml:space="preserve"> b</w:t>
      </w:r>
      <w:r w:rsidR="006752FE" w:rsidRPr="00381F61">
        <w:rPr>
          <w:rFonts w:ascii="Garamond" w:hAnsi="Garamond"/>
          <w:color w:val="000000" w:themeColor="text1"/>
        </w:rPr>
        <w:t>illio</w:t>
      </w:r>
      <w:r w:rsidR="00B372BB" w:rsidRPr="00381F61">
        <w:rPr>
          <w:rFonts w:ascii="Garamond" w:hAnsi="Garamond"/>
          <w:color w:val="000000" w:themeColor="text1"/>
        </w:rPr>
        <w:t>n we spend</w:t>
      </w:r>
      <w:r w:rsidR="000D059F" w:rsidRPr="00381F61">
        <w:rPr>
          <w:rFonts w:ascii="Garamond" w:hAnsi="Garamond"/>
          <w:color w:val="000000" w:themeColor="text1"/>
        </w:rPr>
        <w:t xml:space="preserve"> on NZS today</w:t>
      </w:r>
      <w:r w:rsidR="00B372BB" w:rsidRPr="00381F61">
        <w:rPr>
          <w:rFonts w:ascii="Garamond" w:hAnsi="Garamond"/>
          <w:color w:val="000000" w:themeColor="text1"/>
        </w:rPr>
        <w:t>.</w:t>
      </w:r>
      <w:r w:rsidR="00AE47C2" w:rsidRPr="00381F61">
        <w:rPr>
          <w:rFonts w:ascii="Garamond" w:hAnsi="Garamond"/>
          <w:color w:val="000000" w:themeColor="text1"/>
        </w:rPr>
        <w:t xml:space="preserve">  The next section </w:t>
      </w:r>
      <w:r w:rsidR="000856CF" w:rsidRPr="00381F61">
        <w:rPr>
          <w:rFonts w:ascii="Garamond" w:hAnsi="Garamond"/>
          <w:color w:val="000000" w:themeColor="text1"/>
        </w:rPr>
        <w:t>6</w:t>
      </w:r>
      <w:r w:rsidR="00AE47C2" w:rsidRPr="00381F61">
        <w:rPr>
          <w:rFonts w:ascii="Garamond" w:hAnsi="Garamond"/>
          <w:color w:val="000000" w:themeColor="text1"/>
        </w:rPr>
        <w:t xml:space="preserve"> l</w:t>
      </w:r>
      <w:r w:rsidR="00AE47C2" w:rsidRPr="00381F61">
        <w:rPr>
          <w:rFonts w:ascii="Garamond" w:hAnsi="Garamond"/>
        </w:rPr>
        <w:t>ists all the things we need to talk about in that regard.</w:t>
      </w:r>
    </w:p>
    <w:p w14:paraId="319D91D9" w14:textId="77777777" w:rsidR="00B372BB" w:rsidRPr="00381F61" w:rsidRDefault="00B372BB" w:rsidP="00E71CEB">
      <w:pPr>
        <w:pStyle w:val="FootnoteText"/>
        <w:jc w:val="both"/>
        <w:rPr>
          <w:rFonts w:ascii="Garamond" w:hAnsi="Garamond"/>
          <w:color w:val="000000" w:themeColor="text1"/>
        </w:rPr>
      </w:pPr>
    </w:p>
    <w:p w14:paraId="04F10C46" w14:textId="5CB3535F" w:rsidR="00B372BB" w:rsidRPr="00381F61" w:rsidRDefault="00B372BB" w:rsidP="00E71CEB">
      <w:pPr>
        <w:pStyle w:val="FootnoteText"/>
        <w:jc w:val="both"/>
        <w:rPr>
          <w:rFonts w:ascii="Garamond" w:hAnsi="Garamond"/>
          <w:color w:val="000000" w:themeColor="text1"/>
        </w:rPr>
      </w:pPr>
      <w:r w:rsidRPr="00381F61">
        <w:rPr>
          <w:rFonts w:ascii="Garamond" w:hAnsi="Garamond"/>
          <w:color w:val="000000" w:themeColor="text1"/>
        </w:rPr>
        <w:lastRenderedPageBreak/>
        <w:t>So</w:t>
      </w:r>
      <w:r w:rsidR="00807968" w:rsidRPr="00381F61">
        <w:rPr>
          <w:rFonts w:ascii="Garamond" w:hAnsi="Garamond"/>
          <w:color w:val="000000" w:themeColor="text1"/>
        </w:rPr>
        <w:t>,</w:t>
      </w:r>
      <w:r w:rsidRPr="00381F61">
        <w:rPr>
          <w:rFonts w:ascii="Garamond" w:hAnsi="Garamond"/>
          <w:color w:val="000000" w:themeColor="text1"/>
        </w:rPr>
        <w:t xml:space="preserve"> let’s </w:t>
      </w:r>
      <w:r w:rsidR="00B107D0" w:rsidRPr="00381F61">
        <w:rPr>
          <w:rFonts w:ascii="Garamond" w:hAnsi="Garamond"/>
          <w:color w:val="000000" w:themeColor="text1"/>
        </w:rPr>
        <w:t xml:space="preserve">think </w:t>
      </w:r>
      <w:r w:rsidRPr="00381F61">
        <w:rPr>
          <w:rFonts w:ascii="Garamond" w:hAnsi="Garamond"/>
          <w:color w:val="000000" w:themeColor="text1"/>
        </w:rPr>
        <w:t>about the things we can control and not worry about what might happen in 2060.  That’s up to those with the power to control things then.</w:t>
      </w:r>
    </w:p>
    <w:p w14:paraId="50FDA928" w14:textId="77777777" w:rsidR="00BB3F10" w:rsidRPr="00381F61" w:rsidRDefault="00BB3F10" w:rsidP="00E71CEB">
      <w:pPr>
        <w:jc w:val="both"/>
        <w:rPr>
          <w:rFonts w:ascii="Garamond" w:hAnsi="Garamond"/>
          <w:b/>
        </w:rPr>
      </w:pPr>
    </w:p>
    <w:p w14:paraId="09892788" w14:textId="77777777" w:rsidR="00DA60EC" w:rsidRPr="00381F61" w:rsidRDefault="00DA60EC" w:rsidP="00DA60EC">
      <w:pPr>
        <w:jc w:val="both"/>
        <w:rPr>
          <w:rFonts w:ascii="Garamond" w:hAnsi="Garamond"/>
        </w:rPr>
      </w:pPr>
      <w:r w:rsidRPr="00381F61">
        <w:rPr>
          <w:rFonts w:ascii="Garamond" w:hAnsi="Garamond"/>
          <w:b/>
        </w:rPr>
        <w:t>Terms of reference for 2019 Review</w:t>
      </w:r>
    </w:p>
    <w:p w14:paraId="6DBE5516" w14:textId="77777777" w:rsidR="00DA60EC" w:rsidRPr="00381F61" w:rsidRDefault="00DA60EC" w:rsidP="00DA60EC">
      <w:pPr>
        <w:jc w:val="both"/>
        <w:rPr>
          <w:rFonts w:ascii="Garamond" w:hAnsi="Garamond"/>
        </w:rPr>
      </w:pPr>
    </w:p>
    <w:p w14:paraId="39D30E2D" w14:textId="1A40D31A" w:rsidR="00DA60EC" w:rsidRPr="00381F61" w:rsidRDefault="00DA60EC" w:rsidP="00DA60EC">
      <w:pPr>
        <w:jc w:val="both"/>
        <w:rPr>
          <w:rFonts w:ascii="Garamond" w:hAnsi="Garamond"/>
        </w:rPr>
      </w:pPr>
      <w:r w:rsidRPr="00381F61">
        <w:rPr>
          <w:rFonts w:ascii="Garamond" w:hAnsi="Garamond"/>
        </w:rPr>
        <w:t>The Terms of Reference for the Retirement Commissioner’s 2019 Review do potentially allow for coverage of the issues raised in this section.  The Review is asked for:</w:t>
      </w:r>
    </w:p>
    <w:p w14:paraId="43EF43BE" w14:textId="77777777" w:rsidR="00980927" w:rsidRPr="00381F61" w:rsidRDefault="00980927" w:rsidP="00DA60EC">
      <w:pPr>
        <w:jc w:val="both"/>
        <w:rPr>
          <w:rFonts w:ascii="Garamond" w:hAnsi="Garamond"/>
          <w:sz w:val="8"/>
          <w:szCs w:val="8"/>
        </w:rPr>
      </w:pPr>
    </w:p>
    <w:p w14:paraId="70D39E73" w14:textId="77777777" w:rsidR="00DA60EC" w:rsidRPr="00381F61" w:rsidRDefault="00DA60EC" w:rsidP="00DA60EC">
      <w:pPr>
        <w:pStyle w:val="ListParagraph"/>
        <w:widowControl w:val="0"/>
        <w:tabs>
          <w:tab w:val="left" w:pos="1191"/>
          <w:tab w:val="left" w:pos="1192"/>
        </w:tabs>
        <w:autoSpaceDE w:val="0"/>
        <w:autoSpaceDN w:val="0"/>
        <w:ind w:left="284" w:right="114"/>
        <w:contextualSpacing w:val="0"/>
        <w:jc w:val="both"/>
        <w:rPr>
          <w:rFonts w:ascii="Garamond" w:hAnsi="Garamond"/>
          <w:color w:val="1A1A1A"/>
          <w:sz w:val="22"/>
          <w:szCs w:val="22"/>
        </w:rPr>
      </w:pPr>
      <w:r w:rsidRPr="00381F61">
        <w:rPr>
          <w:rFonts w:ascii="Garamond" w:hAnsi="Garamond"/>
        </w:rPr>
        <w:t>“</w:t>
      </w:r>
      <w:r w:rsidRPr="00381F61">
        <w:rPr>
          <w:rFonts w:ascii="Garamond" w:hAnsi="Garamond"/>
          <w:color w:val="1A1A1A"/>
          <w:sz w:val="22"/>
          <w:szCs w:val="22"/>
        </w:rPr>
        <w:t>An assessment of the impact of current retirement income policies on current and future generations, with due consideration given to the fiscal sustainability of current New Zealand superannuation</w:t>
      </w:r>
      <w:r w:rsidRPr="00381F61">
        <w:rPr>
          <w:rFonts w:ascii="Garamond" w:hAnsi="Garamond"/>
          <w:color w:val="1A1A1A"/>
          <w:spacing w:val="30"/>
          <w:sz w:val="22"/>
          <w:szCs w:val="22"/>
        </w:rPr>
        <w:t xml:space="preserve"> </w:t>
      </w:r>
      <w:r w:rsidRPr="00381F61">
        <w:rPr>
          <w:rFonts w:ascii="Garamond" w:hAnsi="Garamond"/>
          <w:color w:val="1A1A1A"/>
          <w:sz w:val="22"/>
          <w:szCs w:val="22"/>
        </w:rPr>
        <w:t>settings.”</w:t>
      </w:r>
    </w:p>
    <w:p w14:paraId="6AD062D0" w14:textId="5D2949DB" w:rsidR="00F2146A" w:rsidRPr="00381F61" w:rsidRDefault="00F2146A" w:rsidP="00E71CEB">
      <w:pPr>
        <w:jc w:val="both"/>
        <w:rPr>
          <w:rFonts w:ascii="Garamond" w:hAnsi="Garamond"/>
          <w:b/>
        </w:rPr>
      </w:pPr>
    </w:p>
    <w:p w14:paraId="14032D67" w14:textId="64DB9BB2" w:rsidR="007A0BBC" w:rsidRPr="00381F61" w:rsidRDefault="001070F5" w:rsidP="00E71CEB">
      <w:pPr>
        <w:jc w:val="both"/>
        <w:rPr>
          <w:rFonts w:ascii="Garamond" w:hAnsi="Garamond"/>
        </w:rPr>
      </w:pPr>
      <w:r w:rsidRPr="00381F61">
        <w:rPr>
          <w:rFonts w:ascii="Garamond" w:hAnsi="Garamond"/>
        </w:rPr>
        <w:t>In that context, t</w:t>
      </w:r>
      <w:r w:rsidR="007A0BBC" w:rsidRPr="00381F61">
        <w:rPr>
          <w:rFonts w:ascii="Garamond" w:hAnsi="Garamond"/>
        </w:rPr>
        <w:t>he Review’s assessment should address the following questions:</w:t>
      </w:r>
    </w:p>
    <w:p w14:paraId="640C15A0" w14:textId="77777777" w:rsidR="007A0BBC" w:rsidRPr="00381F61" w:rsidRDefault="007A0BBC" w:rsidP="00E71CEB">
      <w:pPr>
        <w:jc w:val="both"/>
        <w:rPr>
          <w:rFonts w:ascii="Garamond" w:hAnsi="Garamond"/>
        </w:rPr>
      </w:pPr>
    </w:p>
    <w:p w14:paraId="41CED985" w14:textId="6DD5C0FF" w:rsidR="008B730D" w:rsidRPr="00381F61" w:rsidRDefault="00ED5266" w:rsidP="00E71CEB">
      <w:pPr>
        <w:jc w:val="both"/>
        <w:rPr>
          <w:rFonts w:ascii="Garamond" w:hAnsi="Garamond"/>
          <w:b/>
        </w:rPr>
      </w:pPr>
      <w:r w:rsidRPr="00381F61">
        <w:rPr>
          <w:rFonts w:ascii="Garamond" w:hAnsi="Garamond"/>
          <w:b/>
        </w:rPr>
        <w:t>Questions New Zealand needs to discuss</w:t>
      </w:r>
      <w:r w:rsidR="00A256AB" w:rsidRPr="00381F61">
        <w:rPr>
          <w:rFonts w:ascii="Garamond" w:hAnsi="Garamond"/>
          <w:b/>
        </w:rPr>
        <w:t xml:space="preserve"> on the sustainability of NZS</w:t>
      </w:r>
      <w:r w:rsidR="008B730D" w:rsidRPr="00381F61">
        <w:rPr>
          <w:rFonts w:ascii="Garamond" w:hAnsi="Garamond"/>
          <w:b/>
        </w:rPr>
        <w:t>:</w:t>
      </w:r>
    </w:p>
    <w:p w14:paraId="238F0962" w14:textId="77777777" w:rsidR="00A42E25" w:rsidRPr="00381F61" w:rsidRDefault="00A42E25" w:rsidP="00E71CEB">
      <w:pPr>
        <w:jc w:val="both"/>
        <w:rPr>
          <w:rFonts w:ascii="Garamond" w:hAnsi="Garamond"/>
          <w:b/>
        </w:rPr>
      </w:pPr>
    </w:p>
    <w:p w14:paraId="56910DA8" w14:textId="7683A6E2" w:rsidR="00ED5266" w:rsidRPr="00381F61" w:rsidRDefault="00ED5266" w:rsidP="00E71CEB">
      <w:pPr>
        <w:pStyle w:val="ListParagraph"/>
        <w:numPr>
          <w:ilvl w:val="0"/>
          <w:numId w:val="14"/>
        </w:numPr>
        <w:ind w:left="709" w:hanging="349"/>
        <w:jc w:val="both"/>
        <w:rPr>
          <w:rFonts w:ascii="Garamond" w:hAnsi="Garamond"/>
        </w:rPr>
      </w:pPr>
      <w:r w:rsidRPr="00381F61">
        <w:rPr>
          <w:rFonts w:ascii="Garamond" w:hAnsi="Garamond"/>
        </w:rPr>
        <w:t xml:space="preserve">What is ‘unsustainable’ </w:t>
      </w:r>
      <w:r w:rsidR="00A61F01" w:rsidRPr="00381F61">
        <w:rPr>
          <w:rFonts w:ascii="Garamond" w:hAnsi="Garamond"/>
        </w:rPr>
        <w:t xml:space="preserve">today </w:t>
      </w:r>
      <w:r w:rsidRPr="00381F61">
        <w:rPr>
          <w:rFonts w:ascii="Garamond" w:hAnsi="Garamond"/>
        </w:rPr>
        <w:t>about NZS as it exists today?</w:t>
      </w:r>
    </w:p>
    <w:p w14:paraId="4167B1BE" w14:textId="77777777" w:rsidR="00A42E25" w:rsidRPr="00381F61" w:rsidRDefault="00A42E25" w:rsidP="00E71CEB">
      <w:pPr>
        <w:ind w:left="709" w:hanging="349"/>
        <w:jc w:val="both"/>
        <w:rPr>
          <w:rFonts w:ascii="Garamond" w:hAnsi="Garamond"/>
        </w:rPr>
      </w:pPr>
    </w:p>
    <w:p w14:paraId="377B9DC1" w14:textId="23F2D85A" w:rsidR="008B730D" w:rsidRPr="00381F61" w:rsidRDefault="00ED5266" w:rsidP="00E71CEB">
      <w:pPr>
        <w:pStyle w:val="ListParagraph"/>
        <w:numPr>
          <w:ilvl w:val="0"/>
          <w:numId w:val="14"/>
        </w:numPr>
        <w:ind w:left="709" w:hanging="349"/>
        <w:jc w:val="both"/>
        <w:rPr>
          <w:rFonts w:ascii="Garamond" w:hAnsi="Garamond"/>
        </w:rPr>
      </w:pPr>
      <w:r w:rsidRPr="00381F61">
        <w:rPr>
          <w:rFonts w:ascii="Garamond" w:hAnsi="Garamond"/>
        </w:rPr>
        <w:t xml:space="preserve">What definition of ‘sustainability’ should we adopt for today’s </w:t>
      </w:r>
      <w:r w:rsidR="00B96D3D" w:rsidRPr="00381F61">
        <w:rPr>
          <w:rFonts w:ascii="Garamond" w:hAnsi="Garamond"/>
        </w:rPr>
        <w:t xml:space="preserve">(not tomorrow’s) </w:t>
      </w:r>
      <w:r w:rsidRPr="00381F61">
        <w:rPr>
          <w:rFonts w:ascii="Garamond" w:hAnsi="Garamond"/>
        </w:rPr>
        <w:t>NZS?</w:t>
      </w:r>
    </w:p>
    <w:p w14:paraId="0F5B8634" w14:textId="77777777" w:rsidR="00A42E25" w:rsidRPr="00381F61" w:rsidRDefault="00A42E25" w:rsidP="00E71CEB">
      <w:pPr>
        <w:ind w:left="709" w:hanging="349"/>
        <w:jc w:val="both"/>
        <w:rPr>
          <w:rFonts w:ascii="Garamond" w:hAnsi="Garamond"/>
        </w:rPr>
      </w:pPr>
    </w:p>
    <w:p w14:paraId="2D6943B7" w14:textId="4D804CDE" w:rsidR="00ED5266" w:rsidRPr="00381F61" w:rsidRDefault="00ED5266" w:rsidP="00E71CEB">
      <w:pPr>
        <w:pStyle w:val="ListParagraph"/>
        <w:numPr>
          <w:ilvl w:val="0"/>
          <w:numId w:val="14"/>
        </w:numPr>
        <w:ind w:left="709" w:hanging="349"/>
        <w:jc w:val="both"/>
        <w:rPr>
          <w:rFonts w:ascii="Garamond" w:hAnsi="Garamond"/>
        </w:rPr>
      </w:pPr>
      <w:r w:rsidRPr="00381F61">
        <w:rPr>
          <w:rFonts w:ascii="Garamond" w:hAnsi="Garamond"/>
        </w:rPr>
        <w:t>Do we need to concern ourselves about the cost of NZS in 2060 or should we leave that for taxpayers in 2060 to resolve?</w:t>
      </w:r>
    </w:p>
    <w:p w14:paraId="670D840B" w14:textId="77777777" w:rsidR="00A42E25" w:rsidRPr="00381F61" w:rsidRDefault="00A42E25" w:rsidP="00E71CEB">
      <w:pPr>
        <w:ind w:left="709" w:hanging="349"/>
        <w:jc w:val="both"/>
        <w:rPr>
          <w:rFonts w:ascii="Garamond" w:hAnsi="Garamond"/>
        </w:rPr>
      </w:pPr>
    </w:p>
    <w:p w14:paraId="701B3847" w14:textId="20B5E659" w:rsidR="00ED5266" w:rsidRPr="00381F61" w:rsidRDefault="00ED5266" w:rsidP="00E71CEB">
      <w:pPr>
        <w:pStyle w:val="ListParagraph"/>
        <w:numPr>
          <w:ilvl w:val="0"/>
          <w:numId w:val="14"/>
        </w:numPr>
        <w:ind w:left="709" w:hanging="349"/>
        <w:jc w:val="both"/>
        <w:rPr>
          <w:rFonts w:ascii="Garamond" w:hAnsi="Garamond"/>
        </w:rPr>
      </w:pPr>
      <w:r w:rsidRPr="00381F61">
        <w:rPr>
          <w:rFonts w:ascii="Garamond" w:hAnsi="Garamond"/>
        </w:rPr>
        <w:t>If we need to be concerned about the long-term ‘sustainability’ of NZS, should we be equally concerned about the 2060 costs of health, education, police, prisons and all the other categories of government spending?  In other words, is there something about the age pension that makes it special in this context?</w:t>
      </w:r>
    </w:p>
    <w:p w14:paraId="2BB6B1C8" w14:textId="77777777" w:rsidR="00A97583" w:rsidRPr="00381F61" w:rsidRDefault="00A97583" w:rsidP="00E71CEB">
      <w:pPr>
        <w:jc w:val="both"/>
        <w:rPr>
          <w:rFonts w:ascii="Garamond" w:hAnsi="Garamond"/>
        </w:rPr>
      </w:pPr>
      <w:r w:rsidRPr="00381F61">
        <w:rPr>
          <w:rFonts w:ascii="Garamond" w:hAnsi="Garamond"/>
        </w:rPr>
        <w:br w:type="page"/>
      </w:r>
    </w:p>
    <w:p w14:paraId="1B030471" w14:textId="7D52A644" w:rsidR="00040837" w:rsidRPr="00381F61" w:rsidRDefault="00F519BC" w:rsidP="00E71CEB">
      <w:pPr>
        <w:jc w:val="both"/>
        <w:rPr>
          <w:rFonts w:ascii="Garamond" w:hAnsi="Garamond"/>
          <w:b/>
        </w:rPr>
      </w:pPr>
      <w:r w:rsidRPr="00381F61">
        <w:rPr>
          <w:rFonts w:ascii="Garamond" w:hAnsi="Garamond"/>
          <w:b/>
        </w:rPr>
        <w:lastRenderedPageBreak/>
        <w:t>6</w:t>
      </w:r>
      <w:r w:rsidR="00A97583" w:rsidRPr="00381F61">
        <w:rPr>
          <w:rFonts w:ascii="Garamond" w:hAnsi="Garamond"/>
          <w:b/>
        </w:rPr>
        <w:t xml:space="preserve">. </w:t>
      </w:r>
      <w:r w:rsidR="008B730D" w:rsidRPr="00381F61">
        <w:rPr>
          <w:rFonts w:ascii="Garamond" w:hAnsi="Garamond"/>
          <w:b/>
        </w:rPr>
        <w:tab/>
      </w:r>
      <w:r w:rsidR="0058000F" w:rsidRPr="00381F61">
        <w:rPr>
          <w:rFonts w:ascii="Garamond" w:hAnsi="Garamond"/>
          <w:b/>
        </w:rPr>
        <w:t>Framing a debate on every a</w:t>
      </w:r>
      <w:r w:rsidR="00A65B6E" w:rsidRPr="00381F61">
        <w:rPr>
          <w:rFonts w:ascii="Garamond" w:hAnsi="Garamond"/>
          <w:b/>
        </w:rPr>
        <w:t>spect of the NZS benefit design</w:t>
      </w:r>
      <w:r w:rsidR="00A65B6E" w:rsidRPr="00381F61">
        <w:rPr>
          <w:rStyle w:val="FootnoteReference"/>
          <w:rFonts w:ascii="Garamond" w:hAnsi="Garamond"/>
          <w:b/>
        </w:rPr>
        <w:footnoteReference w:id="37"/>
      </w:r>
    </w:p>
    <w:p w14:paraId="48F7B35E" w14:textId="77777777" w:rsidR="008B730D" w:rsidRPr="00381F61" w:rsidRDefault="008B730D" w:rsidP="00E71CEB">
      <w:pPr>
        <w:jc w:val="both"/>
        <w:rPr>
          <w:rFonts w:ascii="Garamond" w:hAnsi="Garamond"/>
          <w:b/>
        </w:rPr>
      </w:pPr>
    </w:p>
    <w:p w14:paraId="5ED23AAB" w14:textId="1982002E" w:rsidR="00D72036" w:rsidRPr="00381F61" w:rsidRDefault="00B92C8D" w:rsidP="00E71CEB">
      <w:pPr>
        <w:jc w:val="both"/>
        <w:rPr>
          <w:rFonts w:ascii="Garamond" w:hAnsi="Garamond"/>
        </w:rPr>
      </w:pPr>
      <w:r w:rsidRPr="00381F61">
        <w:rPr>
          <w:rFonts w:ascii="Garamond" w:hAnsi="Garamond"/>
        </w:rPr>
        <w:t xml:space="preserve">New Zealand </w:t>
      </w:r>
      <w:r w:rsidR="00AE47C2" w:rsidRPr="00381F61">
        <w:rPr>
          <w:rFonts w:ascii="Garamond" w:hAnsi="Garamond"/>
        </w:rPr>
        <w:t>should</w:t>
      </w:r>
      <w:r w:rsidRPr="00381F61">
        <w:rPr>
          <w:rFonts w:ascii="Garamond" w:hAnsi="Garamond"/>
        </w:rPr>
        <w:t xml:space="preserve"> start a full review of NZS </w:t>
      </w:r>
      <w:r w:rsidR="00486D0E" w:rsidRPr="00381F61">
        <w:rPr>
          <w:rFonts w:ascii="Garamond" w:hAnsi="Garamond"/>
        </w:rPr>
        <w:t xml:space="preserve">and periodically revisit it, </w:t>
      </w:r>
      <w:r w:rsidRPr="00381F61">
        <w:rPr>
          <w:rFonts w:ascii="Garamond" w:hAnsi="Garamond"/>
        </w:rPr>
        <w:t xml:space="preserve">and the sooner that </w:t>
      </w:r>
      <w:r w:rsidR="00B96D3D" w:rsidRPr="00381F61">
        <w:rPr>
          <w:rFonts w:ascii="Garamond" w:hAnsi="Garamond"/>
        </w:rPr>
        <w:t>starts</w:t>
      </w:r>
      <w:r w:rsidRPr="00381F61">
        <w:rPr>
          <w:rFonts w:ascii="Garamond" w:hAnsi="Garamond"/>
        </w:rPr>
        <w:t xml:space="preserve">, the better.  </w:t>
      </w:r>
      <w:r w:rsidR="00562A62" w:rsidRPr="00381F61">
        <w:rPr>
          <w:rFonts w:ascii="Garamond" w:hAnsi="Garamond"/>
        </w:rPr>
        <w:t xml:space="preserve">This is a topic that has been canvassed on many occasions in the last 25 years: </w:t>
      </w:r>
    </w:p>
    <w:p w14:paraId="1FD1A233" w14:textId="77777777" w:rsidR="00D72036" w:rsidRPr="00381F61" w:rsidRDefault="00562A62" w:rsidP="005615E8">
      <w:pPr>
        <w:pStyle w:val="ListParagraph"/>
        <w:numPr>
          <w:ilvl w:val="0"/>
          <w:numId w:val="46"/>
        </w:numPr>
        <w:jc w:val="both"/>
        <w:rPr>
          <w:rFonts w:ascii="Garamond" w:hAnsi="Garamond"/>
        </w:rPr>
      </w:pPr>
      <w:r w:rsidRPr="00381F61">
        <w:rPr>
          <w:rFonts w:ascii="Garamond" w:hAnsi="Garamond"/>
        </w:rPr>
        <w:t xml:space="preserve">The Task Force on Private Provision for Retirement (1991-92); </w:t>
      </w:r>
    </w:p>
    <w:p w14:paraId="17FD5C25" w14:textId="77777777" w:rsidR="00D72036" w:rsidRPr="00381F61" w:rsidRDefault="00562A62" w:rsidP="005615E8">
      <w:pPr>
        <w:pStyle w:val="ListParagraph"/>
        <w:numPr>
          <w:ilvl w:val="0"/>
          <w:numId w:val="46"/>
        </w:numPr>
        <w:jc w:val="both"/>
        <w:rPr>
          <w:rFonts w:ascii="Garamond" w:hAnsi="Garamond"/>
        </w:rPr>
      </w:pPr>
      <w:r w:rsidRPr="00381F61">
        <w:rPr>
          <w:rFonts w:ascii="Garamond" w:hAnsi="Garamond"/>
        </w:rPr>
        <w:t xml:space="preserve">Periodic Report Group (1997); </w:t>
      </w:r>
    </w:p>
    <w:p w14:paraId="2FD1C908" w14:textId="18199FE4" w:rsidR="00D72036" w:rsidRPr="00381F61" w:rsidRDefault="00562A62" w:rsidP="005615E8">
      <w:pPr>
        <w:pStyle w:val="ListParagraph"/>
        <w:numPr>
          <w:ilvl w:val="0"/>
          <w:numId w:val="46"/>
        </w:numPr>
        <w:jc w:val="both"/>
        <w:rPr>
          <w:rFonts w:ascii="Garamond" w:hAnsi="Garamond"/>
        </w:rPr>
      </w:pPr>
      <w:r w:rsidRPr="00381F61">
        <w:rPr>
          <w:rFonts w:ascii="Garamond" w:hAnsi="Garamond"/>
        </w:rPr>
        <w:t>Periodic Report Group (2003</w:t>
      </w:r>
      <w:r w:rsidR="004902D6" w:rsidRPr="00381F61">
        <w:rPr>
          <w:rFonts w:ascii="Garamond" w:hAnsi="Garamond"/>
        </w:rPr>
        <w:t>,</w:t>
      </w:r>
      <w:r w:rsidR="007F71C4" w:rsidRPr="00381F61">
        <w:rPr>
          <w:rFonts w:ascii="Garamond" w:hAnsi="Garamond"/>
        </w:rPr>
        <w:t xml:space="preserve"> </w:t>
      </w:r>
      <w:r w:rsidR="00B8316C" w:rsidRPr="00381F61">
        <w:rPr>
          <w:rFonts w:ascii="Garamond" w:hAnsi="Garamond"/>
        </w:rPr>
        <w:t xml:space="preserve">report </w:t>
      </w:r>
      <w:r w:rsidR="007F71C4" w:rsidRPr="00381F61">
        <w:rPr>
          <w:rFonts w:ascii="Garamond" w:hAnsi="Garamond"/>
        </w:rPr>
        <w:t xml:space="preserve">accessible </w:t>
      </w:r>
      <w:hyperlink r:id="rId17" w:history="1">
        <w:r w:rsidR="007F71C4" w:rsidRPr="00381F61">
          <w:rPr>
            <w:rStyle w:val="Hyperlink"/>
            <w:rFonts w:ascii="Garamond" w:hAnsi="Garamond"/>
          </w:rPr>
          <w:t>here</w:t>
        </w:r>
      </w:hyperlink>
      <w:r w:rsidRPr="00381F61">
        <w:rPr>
          <w:rFonts w:ascii="Garamond" w:hAnsi="Garamond"/>
        </w:rPr>
        <w:t xml:space="preserve">); </w:t>
      </w:r>
    </w:p>
    <w:p w14:paraId="67A66F63" w14:textId="77777777" w:rsidR="00D72036" w:rsidRPr="00381F61" w:rsidRDefault="00562A62" w:rsidP="005615E8">
      <w:pPr>
        <w:pStyle w:val="ListParagraph"/>
        <w:numPr>
          <w:ilvl w:val="0"/>
          <w:numId w:val="46"/>
        </w:numPr>
        <w:jc w:val="both"/>
        <w:rPr>
          <w:rFonts w:ascii="Garamond" w:hAnsi="Garamond"/>
        </w:rPr>
      </w:pPr>
      <w:r w:rsidRPr="00381F61">
        <w:rPr>
          <w:rFonts w:ascii="Garamond" w:hAnsi="Garamond"/>
        </w:rPr>
        <w:t>Retirement Commissioner’s Review of Retirement</w:t>
      </w:r>
      <w:r w:rsidR="00A00B28" w:rsidRPr="00381F61">
        <w:rPr>
          <w:rFonts w:ascii="Garamond" w:hAnsi="Garamond"/>
        </w:rPr>
        <w:t xml:space="preserve"> Income Policy (2007)</w:t>
      </w:r>
      <w:r w:rsidR="0020472B" w:rsidRPr="00381F61">
        <w:rPr>
          <w:rFonts w:ascii="Garamond" w:hAnsi="Garamond"/>
        </w:rPr>
        <w:t>;</w:t>
      </w:r>
      <w:r w:rsidRPr="00381F61">
        <w:rPr>
          <w:rFonts w:ascii="Garamond" w:hAnsi="Garamond"/>
        </w:rPr>
        <w:t xml:space="preserve"> </w:t>
      </w:r>
    </w:p>
    <w:p w14:paraId="2507D129" w14:textId="49A86264" w:rsidR="00D72036" w:rsidRPr="00381F61" w:rsidRDefault="007874B7" w:rsidP="005615E8">
      <w:pPr>
        <w:pStyle w:val="ListParagraph"/>
        <w:numPr>
          <w:ilvl w:val="0"/>
          <w:numId w:val="46"/>
        </w:numPr>
        <w:jc w:val="both"/>
        <w:rPr>
          <w:rFonts w:ascii="Garamond" w:hAnsi="Garamond"/>
        </w:rPr>
      </w:pPr>
      <w:r w:rsidRPr="00381F61">
        <w:rPr>
          <w:rFonts w:ascii="Garamond" w:hAnsi="Garamond"/>
        </w:rPr>
        <w:t>the 2010 Review of Retirement Income Policies</w:t>
      </w:r>
      <w:r w:rsidR="009F04BD" w:rsidRPr="00381F61">
        <w:rPr>
          <w:rFonts w:ascii="Garamond" w:hAnsi="Garamond"/>
        </w:rPr>
        <w:t>;</w:t>
      </w:r>
      <w:r w:rsidR="009F04BD" w:rsidRPr="00381F61">
        <w:rPr>
          <w:rStyle w:val="FootnoteReference"/>
          <w:rFonts w:ascii="Garamond" w:hAnsi="Garamond"/>
        </w:rPr>
        <w:footnoteReference w:id="38"/>
      </w:r>
    </w:p>
    <w:p w14:paraId="09D7611C" w14:textId="38968510" w:rsidR="00D72036" w:rsidRPr="00381F61" w:rsidRDefault="00562A62" w:rsidP="005615E8">
      <w:pPr>
        <w:pStyle w:val="ListParagraph"/>
        <w:numPr>
          <w:ilvl w:val="0"/>
          <w:numId w:val="46"/>
        </w:numPr>
        <w:jc w:val="both"/>
        <w:rPr>
          <w:rFonts w:ascii="Garamond" w:hAnsi="Garamond"/>
        </w:rPr>
      </w:pPr>
      <w:r w:rsidRPr="00381F61">
        <w:rPr>
          <w:rFonts w:ascii="Garamond" w:hAnsi="Garamond"/>
        </w:rPr>
        <w:t>the Review of Retirement Income Policies (2013</w:t>
      </w:r>
      <w:r w:rsidR="000D77C6" w:rsidRPr="00381F61">
        <w:rPr>
          <w:rFonts w:ascii="Garamond" w:hAnsi="Garamond"/>
        </w:rPr>
        <w:t xml:space="preserve">, </w:t>
      </w:r>
      <w:r w:rsidR="00FF16AF" w:rsidRPr="00381F61">
        <w:rPr>
          <w:rFonts w:ascii="Garamond" w:hAnsi="Garamond"/>
        </w:rPr>
        <w:t xml:space="preserve">report </w:t>
      </w:r>
      <w:r w:rsidR="000D77C6" w:rsidRPr="00381F61">
        <w:rPr>
          <w:rFonts w:ascii="Garamond" w:hAnsi="Garamond"/>
        </w:rPr>
        <w:t xml:space="preserve">accessible </w:t>
      </w:r>
      <w:hyperlink r:id="rId18" w:history="1">
        <w:r w:rsidR="000D77C6" w:rsidRPr="00381F61">
          <w:rPr>
            <w:rStyle w:val="Hyperlink"/>
            <w:rFonts w:ascii="Garamond" w:hAnsi="Garamond"/>
          </w:rPr>
          <w:t>here</w:t>
        </w:r>
      </w:hyperlink>
      <w:r w:rsidRPr="00381F61">
        <w:rPr>
          <w:rFonts w:ascii="Garamond" w:hAnsi="Garamond"/>
        </w:rPr>
        <w:t>)</w:t>
      </w:r>
      <w:r w:rsidR="00A00B28" w:rsidRPr="00381F61">
        <w:rPr>
          <w:rFonts w:ascii="Garamond" w:hAnsi="Garamond"/>
        </w:rPr>
        <w:t xml:space="preserve"> and, most recently, </w:t>
      </w:r>
    </w:p>
    <w:p w14:paraId="1071AFC9" w14:textId="67072558" w:rsidR="00D72036" w:rsidRPr="00381F61" w:rsidRDefault="00A00B28" w:rsidP="005615E8">
      <w:pPr>
        <w:pStyle w:val="ListParagraph"/>
        <w:numPr>
          <w:ilvl w:val="0"/>
          <w:numId w:val="46"/>
        </w:numPr>
        <w:jc w:val="both"/>
        <w:rPr>
          <w:rFonts w:ascii="Garamond" w:hAnsi="Garamond"/>
        </w:rPr>
      </w:pPr>
      <w:r w:rsidRPr="00381F61">
        <w:rPr>
          <w:rFonts w:ascii="Garamond" w:hAnsi="Garamond"/>
        </w:rPr>
        <w:t>the</w:t>
      </w:r>
      <w:r w:rsidR="00562A62" w:rsidRPr="00381F61">
        <w:rPr>
          <w:rFonts w:ascii="Garamond" w:hAnsi="Garamond"/>
        </w:rPr>
        <w:t xml:space="preserve"> 2016 </w:t>
      </w:r>
      <w:r w:rsidR="0020472B" w:rsidRPr="00381F61">
        <w:rPr>
          <w:rFonts w:ascii="Garamond" w:hAnsi="Garamond"/>
        </w:rPr>
        <w:t>R</w:t>
      </w:r>
      <w:r w:rsidR="00562A62" w:rsidRPr="00381F61">
        <w:rPr>
          <w:rFonts w:ascii="Garamond" w:hAnsi="Garamond"/>
        </w:rPr>
        <w:t xml:space="preserve">eview of </w:t>
      </w:r>
      <w:r w:rsidR="0020472B" w:rsidRPr="00381F61">
        <w:rPr>
          <w:rFonts w:ascii="Garamond" w:hAnsi="Garamond"/>
        </w:rPr>
        <w:t>R</w:t>
      </w:r>
      <w:r w:rsidR="00562A62" w:rsidRPr="00381F61">
        <w:rPr>
          <w:rFonts w:ascii="Garamond" w:hAnsi="Garamond"/>
        </w:rPr>
        <w:t xml:space="preserve">etirement </w:t>
      </w:r>
      <w:r w:rsidR="0020472B" w:rsidRPr="00381F61">
        <w:rPr>
          <w:rFonts w:ascii="Garamond" w:hAnsi="Garamond"/>
        </w:rPr>
        <w:t>I</w:t>
      </w:r>
      <w:r w:rsidR="00562A62" w:rsidRPr="00381F61">
        <w:rPr>
          <w:rFonts w:ascii="Garamond" w:hAnsi="Garamond"/>
        </w:rPr>
        <w:t xml:space="preserve">ncome </w:t>
      </w:r>
      <w:r w:rsidR="0020472B" w:rsidRPr="00381F61">
        <w:rPr>
          <w:rFonts w:ascii="Garamond" w:hAnsi="Garamond"/>
        </w:rPr>
        <w:t>P</w:t>
      </w:r>
      <w:r w:rsidR="00562A62" w:rsidRPr="00381F61">
        <w:rPr>
          <w:rFonts w:ascii="Garamond" w:hAnsi="Garamond"/>
        </w:rPr>
        <w:t>olicies</w:t>
      </w:r>
      <w:r w:rsidR="00D96FC2" w:rsidRPr="00381F61">
        <w:rPr>
          <w:rFonts w:ascii="Garamond" w:hAnsi="Garamond"/>
        </w:rPr>
        <w:t xml:space="preserve"> (</w:t>
      </w:r>
      <w:r w:rsidR="00FF16AF" w:rsidRPr="00381F61">
        <w:rPr>
          <w:rFonts w:ascii="Garamond" w:hAnsi="Garamond"/>
        </w:rPr>
        <w:t xml:space="preserve">report </w:t>
      </w:r>
      <w:r w:rsidR="00D96FC2" w:rsidRPr="00381F61">
        <w:rPr>
          <w:rFonts w:ascii="Garamond" w:hAnsi="Garamond"/>
        </w:rPr>
        <w:t xml:space="preserve">accessible </w:t>
      </w:r>
      <w:hyperlink r:id="rId19" w:history="1">
        <w:r w:rsidR="00D96FC2" w:rsidRPr="00381F61">
          <w:rPr>
            <w:rStyle w:val="Hyperlink"/>
            <w:rFonts w:ascii="Garamond" w:hAnsi="Garamond"/>
          </w:rPr>
          <w:t>here</w:t>
        </w:r>
      </w:hyperlink>
      <w:r w:rsidR="00D96FC2" w:rsidRPr="00381F61">
        <w:rPr>
          <w:rFonts w:ascii="Garamond" w:hAnsi="Garamond"/>
        </w:rPr>
        <w:t>)</w:t>
      </w:r>
      <w:r w:rsidR="00562A62" w:rsidRPr="00381F61">
        <w:rPr>
          <w:rFonts w:ascii="Garamond" w:hAnsi="Garamond"/>
        </w:rPr>
        <w:t>.</w:t>
      </w:r>
    </w:p>
    <w:p w14:paraId="4096E50C" w14:textId="77777777" w:rsidR="00D72036" w:rsidRPr="00381F61" w:rsidRDefault="00D72036" w:rsidP="00E71CEB">
      <w:pPr>
        <w:jc w:val="both"/>
        <w:rPr>
          <w:rFonts w:ascii="Garamond" w:hAnsi="Garamond"/>
        </w:rPr>
      </w:pPr>
    </w:p>
    <w:p w14:paraId="542C8C6D" w14:textId="2C021F7A" w:rsidR="00B92C8D" w:rsidRPr="00381F61" w:rsidRDefault="00B92C8D" w:rsidP="00E71CEB">
      <w:pPr>
        <w:jc w:val="both"/>
        <w:rPr>
          <w:rFonts w:ascii="Garamond" w:hAnsi="Garamond"/>
        </w:rPr>
      </w:pPr>
      <w:r w:rsidRPr="00381F61">
        <w:rPr>
          <w:rFonts w:ascii="Garamond" w:hAnsi="Garamond"/>
        </w:rPr>
        <w:t>None of the</w:t>
      </w:r>
      <w:r w:rsidR="00562A62" w:rsidRPr="00381F61">
        <w:rPr>
          <w:rFonts w:ascii="Garamond" w:hAnsi="Garamond"/>
        </w:rPr>
        <w:t xml:space="preserve">se </w:t>
      </w:r>
      <w:r w:rsidR="00733F79" w:rsidRPr="00381F61">
        <w:rPr>
          <w:rFonts w:ascii="Garamond" w:hAnsi="Garamond"/>
        </w:rPr>
        <w:t xml:space="preserve">seven </w:t>
      </w:r>
      <w:r w:rsidR="00562A62" w:rsidRPr="00381F61">
        <w:rPr>
          <w:rFonts w:ascii="Garamond" w:hAnsi="Garamond"/>
        </w:rPr>
        <w:t xml:space="preserve">reports </w:t>
      </w:r>
      <w:r w:rsidR="00D26ECB" w:rsidRPr="00381F61">
        <w:rPr>
          <w:rFonts w:ascii="Garamond" w:hAnsi="Garamond"/>
        </w:rPr>
        <w:t>has come close to what is now</w:t>
      </w:r>
      <w:r w:rsidRPr="00381F61">
        <w:rPr>
          <w:rFonts w:ascii="Garamond" w:hAnsi="Garamond"/>
        </w:rPr>
        <w:t xml:space="preserve"> needed</w:t>
      </w:r>
      <w:r w:rsidR="002811AE" w:rsidRPr="00381F61">
        <w:rPr>
          <w:rStyle w:val="FootnoteReference"/>
          <w:rFonts w:ascii="Garamond" w:hAnsi="Garamond"/>
        </w:rPr>
        <w:footnoteReference w:id="39"/>
      </w:r>
      <w:r w:rsidRPr="00381F61">
        <w:rPr>
          <w:rFonts w:ascii="Garamond" w:hAnsi="Garamond"/>
        </w:rPr>
        <w:t>.</w:t>
      </w:r>
    </w:p>
    <w:p w14:paraId="4C14188C" w14:textId="77777777" w:rsidR="00B92C8D" w:rsidRPr="00381F61" w:rsidRDefault="00B92C8D" w:rsidP="00E71CEB">
      <w:pPr>
        <w:jc w:val="both"/>
        <w:rPr>
          <w:rFonts w:ascii="Garamond" w:hAnsi="Garamond"/>
        </w:rPr>
      </w:pPr>
    </w:p>
    <w:p w14:paraId="061F1E8B" w14:textId="1830847A" w:rsidR="002B56A2" w:rsidRPr="00381F61" w:rsidRDefault="00D535CF" w:rsidP="00E71CEB">
      <w:pPr>
        <w:jc w:val="both"/>
        <w:rPr>
          <w:rFonts w:ascii="Garamond" w:hAnsi="Garamond"/>
        </w:rPr>
      </w:pPr>
      <w:r w:rsidRPr="00381F61">
        <w:rPr>
          <w:rFonts w:ascii="Garamond" w:hAnsi="Garamond"/>
        </w:rPr>
        <w:t xml:space="preserve">This section looks at each of 13 design decisions that go to make up NZS as we know that today. </w:t>
      </w:r>
      <w:r w:rsidR="00A21B1F" w:rsidRPr="00381F61">
        <w:rPr>
          <w:rFonts w:ascii="Garamond" w:hAnsi="Garamond"/>
        </w:rPr>
        <w:t xml:space="preserve"> Of those, the </w:t>
      </w:r>
      <w:r w:rsidR="002B56A2" w:rsidRPr="00381F61">
        <w:rPr>
          <w:rFonts w:ascii="Garamond" w:hAnsi="Garamond"/>
        </w:rPr>
        <w:t xml:space="preserve">last </w:t>
      </w:r>
      <w:r w:rsidR="00A21B1F" w:rsidRPr="00381F61">
        <w:rPr>
          <w:rFonts w:ascii="Garamond" w:hAnsi="Garamond"/>
        </w:rPr>
        <w:t xml:space="preserve">government chose to change </w:t>
      </w:r>
      <w:r w:rsidR="002B56A2" w:rsidRPr="00381F61">
        <w:rPr>
          <w:rFonts w:ascii="Garamond" w:hAnsi="Garamond"/>
        </w:rPr>
        <w:t xml:space="preserve">just </w:t>
      </w:r>
      <w:r w:rsidR="00A21B1F" w:rsidRPr="00381F61">
        <w:rPr>
          <w:rFonts w:ascii="Garamond" w:hAnsi="Garamond"/>
        </w:rPr>
        <w:t>two</w:t>
      </w:r>
      <w:r w:rsidRPr="00381F61">
        <w:rPr>
          <w:rFonts w:ascii="Garamond" w:hAnsi="Garamond"/>
        </w:rPr>
        <w:t xml:space="preserve"> in its </w:t>
      </w:r>
      <w:r w:rsidR="00B41402" w:rsidRPr="00381F61">
        <w:rPr>
          <w:rFonts w:ascii="Garamond" w:hAnsi="Garamond"/>
        </w:rPr>
        <w:t xml:space="preserve">6 </w:t>
      </w:r>
      <w:r w:rsidR="00A21B1F" w:rsidRPr="00381F61">
        <w:rPr>
          <w:rFonts w:ascii="Garamond" w:hAnsi="Garamond"/>
        </w:rPr>
        <w:t xml:space="preserve">March 2017 announcements </w:t>
      </w:r>
      <w:r w:rsidRPr="00381F61">
        <w:rPr>
          <w:rFonts w:ascii="Garamond" w:hAnsi="Garamond"/>
        </w:rPr>
        <w:t xml:space="preserve">– the state pension age </w:t>
      </w:r>
      <w:r w:rsidR="00FF4E5D" w:rsidRPr="00381F61">
        <w:rPr>
          <w:rFonts w:ascii="Garamond" w:hAnsi="Garamond"/>
        </w:rPr>
        <w:t xml:space="preserve">from 2037 </w:t>
      </w:r>
      <w:r w:rsidRPr="00381F61">
        <w:rPr>
          <w:rFonts w:ascii="Garamond" w:hAnsi="Garamond"/>
        </w:rPr>
        <w:t>and the minimum residence requirement</w:t>
      </w:r>
      <w:r w:rsidR="00A00B28" w:rsidRPr="00381F61">
        <w:rPr>
          <w:rFonts w:ascii="Garamond" w:hAnsi="Garamond"/>
        </w:rPr>
        <w:t xml:space="preserve"> from, possibly, 2018</w:t>
      </w:r>
      <w:r w:rsidRPr="00381F61">
        <w:rPr>
          <w:rFonts w:ascii="Garamond" w:hAnsi="Garamond"/>
        </w:rPr>
        <w:t>.  Neither of those changes</w:t>
      </w:r>
      <w:r w:rsidR="002B56A2" w:rsidRPr="00381F61">
        <w:rPr>
          <w:rFonts w:ascii="Garamond" w:hAnsi="Garamond"/>
        </w:rPr>
        <w:t xml:space="preserve"> was</w:t>
      </w:r>
      <w:r w:rsidRPr="00381F61">
        <w:rPr>
          <w:rFonts w:ascii="Garamond" w:hAnsi="Garamond"/>
        </w:rPr>
        <w:t xml:space="preserve"> the subject of a research-led analysis</w:t>
      </w:r>
      <w:r w:rsidR="00A21B1F" w:rsidRPr="00381F61">
        <w:rPr>
          <w:rStyle w:val="FootnoteReference"/>
          <w:rFonts w:ascii="Garamond" w:hAnsi="Garamond"/>
        </w:rPr>
        <w:footnoteReference w:id="40"/>
      </w:r>
      <w:r w:rsidRPr="00381F61">
        <w:rPr>
          <w:rFonts w:ascii="Garamond" w:hAnsi="Garamond"/>
        </w:rPr>
        <w:t>.</w:t>
      </w:r>
      <w:r w:rsidR="00B41402" w:rsidRPr="00381F61">
        <w:rPr>
          <w:rFonts w:ascii="Garamond" w:hAnsi="Garamond"/>
        </w:rPr>
        <w:t xml:space="preserve">  </w:t>
      </w:r>
      <w:r w:rsidR="002B56A2" w:rsidRPr="00381F61">
        <w:rPr>
          <w:rFonts w:ascii="Garamond" w:hAnsi="Garamond"/>
        </w:rPr>
        <w:t xml:space="preserve">In any event, the current government </w:t>
      </w:r>
      <w:r w:rsidR="00AD0F7A" w:rsidRPr="00381F61">
        <w:rPr>
          <w:rFonts w:ascii="Garamond" w:hAnsi="Garamond"/>
        </w:rPr>
        <w:t xml:space="preserve">effectively </w:t>
      </w:r>
      <w:r w:rsidR="002B56A2" w:rsidRPr="00381F61">
        <w:rPr>
          <w:rFonts w:ascii="Garamond" w:hAnsi="Garamond"/>
        </w:rPr>
        <w:t>abandoned both possible changes</w:t>
      </w:r>
      <w:r w:rsidR="00AD0F7A" w:rsidRPr="00381F61">
        <w:rPr>
          <w:rFonts w:ascii="Garamond" w:hAnsi="Garamond"/>
        </w:rPr>
        <w:t xml:space="preserve"> by doing nothing</w:t>
      </w:r>
      <w:r w:rsidR="00AD0F7A" w:rsidRPr="00381F61">
        <w:rPr>
          <w:rStyle w:val="FootnoteReference"/>
          <w:rFonts w:ascii="Garamond" w:hAnsi="Garamond"/>
        </w:rPr>
        <w:footnoteReference w:id="41"/>
      </w:r>
      <w:r w:rsidR="00AD0F7A" w:rsidRPr="00381F61">
        <w:rPr>
          <w:rFonts w:ascii="Garamond" w:hAnsi="Garamond"/>
        </w:rPr>
        <w:t>.</w:t>
      </w:r>
    </w:p>
    <w:p w14:paraId="179A76AE" w14:textId="77777777" w:rsidR="002B56A2" w:rsidRPr="00381F61" w:rsidRDefault="002B56A2" w:rsidP="00E71CEB">
      <w:pPr>
        <w:jc w:val="both"/>
        <w:rPr>
          <w:rFonts w:ascii="Garamond" w:hAnsi="Garamond"/>
        </w:rPr>
      </w:pPr>
    </w:p>
    <w:p w14:paraId="1DA2C39D" w14:textId="05364641" w:rsidR="00B41402" w:rsidRPr="00381F61" w:rsidRDefault="00B41402" w:rsidP="00E71CEB">
      <w:pPr>
        <w:jc w:val="both"/>
        <w:rPr>
          <w:rFonts w:ascii="Garamond" w:hAnsi="Garamond"/>
        </w:rPr>
      </w:pPr>
      <w:r w:rsidRPr="00381F61">
        <w:rPr>
          <w:rFonts w:ascii="Garamond" w:hAnsi="Garamond"/>
        </w:rPr>
        <w:t xml:space="preserve">The </w:t>
      </w:r>
      <w:r w:rsidR="00793969" w:rsidRPr="00381F61">
        <w:rPr>
          <w:rFonts w:ascii="Garamond" w:hAnsi="Garamond"/>
        </w:rPr>
        <w:t xml:space="preserve">last </w:t>
      </w:r>
      <w:r w:rsidRPr="00381F61">
        <w:rPr>
          <w:rFonts w:ascii="Garamond" w:hAnsi="Garamond"/>
        </w:rPr>
        <w:t>government also apparently thought about two other aspects of NZS’s design:</w:t>
      </w:r>
    </w:p>
    <w:p w14:paraId="7E256A48" w14:textId="77777777" w:rsidR="00A00B28" w:rsidRPr="00381F61" w:rsidRDefault="00A00B28" w:rsidP="00E71CEB">
      <w:pPr>
        <w:jc w:val="both"/>
        <w:rPr>
          <w:rFonts w:ascii="Garamond" w:hAnsi="Garamond"/>
          <w:sz w:val="8"/>
          <w:szCs w:val="8"/>
        </w:rPr>
      </w:pPr>
    </w:p>
    <w:p w14:paraId="5DBCC30A" w14:textId="339BBEF1" w:rsidR="00B41402" w:rsidRPr="00381F61" w:rsidRDefault="00B41402" w:rsidP="00E71CEB">
      <w:pPr>
        <w:ind w:left="284"/>
        <w:jc w:val="both"/>
        <w:rPr>
          <w:rFonts w:ascii="Garamond" w:hAnsi="Garamond"/>
          <w:sz w:val="22"/>
          <w:szCs w:val="22"/>
        </w:rPr>
      </w:pPr>
      <w:r w:rsidRPr="00381F61">
        <w:rPr>
          <w:rFonts w:ascii="Garamond" w:hAnsi="Garamond"/>
          <w:sz w:val="22"/>
          <w:szCs w:val="22"/>
        </w:rPr>
        <w:t>“</w:t>
      </w:r>
      <w:r w:rsidRPr="00381F61">
        <w:rPr>
          <w:rFonts w:ascii="Garamond" w:hAnsi="Garamond" w:cs="Arial"/>
          <w:color w:val="000000"/>
          <w:sz w:val="22"/>
          <w:szCs w:val="22"/>
          <w:shd w:val="clear" w:color="auto" w:fill="FFFFFF"/>
        </w:rPr>
        <w:t>Other settings such as indexing NZ Super to the average wage and universal entitlement without means testing will remain unchanged…” Stephen Joyce, Minister of Finance 6 March 2017</w:t>
      </w:r>
      <w:r w:rsidR="00E36C71" w:rsidRPr="00381F61">
        <w:rPr>
          <w:rStyle w:val="FootnoteReference"/>
          <w:rFonts w:ascii="Garamond" w:hAnsi="Garamond" w:cs="Arial"/>
          <w:color w:val="000000"/>
          <w:sz w:val="22"/>
          <w:szCs w:val="22"/>
          <w:shd w:val="clear" w:color="auto" w:fill="FFFFFF"/>
        </w:rPr>
        <w:footnoteReference w:id="42"/>
      </w:r>
    </w:p>
    <w:p w14:paraId="43208657" w14:textId="7FADC54D" w:rsidR="00B41402" w:rsidRPr="00381F61" w:rsidRDefault="00B41402" w:rsidP="00E71CEB">
      <w:pPr>
        <w:jc w:val="both"/>
        <w:rPr>
          <w:rFonts w:ascii="Garamond" w:hAnsi="Garamond"/>
        </w:rPr>
      </w:pPr>
    </w:p>
    <w:p w14:paraId="677E147D" w14:textId="5B7C284C" w:rsidR="00B41402" w:rsidRPr="00381F61" w:rsidRDefault="00793969" w:rsidP="00E71CEB">
      <w:pPr>
        <w:jc w:val="both"/>
        <w:rPr>
          <w:rFonts w:ascii="Garamond" w:hAnsi="Garamond"/>
        </w:rPr>
      </w:pPr>
      <w:r w:rsidRPr="00381F61">
        <w:rPr>
          <w:rFonts w:ascii="Garamond" w:hAnsi="Garamond"/>
        </w:rPr>
        <w:t>None</w:t>
      </w:r>
      <w:r w:rsidR="00B41402" w:rsidRPr="00381F61">
        <w:rPr>
          <w:rFonts w:ascii="Garamond" w:hAnsi="Garamond"/>
        </w:rPr>
        <w:t xml:space="preserve"> of th</w:t>
      </w:r>
      <w:r w:rsidRPr="00381F61">
        <w:rPr>
          <w:rFonts w:ascii="Garamond" w:hAnsi="Garamond"/>
        </w:rPr>
        <w:t>e</w:t>
      </w:r>
      <w:r w:rsidR="00B41402" w:rsidRPr="00381F61">
        <w:rPr>
          <w:rFonts w:ascii="Garamond" w:hAnsi="Garamond"/>
        </w:rPr>
        <w:t xml:space="preserve">se decisions </w:t>
      </w:r>
      <w:r w:rsidR="00A21B1F" w:rsidRPr="00381F61">
        <w:rPr>
          <w:rFonts w:ascii="Garamond" w:hAnsi="Garamond"/>
        </w:rPr>
        <w:t>was</w:t>
      </w:r>
      <w:r w:rsidRPr="00381F61">
        <w:rPr>
          <w:rFonts w:ascii="Garamond" w:hAnsi="Garamond"/>
        </w:rPr>
        <w:t xml:space="preserve"> ever</w:t>
      </w:r>
      <w:r w:rsidR="00B41402" w:rsidRPr="00381F61">
        <w:rPr>
          <w:rFonts w:ascii="Garamond" w:hAnsi="Garamond"/>
        </w:rPr>
        <w:t xml:space="preserve"> the subject of a research-led analysis</w:t>
      </w:r>
      <w:r w:rsidR="002C0E1E" w:rsidRPr="00381F61">
        <w:rPr>
          <w:rFonts w:ascii="Garamond" w:hAnsi="Garamond"/>
        </w:rPr>
        <w:t xml:space="preserve"> or consultation</w:t>
      </w:r>
      <w:r w:rsidR="00B41402" w:rsidRPr="00381F61">
        <w:rPr>
          <w:rFonts w:ascii="Garamond" w:hAnsi="Garamond"/>
        </w:rPr>
        <w:t>.</w:t>
      </w:r>
    </w:p>
    <w:p w14:paraId="47CB54AC" w14:textId="77777777" w:rsidR="00D535CF" w:rsidRPr="00381F61" w:rsidRDefault="00D535CF" w:rsidP="00E71CEB">
      <w:pPr>
        <w:jc w:val="both"/>
        <w:rPr>
          <w:rFonts w:ascii="Garamond" w:hAnsi="Garamond"/>
        </w:rPr>
      </w:pPr>
    </w:p>
    <w:p w14:paraId="1A1A7B43" w14:textId="7AE44C2F" w:rsidR="00B41402" w:rsidRPr="00381F61" w:rsidRDefault="00ED4DB5" w:rsidP="00E71CEB">
      <w:pPr>
        <w:jc w:val="both"/>
        <w:rPr>
          <w:rFonts w:ascii="Garamond" w:hAnsi="Garamond"/>
        </w:rPr>
      </w:pPr>
      <w:r w:rsidRPr="00381F61">
        <w:rPr>
          <w:rFonts w:ascii="Garamond" w:hAnsi="Garamond"/>
        </w:rPr>
        <w:t>T</w:t>
      </w:r>
      <w:r w:rsidR="00B41402" w:rsidRPr="00381F61">
        <w:rPr>
          <w:rFonts w:ascii="Garamond" w:hAnsi="Garamond"/>
        </w:rPr>
        <w:t xml:space="preserve">his kind of </w:t>
      </w:r>
      <w:r w:rsidR="00B41402" w:rsidRPr="00381F61">
        <w:rPr>
          <w:rFonts w:ascii="Garamond" w:hAnsi="Garamond"/>
          <w:i/>
        </w:rPr>
        <w:t>ad hoc</w:t>
      </w:r>
      <w:r w:rsidR="00B41402" w:rsidRPr="00381F61">
        <w:rPr>
          <w:rFonts w:ascii="Garamond" w:hAnsi="Garamond"/>
        </w:rPr>
        <w:t xml:space="preserve"> decision-making has not served New Zealand well over the</w:t>
      </w:r>
      <w:r w:rsidRPr="00381F61">
        <w:rPr>
          <w:rFonts w:ascii="Garamond" w:hAnsi="Garamond"/>
        </w:rPr>
        <w:t xml:space="preserve"> more than 40 years since 1975 </w:t>
      </w:r>
      <w:r w:rsidR="00B41402" w:rsidRPr="00381F61">
        <w:rPr>
          <w:rFonts w:ascii="Garamond" w:hAnsi="Garamond"/>
        </w:rPr>
        <w:t xml:space="preserve">when the then-Labour government introduced the compulsory private savings scheme </w:t>
      </w:r>
      <w:r w:rsidRPr="00381F61">
        <w:rPr>
          <w:rFonts w:ascii="Garamond" w:hAnsi="Garamond"/>
        </w:rPr>
        <w:t>(</w:t>
      </w:r>
      <w:r w:rsidR="00B41402" w:rsidRPr="00381F61">
        <w:rPr>
          <w:rFonts w:ascii="Garamond" w:hAnsi="Garamond"/>
        </w:rPr>
        <w:t>the ‘New Zealand Superannuation Scheme’</w:t>
      </w:r>
      <w:r w:rsidR="00487DE1" w:rsidRPr="00381F61">
        <w:rPr>
          <w:rFonts w:ascii="Garamond" w:hAnsi="Garamond"/>
        </w:rPr>
        <w:t>)</w:t>
      </w:r>
      <w:r w:rsidR="00B41402" w:rsidRPr="00381F61">
        <w:rPr>
          <w:rFonts w:ascii="Garamond" w:hAnsi="Garamond"/>
        </w:rPr>
        <w:t xml:space="preserve">.  These latest decisions </w:t>
      </w:r>
      <w:r w:rsidR="00793969" w:rsidRPr="00381F61">
        <w:rPr>
          <w:rFonts w:ascii="Garamond" w:hAnsi="Garamond"/>
        </w:rPr>
        <w:t xml:space="preserve">are </w:t>
      </w:r>
      <w:r w:rsidR="00B96D3D" w:rsidRPr="00381F61">
        <w:rPr>
          <w:rFonts w:ascii="Garamond" w:hAnsi="Garamond"/>
        </w:rPr>
        <w:t xml:space="preserve">all </w:t>
      </w:r>
      <w:r w:rsidR="00793969" w:rsidRPr="00381F61">
        <w:rPr>
          <w:rFonts w:ascii="Garamond" w:hAnsi="Garamond"/>
        </w:rPr>
        <w:t>politically driven.</w:t>
      </w:r>
    </w:p>
    <w:p w14:paraId="228985F0" w14:textId="77777777" w:rsidR="00B41402" w:rsidRPr="00381F61" w:rsidRDefault="00B41402" w:rsidP="00E71CEB">
      <w:pPr>
        <w:jc w:val="both"/>
        <w:rPr>
          <w:rFonts w:ascii="Garamond" w:hAnsi="Garamond"/>
        </w:rPr>
      </w:pPr>
    </w:p>
    <w:p w14:paraId="3A956D72" w14:textId="2B4D9DF5" w:rsidR="00CC5215" w:rsidRPr="00381F61" w:rsidRDefault="00B41402" w:rsidP="00E71CEB">
      <w:pPr>
        <w:jc w:val="both"/>
        <w:rPr>
          <w:rFonts w:ascii="Garamond" w:hAnsi="Garamond"/>
        </w:rPr>
      </w:pPr>
      <w:r w:rsidRPr="00381F61">
        <w:rPr>
          <w:rFonts w:ascii="Garamond" w:hAnsi="Garamond"/>
        </w:rPr>
        <w:lastRenderedPageBreak/>
        <w:t>We think it is time to have a proper look at the benefit design of NZS.</w:t>
      </w:r>
    </w:p>
    <w:p w14:paraId="08C927F9" w14:textId="77777777" w:rsidR="00CC5215" w:rsidRPr="00381F61" w:rsidRDefault="00CC5215" w:rsidP="00E71CEB">
      <w:pPr>
        <w:jc w:val="both"/>
        <w:rPr>
          <w:rFonts w:ascii="Garamond" w:hAnsi="Garamond"/>
        </w:rPr>
      </w:pPr>
    </w:p>
    <w:p w14:paraId="39FEA2BA" w14:textId="69DB8E9C" w:rsidR="00B92C8D" w:rsidRPr="00381F61" w:rsidRDefault="00B92C8D" w:rsidP="00E71CEB">
      <w:pPr>
        <w:jc w:val="both"/>
        <w:rPr>
          <w:rFonts w:ascii="Garamond" w:hAnsi="Garamond"/>
        </w:rPr>
      </w:pPr>
      <w:r w:rsidRPr="00381F61">
        <w:rPr>
          <w:rFonts w:ascii="Garamond" w:hAnsi="Garamond"/>
        </w:rPr>
        <w:t>Here is a summary of the major design decisions that should emerge from the proposed, research-led review</w:t>
      </w:r>
      <w:r w:rsidR="00422A0D" w:rsidRPr="00381F61">
        <w:rPr>
          <w:rStyle w:val="FootnoteReference"/>
          <w:rFonts w:ascii="Garamond" w:hAnsi="Garamond"/>
        </w:rPr>
        <w:footnoteReference w:id="43"/>
      </w:r>
      <w:r w:rsidRPr="00381F61">
        <w:rPr>
          <w:rFonts w:ascii="Garamond" w:hAnsi="Garamond"/>
        </w:rPr>
        <w:t>:</w:t>
      </w:r>
    </w:p>
    <w:p w14:paraId="78B59AAD" w14:textId="77777777" w:rsidR="00B92C8D" w:rsidRPr="00381F61" w:rsidRDefault="00B92C8D" w:rsidP="00E71CEB">
      <w:pPr>
        <w:jc w:val="both"/>
        <w:rPr>
          <w:rFonts w:ascii="Garamond" w:hAnsi="Garamond"/>
        </w:rPr>
      </w:pPr>
    </w:p>
    <w:p w14:paraId="52EC5D49" w14:textId="66C178E9" w:rsidR="00B92C8D" w:rsidRPr="00381F61" w:rsidRDefault="00F519BC" w:rsidP="00E71CEB">
      <w:pPr>
        <w:widowControl w:val="0"/>
        <w:tabs>
          <w:tab w:val="center" w:pos="4153"/>
        </w:tabs>
        <w:ind w:left="709"/>
        <w:jc w:val="both"/>
        <w:rPr>
          <w:rFonts w:ascii="Garamond" w:hAnsi="Garamond"/>
        </w:rPr>
      </w:pPr>
      <w:r w:rsidRPr="00381F61">
        <w:rPr>
          <w:rFonts w:ascii="Garamond" w:hAnsi="Garamond"/>
          <w:b/>
        </w:rPr>
        <w:t>6</w:t>
      </w:r>
      <w:r w:rsidR="00B92C8D" w:rsidRPr="00381F61">
        <w:rPr>
          <w:rFonts w:ascii="Garamond" w:hAnsi="Garamond"/>
          <w:b/>
        </w:rPr>
        <w:t xml:space="preserve">.1 </w:t>
      </w:r>
      <w:r w:rsidR="00B51346" w:rsidRPr="00381F61">
        <w:rPr>
          <w:rFonts w:ascii="Garamond" w:hAnsi="Garamond"/>
          <w:b/>
        </w:rPr>
        <w:t xml:space="preserve"> </w:t>
      </w:r>
      <w:r w:rsidR="00B92C8D" w:rsidRPr="00381F61">
        <w:rPr>
          <w:rFonts w:ascii="Garamond" w:hAnsi="Garamond"/>
          <w:b/>
        </w:rPr>
        <w:t xml:space="preserve">Universal or means-tested? </w:t>
      </w:r>
      <w:r w:rsidR="00B92C8D" w:rsidRPr="00381F61">
        <w:rPr>
          <w:rFonts w:ascii="Garamond" w:hAnsi="Garamond"/>
        </w:rPr>
        <w:t>Until 1977, the then ‘Old Age benefit’ was income-tested but ‘Universal Superannuation’</w:t>
      </w:r>
      <w:r w:rsidR="00562A62" w:rsidRPr="00381F61">
        <w:rPr>
          <w:rFonts w:ascii="Garamond" w:hAnsi="Garamond"/>
        </w:rPr>
        <w:t>, payable from age 65</w:t>
      </w:r>
      <w:r w:rsidR="00B92C8D" w:rsidRPr="00381F61">
        <w:rPr>
          <w:rFonts w:ascii="Garamond" w:hAnsi="Garamond"/>
        </w:rPr>
        <w:t xml:space="preserve"> was not.  In practice, by 1975, this meant there was an income-test between age 60 (when the Old Age benefit started) and age 65 (when Universal Superannuation started)</w:t>
      </w:r>
      <w:r w:rsidR="00B92C8D" w:rsidRPr="00381F61">
        <w:rPr>
          <w:rStyle w:val="FootnoteReference"/>
          <w:rFonts w:ascii="Garamond" w:hAnsi="Garamond"/>
        </w:rPr>
        <w:footnoteReference w:id="44"/>
      </w:r>
      <w:r w:rsidR="00B92C8D" w:rsidRPr="00381F61">
        <w:rPr>
          <w:rFonts w:ascii="Garamond" w:hAnsi="Garamond"/>
        </w:rPr>
        <w:t>.  ‘National Superannuation’ changed that in 1977.  The state pension age was reduced to 60 and the income-test was eliminated.  However, the Labour government re-introduced income-testing without debate from 1985 (the ‘surcharge’).  It was watered down later and finally eliminated in 1998 by the next National government, again without discussion.</w:t>
      </w:r>
    </w:p>
    <w:p w14:paraId="7B2C9441" w14:textId="77777777" w:rsidR="00B92C8D" w:rsidRPr="00381F61" w:rsidRDefault="00B92C8D" w:rsidP="00E71CEB">
      <w:pPr>
        <w:widowControl w:val="0"/>
        <w:tabs>
          <w:tab w:val="center" w:pos="4153"/>
        </w:tabs>
        <w:ind w:left="709"/>
        <w:jc w:val="both"/>
        <w:rPr>
          <w:rFonts w:ascii="Garamond" w:hAnsi="Garamond"/>
        </w:rPr>
      </w:pPr>
    </w:p>
    <w:p w14:paraId="5AD88217" w14:textId="11D21EEE" w:rsidR="00B92C8D" w:rsidRPr="00381F61" w:rsidRDefault="00B92C8D" w:rsidP="00E71CEB">
      <w:pPr>
        <w:widowControl w:val="0"/>
        <w:tabs>
          <w:tab w:val="center" w:pos="4153"/>
        </w:tabs>
        <w:ind w:left="709"/>
        <w:jc w:val="both"/>
        <w:rPr>
          <w:rFonts w:ascii="Garamond" w:hAnsi="Garamond"/>
        </w:rPr>
      </w:pPr>
      <w:r w:rsidRPr="00381F61">
        <w:rPr>
          <w:rFonts w:ascii="Garamond" w:hAnsi="Garamond"/>
        </w:rPr>
        <w:t>NZS</w:t>
      </w:r>
      <w:r w:rsidR="000E7ADF" w:rsidRPr="00381F61">
        <w:rPr>
          <w:rFonts w:ascii="Garamond" w:hAnsi="Garamond"/>
        </w:rPr>
        <w:t xml:space="preserve"> itself</w:t>
      </w:r>
      <w:r w:rsidRPr="00381F61">
        <w:rPr>
          <w:rFonts w:ascii="Garamond" w:hAnsi="Garamond"/>
        </w:rPr>
        <w:t xml:space="preserve"> has never been subject to an asset-test</w:t>
      </w:r>
      <w:r w:rsidRPr="00381F61">
        <w:rPr>
          <w:rStyle w:val="FootnoteReference"/>
          <w:rFonts w:ascii="Garamond" w:hAnsi="Garamond"/>
        </w:rPr>
        <w:footnoteReference w:id="45"/>
      </w:r>
      <w:r w:rsidRPr="00381F61">
        <w:rPr>
          <w:rFonts w:ascii="Garamond" w:hAnsi="Garamond"/>
        </w:rPr>
        <w:t xml:space="preserve">.  Finding out how </w:t>
      </w:r>
      <w:r w:rsidR="002A0947" w:rsidRPr="00381F61">
        <w:rPr>
          <w:rFonts w:ascii="Garamond" w:hAnsi="Garamond"/>
        </w:rPr>
        <w:t>the</w:t>
      </w:r>
      <w:r w:rsidRPr="00381F61">
        <w:rPr>
          <w:rFonts w:ascii="Garamond" w:hAnsi="Garamond"/>
        </w:rPr>
        <w:t xml:space="preserve"> asset</w:t>
      </w:r>
      <w:r w:rsidR="006077E5" w:rsidRPr="00381F61">
        <w:rPr>
          <w:rFonts w:ascii="Garamond" w:hAnsi="Garamond"/>
        </w:rPr>
        <w:t>-</w:t>
      </w:r>
      <w:r w:rsidRPr="00381F61">
        <w:rPr>
          <w:rFonts w:ascii="Garamond" w:hAnsi="Garamond"/>
        </w:rPr>
        <w:t xml:space="preserve">test </w:t>
      </w:r>
      <w:r w:rsidR="002A0947" w:rsidRPr="00381F61">
        <w:rPr>
          <w:rFonts w:ascii="Garamond" w:hAnsi="Garamond"/>
        </w:rPr>
        <w:t xml:space="preserve">for the Age Pension </w:t>
      </w:r>
      <w:r w:rsidRPr="00381F61">
        <w:rPr>
          <w:rFonts w:ascii="Garamond" w:hAnsi="Garamond"/>
        </w:rPr>
        <w:t>works in Australia</w:t>
      </w:r>
      <w:r w:rsidR="009F0E58" w:rsidRPr="00381F61">
        <w:rPr>
          <w:rFonts w:ascii="Garamond" w:hAnsi="Garamond"/>
        </w:rPr>
        <w:t>, the consequential behaviour of Australians and the outcomes achieved,</w:t>
      </w:r>
      <w:r w:rsidRPr="00381F61">
        <w:rPr>
          <w:rFonts w:ascii="Garamond" w:hAnsi="Garamond"/>
        </w:rPr>
        <w:t xml:space="preserve"> should be an important part of the New Zealand review.</w:t>
      </w:r>
    </w:p>
    <w:p w14:paraId="09EBC80A" w14:textId="77777777" w:rsidR="00B92C8D" w:rsidRPr="00381F61" w:rsidRDefault="00B92C8D" w:rsidP="00E71CEB">
      <w:pPr>
        <w:widowControl w:val="0"/>
        <w:tabs>
          <w:tab w:val="center" w:pos="4153"/>
        </w:tabs>
        <w:ind w:left="709"/>
        <w:jc w:val="both"/>
        <w:rPr>
          <w:rFonts w:ascii="Garamond" w:hAnsi="Garamond"/>
        </w:rPr>
      </w:pPr>
    </w:p>
    <w:p w14:paraId="214E3EEE" w14:textId="4B7AC62B" w:rsidR="00B92C8D" w:rsidRPr="00381F61" w:rsidRDefault="00B92C8D" w:rsidP="00E71CEB">
      <w:pPr>
        <w:widowControl w:val="0"/>
        <w:tabs>
          <w:tab w:val="center" w:pos="4153"/>
        </w:tabs>
        <w:ind w:left="709"/>
        <w:jc w:val="both"/>
        <w:rPr>
          <w:rFonts w:ascii="Garamond" w:hAnsi="Garamond"/>
        </w:rPr>
      </w:pPr>
      <w:r w:rsidRPr="00381F61">
        <w:rPr>
          <w:rFonts w:ascii="Garamond" w:hAnsi="Garamond"/>
        </w:rPr>
        <w:t>Should NZS be paid to people who don’t, on any reasonable basis, need it?  If we decide to apply a means-test (on income and/or assets)</w:t>
      </w:r>
      <w:r w:rsidR="002C0E1E" w:rsidRPr="00381F61">
        <w:rPr>
          <w:rFonts w:ascii="Garamond" w:hAnsi="Garamond"/>
        </w:rPr>
        <w:t>,</w:t>
      </w:r>
      <w:r w:rsidRPr="00381F61">
        <w:rPr>
          <w:rFonts w:ascii="Garamond" w:hAnsi="Garamond"/>
        </w:rPr>
        <w:t xml:space="preserve"> NZS will no longer be a universal pension.  In that case, where should the reductions begin and at what rate should the state pension be withdrawn?  </w:t>
      </w:r>
      <w:r w:rsidR="0013103C" w:rsidRPr="00381F61">
        <w:rPr>
          <w:rFonts w:ascii="Garamond" w:hAnsi="Garamond"/>
        </w:rPr>
        <w:t xml:space="preserve">What are the costs of implementing and enforcing that policy? </w:t>
      </w:r>
      <w:r w:rsidRPr="00381F61">
        <w:rPr>
          <w:rFonts w:ascii="Garamond" w:hAnsi="Garamond"/>
        </w:rPr>
        <w:t xml:space="preserve">What might be the consequences for the economy, particularly to labour force participation rates, and how might New Zealanders react to such tests?  How might savers react during both their working and retirement periods?  </w:t>
      </w:r>
      <w:r w:rsidR="002C0E1E" w:rsidRPr="00381F61">
        <w:rPr>
          <w:rFonts w:ascii="Garamond" w:hAnsi="Garamond"/>
        </w:rPr>
        <w:t xml:space="preserve">What might the administrative costs be?  </w:t>
      </w:r>
      <w:r w:rsidRPr="00381F61">
        <w:rPr>
          <w:rFonts w:ascii="Garamond" w:hAnsi="Garamond"/>
        </w:rPr>
        <w:t>We have some experience from the days of the surcharge (1985-1998) and there are useful potential lessons to be learned from Australia</w:t>
      </w:r>
      <w:r w:rsidR="00B51346" w:rsidRPr="00381F61">
        <w:rPr>
          <w:rFonts w:ascii="Garamond" w:hAnsi="Garamond"/>
        </w:rPr>
        <w:t xml:space="preserve"> that has extensive income</w:t>
      </w:r>
      <w:r w:rsidR="00BE3E66" w:rsidRPr="00381F61">
        <w:rPr>
          <w:rFonts w:ascii="Garamond" w:hAnsi="Garamond"/>
        </w:rPr>
        <w:t>-</w:t>
      </w:r>
      <w:r w:rsidR="00B51346" w:rsidRPr="00381F61">
        <w:rPr>
          <w:rFonts w:ascii="Garamond" w:hAnsi="Garamond"/>
        </w:rPr>
        <w:t xml:space="preserve"> and asset</w:t>
      </w:r>
      <w:r w:rsidR="00BE3E66" w:rsidRPr="00381F61">
        <w:rPr>
          <w:rFonts w:ascii="Garamond" w:hAnsi="Garamond"/>
        </w:rPr>
        <w:t>-</w:t>
      </w:r>
      <w:r w:rsidR="00B51346" w:rsidRPr="00381F61">
        <w:rPr>
          <w:rFonts w:ascii="Garamond" w:hAnsi="Garamond"/>
        </w:rPr>
        <w:t>tests.</w:t>
      </w:r>
    </w:p>
    <w:p w14:paraId="5854A25F" w14:textId="77777777" w:rsidR="00B92C8D" w:rsidRPr="00381F61" w:rsidRDefault="00B92C8D" w:rsidP="00E71CEB">
      <w:pPr>
        <w:widowControl w:val="0"/>
        <w:tabs>
          <w:tab w:val="center" w:pos="4153"/>
        </w:tabs>
        <w:ind w:left="709"/>
        <w:jc w:val="both"/>
        <w:rPr>
          <w:rFonts w:ascii="Garamond" w:hAnsi="Garamond"/>
        </w:rPr>
      </w:pPr>
    </w:p>
    <w:p w14:paraId="54D3C5C4" w14:textId="7F56F4B0" w:rsidR="00B92C8D" w:rsidRPr="00381F61" w:rsidRDefault="00B92C8D" w:rsidP="00E71CEB">
      <w:pPr>
        <w:widowControl w:val="0"/>
        <w:tabs>
          <w:tab w:val="center" w:pos="4153"/>
        </w:tabs>
        <w:ind w:left="709"/>
        <w:jc w:val="both"/>
        <w:rPr>
          <w:rFonts w:ascii="Garamond" w:hAnsi="Garamond"/>
        </w:rPr>
      </w:pPr>
      <w:r w:rsidRPr="00381F61">
        <w:rPr>
          <w:rFonts w:ascii="Garamond" w:hAnsi="Garamond"/>
        </w:rPr>
        <w:t xml:space="preserve">Governments cannot dictate how much of the economy’s </w:t>
      </w:r>
      <w:r w:rsidR="002A0947" w:rsidRPr="00381F61">
        <w:rPr>
          <w:rFonts w:ascii="Garamond" w:hAnsi="Garamond"/>
        </w:rPr>
        <w:t xml:space="preserve">total </w:t>
      </w:r>
      <w:r w:rsidRPr="00381F61">
        <w:rPr>
          <w:rFonts w:ascii="Garamond" w:hAnsi="Garamond"/>
        </w:rPr>
        <w:t xml:space="preserve">output </w:t>
      </w:r>
      <w:r w:rsidR="00B96D3D" w:rsidRPr="00381F61">
        <w:rPr>
          <w:rFonts w:ascii="Garamond" w:hAnsi="Garamond"/>
        </w:rPr>
        <w:t xml:space="preserve">(public + private) </w:t>
      </w:r>
      <w:r w:rsidRPr="00381F61">
        <w:rPr>
          <w:rFonts w:ascii="Garamond" w:hAnsi="Garamond"/>
        </w:rPr>
        <w:t xml:space="preserve">goes to the old because of private, unmanageable responses to the retirement income framework.  We need a better understanding of the present and expected </w:t>
      </w:r>
      <w:r w:rsidRPr="00381F61">
        <w:rPr>
          <w:rFonts w:ascii="Garamond" w:hAnsi="Garamond"/>
          <w:i/>
        </w:rPr>
        <w:t>total</w:t>
      </w:r>
      <w:r w:rsidRPr="00381F61">
        <w:rPr>
          <w:rFonts w:ascii="Garamond" w:hAnsi="Garamond"/>
        </w:rPr>
        <w:t xml:space="preserve"> claims on the economy by the old</w:t>
      </w:r>
      <w:r w:rsidRPr="00381F61">
        <w:rPr>
          <w:rStyle w:val="FootnoteReference"/>
          <w:rFonts w:ascii="Garamond" w:hAnsi="Garamond"/>
        </w:rPr>
        <w:footnoteReference w:id="46"/>
      </w:r>
      <w:r w:rsidRPr="00381F61">
        <w:rPr>
          <w:rFonts w:ascii="Garamond" w:hAnsi="Garamond"/>
        </w:rPr>
        <w:t>.  With the best of intentions, it is almost impossible to regulate private behaviour so as to achieve the desired overall objectives and any discussion of income- and/or asset-tests must recognise that</w:t>
      </w:r>
      <w:r w:rsidRPr="00381F61">
        <w:rPr>
          <w:rStyle w:val="FootnoteReference"/>
          <w:rFonts w:ascii="Garamond" w:hAnsi="Garamond"/>
        </w:rPr>
        <w:footnoteReference w:id="47"/>
      </w:r>
      <w:r w:rsidRPr="00381F61">
        <w:rPr>
          <w:rFonts w:ascii="Garamond" w:hAnsi="Garamond"/>
        </w:rPr>
        <w:t>.</w:t>
      </w:r>
    </w:p>
    <w:p w14:paraId="2C976DE7" w14:textId="77777777" w:rsidR="00B92C8D" w:rsidRPr="00381F61" w:rsidRDefault="00B92C8D" w:rsidP="00E71CEB">
      <w:pPr>
        <w:widowControl w:val="0"/>
        <w:tabs>
          <w:tab w:val="center" w:pos="4153"/>
        </w:tabs>
        <w:ind w:left="709"/>
        <w:jc w:val="both"/>
        <w:rPr>
          <w:rFonts w:ascii="Garamond" w:hAnsi="Garamond"/>
        </w:rPr>
      </w:pPr>
    </w:p>
    <w:p w14:paraId="23E94845" w14:textId="519C3D14" w:rsidR="00B92C8D" w:rsidRPr="00381F61" w:rsidRDefault="00F519BC" w:rsidP="00E71CEB">
      <w:pPr>
        <w:widowControl w:val="0"/>
        <w:tabs>
          <w:tab w:val="center" w:pos="4153"/>
        </w:tabs>
        <w:ind w:left="709"/>
        <w:jc w:val="both"/>
        <w:rPr>
          <w:rFonts w:ascii="Garamond" w:hAnsi="Garamond"/>
        </w:rPr>
      </w:pPr>
      <w:r w:rsidRPr="00381F61">
        <w:rPr>
          <w:rFonts w:ascii="Garamond" w:hAnsi="Garamond"/>
          <w:b/>
        </w:rPr>
        <w:t>6</w:t>
      </w:r>
      <w:r w:rsidR="00B92C8D" w:rsidRPr="00381F61">
        <w:rPr>
          <w:rFonts w:ascii="Garamond" w:hAnsi="Garamond"/>
          <w:b/>
        </w:rPr>
        <w:t xml:space="preserve">.2 </w:t>
      </w:r>
      <w:r w:rsidR="00B51346" w:rsidRPr="00381F61">
        <w:rPr>
          <w:rFonts w:ascii="Garamond" w:hAnsi="Garamond"/>
          <w:b/>
        </w:rPr>
        <w:t xml:space="preserve"> </w:t>
      </w:r>
      <w:r w:rsidR="00B92C8D" w:rsidRPr="00381F61">
        <w:rPr>
          <w:rFonts w:ascii="Garamond" w:hAnsi="Garamond"/>
          <w:b/>
        </w:rPr>
        <w:t>State pension age:</w:t>
      </w:r>
      <w:r w:rsidR="00B92C8D" w:rsidRPr="00381F61">
        <w:rPr>
          <w:rFonts w:ascii="Garamond" w:hAnsi="Garamond"/>
        </w:rPr>
        <w:t xml:space="preserve">  The state pension age of 65 was first set in </w:t>
      </w:r>
      <w:r w:rsidR="00035F2F" w:rsidRPr="00381F61">
        <w:rPr>
          <w:rFonts w:ascii="Garamond" w:hAnsi="Garamond"/>
        </w:rPr>
        <w:t xml:space="preserve">the </w:t>
      </w:r>
      <w:r w:rsidR="00B92C8D" w:rsidRPr="00381F61">
        <w:rPr>
          <w:rFonts w:ascii="Garamond" w:hAnsi="Garamond"/>
        </w:rPr>
        <w:t>1898</w:t>
      </w:r>
      <w:r w:rsidR="00035F2F" w:rsidRPr="00381F61">
        <w:rPr>
          <w:rFonts w:ascii="Garamond" w:hAnsi="Garamond"/>
        </w:rPr>
        <w:t xml:space="preserve"> Old-age Pensions Act</w:t>
      </w:r>
      <w:r w:rsidR="005652FD" w:rsidRPr="00381F61">
        <w:rPr>
          <w:rFonts w:ascii="Garamond" w:hAnsi="Garamond"/>
        </w:rPr>
        <w:t xml:space="preserve"> (accessible </w:t>
      </w:r>
      <w:hyperlink r:id="rId20" w:history="1">
        <w:r w:rsidR="005652FD" w:rsidRPr="00381F61">
          <w:rPr>
            <w:rStyle w:val="Hyperlink"/>
            <w:rFonts w:ascii="Garamond" w:hAnsi="Garamond"/>
          </w:rPr>
          <w:t>here</w:t>
        </w:r>
      </w:hyperlink>
      <w:r w:rsidR="005652FD" w:rsidRPr="00381F61">
        <w:rPr>
          <w:rFonts w:ascii="Garamond" w:hAnsi="Garamond"/>
        </w:rPr>
        <w:t>)</w:t>
      </w:r>
      <w:r w:rsidR="00B92C8D" w:rsidRPr="00381F61">
        <w:rPr>
          <w:rFonts w:ascii="Garamond" w:hAnsi="Garamond"/>
        </w:rPr>
        <w:t>.  We flirted briefly with age 60 between 1977 and 1992 but, by 1 April 2001, it was back to age 65.</w:t>
      </w:r>
      <w:r w:rsidR="002A0947" w:rsidRPr="00381F61">
        <w:rPr>
          <w:rFonts w:ascii="Garamond" w:hAnsi="Garamond"/>
        </w:rPr>
        <w:t xml:space="preserve">  The </w:t>
      </w:r>
      <w:r w:rsidR="00793969" w:rsidRPr="00381F61">
        <w:rPr>
          <w:rFonts w:ascii="Garamond" w:hAnsi="Garamond"/>
        </w:rPr>
        <w:t xml:space="preserve">last </w:t>
      </w:r>
      <w:r w:rsidR="002A0947" w:rsidRPr="00381F61">
        <w:rPr>
          <w:rFonts w:ascii="Garamond" w:hAnsi="Garamond"/>
        </w:rPr>
        <w:t>government</w:t>
      </w:r>
      <w:r w:rsidR="00793969" w:rsidRPr="00381F61">
        <w:rPr>
          <w:rFonts w:ascii="Garamond" w:hAnsi="Garamond"/>
        </w:rPr>
        <w:t xml:space="preserve"> said it wanted to</w:t>
      </w:r>
      <w:r w:rsidR="002A0947" w:rsidRPr="00381F61">
        <w:rPr>
          <w:rFonts w:ascii="Garamond" w:hAnsi="Garamond"/>
        </w:rPr>
        <w:t xml:space="preserve"> see that increasing from 65 to 67 between 2037 and 2040</w:t>
      </w:r>
      <w:r w:rsidR="005A2736" w:rsidRPr="00381F61">
        <w:rPr>
          <w:rFonts w:ascii="Garamond" w:hAnsi="Garamond"/>
        </w:rPr>
        <w:t xml:space="preserve"> but the Prime Minister said</w:t>
      </w:r>
      <w:r w:rsidR="0095453E" w:rsidRPr="00381F61">
        <w:rPr>
          <w:rFonts w:ascii="Garamond" w:hAnsi="Garamond"/>
        </w:rPr>
        <w:t>, before the 2017 election, that</w:t>
      </w:r>
      <w:r w:rsidR="005A2736" w:rsidRPr="00381F61">
        <w:rPr>
          <w:rFonts w:ascii="Garamond" w:hAnsi="Garamond"/>
        </w:rPr>
        <w:t xml:space="preserve"> it will stay at age 65</w:t>
      </w:r>
      <w:r w:rsidR="001070F5" w:rsidRPr="00381F61">
        <w:rPr>
          <w:rStyle w:val="FootnoteReference"/>
          <w:rFonts w:ascii="Garamond" w:hAnsi="Garamond"/>
        </w:rPr>
        <w:footnoteReference w:id="48"/>
      </w:r>
      <w:r w:rsidR="005A2736" w:rsidRPr="00381F61">
        <w:rPr>
          <w:rFonts w:ascii="Garamond" w:hAnsi="Garamond"/>
        </w:rPr>
        <w:t>.</w:t>
      </w:r>
    </w:p>
    <w:p w14:paraId="03E8DDAE" w14:textId="77777777" w:rsidR="00B92C8D" w:rsidRPr="00381F61" w:rsidRDefault="00B92C8D" w:rsidP="00E71CEB">
      <w:pPr>
        <w:widowControl w:val="0"/>
        <w:tabs>
          <w:tab w:val="center" w:pos="4153"/>
        </w:tabs>
        <w:ind w:left="709"/>
        <w:jc w:val="both"/>
        <w:rPr>
          <w:rFonts w:ascii="Garamond" w:hAnsi="Garamond"/>
        </w:rPr>
      </w:pPr>
    </w:p>
    <w:p w14:paraId="177A9D50" w14:textId="71E00087" w:rsidR="00B92C8D" w:rsidRPr="00381F61" w:rsidRDefault="00B92C8D" w:rsidP="00E71CEB">
      <w:pPr>
        <w:widowControl w:val="0"/>
        <w:tabs>
          <w:tab w:val="center" w:pos="4153"/>
        </w:tabs>
        <w:ind w:left="709"/>
        <w:jc w:val="both"/>
        <w:rPr>
          <w:rFonts w:ascii="Garamond" w:hAnsi="Garamond"/>
        </w:rPr>
      </w:pPr>
      <w:r w:rsidRPr="00381F61">
        <w:rPr>
          <w:rFonts w:ascii="Garamond" w:hAnsi="Garamond"/>
        </w:rPr>
        <w:t xml:space="preserve">Why </w:t>
      </w:r>
      <w:r w:rsidR="00A30F32" w:rsidRPr="00381F61">
        <w:rPr>
          <w:rFonts w:ascii="Garamond" w:hAnsi="Garamond"/>
        </w:rPr>
        <w:t xml:space="preserve">the current </w:t>
      </w:r>
      <w:r w:rsidRPr="00381F61">
        <w:rPr>
          <w:rFonts w:ascii="Garamond" w:hAnsi="Garamond"/>
        </w:rPr>
        <w:t>age 65?</w:t>
      </w:r>
      <w:r w:rsidR="002A0947" w:rsidRPr="00381F61">
        <w:rPr>
          <w:rFonts w:ascii="Garamond" w:hAnsi="Garamond"/>
        </w:rPr>
        <w:t xml:space="preserve">  Why age 67?</w:t>
      </w:r>
      <w:r w:rsidRPr="00381F61">
        <w:rPr>
          <w:rFonts w:ascii="Garamond" w:hAnsi="Garamond"/>
        </w:rPr>
        <w:t xml:space="preserve">  There is no particular reason (physiological, physical or gerontological) to pick </w:t>
      </w:r>
      <w:r w:rsidRPr="00381F61">
        <w:rPr>
          <w:rFonts w:ascii="Garamond" w:hAnsi="Garamond"/>
          <w:u w:val="single"/>
        </w:rPr>
        <w:t>any</w:t>
      </w:r>
      <w:r w:rsidRPr="00381F61">
        <w:rPr>
          <w:rFonts w:ascii="Garamond" w:hAnsi="Garamond"/>
        </w:rPr>
        <w:t xml:space="preserve"> age because the appropriate age for an individual will be driven by many issues including health, availability of work, family circumstances, income, personal preferences and wealth.</w:t>
      </w:r>
    </w:p>
    <w:p w14:paraId="52C2C833" w14:textId="77777777" w:rsidR="00D43401" w:rsidRPr="00381F61" w:rsidRDefault="00D43401" w:rsidP="00E71CEB">
      <w:pPr>
        <w:widowControl w:val="0"/>
        <w:tabs>
          <w:tab w:val="center" w:pos="4153"/>
        </w:tabs>
        <w:ind w:left="709"/>
        <w:jc w:val="both"/>
        <w:rPr>
          <w:rFonts w:ascii="Garamond" w:hAnsi="Garamond"/>
        </w:rPr>
      </w:pPr>
    </w:p>
    <w:p w14:paraId="317AB912" w14:textId="5BB19126" w:rsidR="00D43401" w:rsidRPr="00381F61" w:rsidRDefault="00B96D3D" w:rsidP="00E71CEB">
      <w:pPr>
        <w:widowControl w:val="0"/>
        <w:tabs>
          <w:tab w:val="center" w:pos="4153"/>
        </w:tabs>
        <w:ind w:left="709"/>
        <w:jc w:val="both"/>
        <w:rPr>
          <w:rFonts w:ascii="Garamond" w:hAnsi="Garamond"/>
        </w:rPr>
      </w:pPr>
      <w:r w:rsidRPr="00381F61">
        <w:rPr>
          <w:rFonts w:ascii="Garamond" w:hAnsi="Garamond"/>
        </w:rPr>
        <w:t>Until 2019,</w:t>
      </w:r>
      <w:r w:rsidR="00D43401" w:rsidRPr="00381F61">
        <w:rPr>
          <w:rFonts w:ascii="Garamond" w:hAnsi="Garamond"/>
        </w:rPr>
        <w:t xml:space="preserve"> the </w:t>
      </w:r>
      <w:r w:rsidR="00CD7394" w:rsidRPr="00381F61">
        <w:rPr>
          <w:rFonts w:ascii="Garamond" w:hAnsi="Garamond"/>
        </w:rPr>
        <w:t>under-age-</w:t>
      </w:r>
      <w:r w:rsidR="00D43401" w:rsidRPr="00381F61">
        <w:rPr>
          <w:rFonts w:ascii="Garamond" w:hAnsi="Garamond"/>
        </w:rPr>
        <w:t>65 partner of a person who is over age 65 collect</w:t>
      </w:r>
      <w:r w:rsidRPr="00381F61">
        <w:rPr>
          <w:rFonts w:ascii="Garamond" w:hAnsi="Garamond"/>
        </w:rPr>
        <w:t>ed</w:t>
      </w:r>
      <w:r w:rsidR="00D43401" w:rsidRPr="00381F61">
        <w:rPr>
          <w:rFonts w:ascii="Garamond" w:hAnsi="Garamond"/>
        </w:rPr>
        <w:t xml:space="preserve"> the pension </w:t>
      </w:r>
      <w:r w:rsidR="00CD7394" w:rsidRPr="00381F61">
        <w:rPr>
          <w:rFonts w:ascii="Garamond" w:hAnsi="Garamond"/>
        </w:rPr>
        <w:t>on a means-tested basis</w:t>
      </w:r>
      <w:r w:rsidR="00D27102" w:rsidRPr="00381F61">
        <w:rPr>
          <w:rFonts w:ascii="Garamond" w:hAnsi="Garamond"/>
        </w:rPr>
        <w:t xml:space="preserve"> (the ‘non-qualifying partner option’)</w:t>
      </w:r>
      <w:r w:rsidR="00D43401" w:rsidRPr="00381F61">
        <w:rPr>
          <w:rFonts w:ascii="Garamond" w:hAnsi="Garamond"/>
        </w:rPr>
        <w:t>?  The Retirement Commissioner’s 2016 Review recommended abolishing this without offering any evidence to support that suggestion</w:t>
      </w:r>
      <w:r w:rsidR="00F5294D" w:rsidRPr="00381F61">
        <w:rPr>
          <w:rFonts w:ascii="Garamond" w:hAnsi="Garamond"/>
        </w:rPr>
        <w:t>, other than that the option exists and how much it might save to remove it</w:t>
      </w:r>
      <w:r w:rsidR="00CD7394" w:rsidRPr="00381F61">
        <w:rPr>
          <w:rStyle w:val="FootnoteReference"/>
          <w:rFonts w:ascii="Garamond" w:hAnsi="Garamond"/>
        </w:rPr>
        <w:footnoteReference w:id="49"/>
      </w:r>
      <w:r w:rsidR="00D43401" w:rsidRPr="00381F61">
        <w:rPr>
          <w:rFonts w:ascii="Garamond" w:hAnsi="Garamond"/>
        </w:rPr>
        <w:t xml:space="preserve">.  The </w:t>
      </w:r>
      <w:r w:rsidR="00C06228" w:rsidRPr="00381F61">
        <w:rPr>
          <w:rFonts w:ascii="Garamond" w:hAnsi="Garamond"/>
        </w:rPr>
        <w:t xml:space="preserve">last </w:t>
      </w:r>
      <w:r w:rsidR="00D43401" w:rsidRPr="00381F61">
        <w:rPr>
          <w:rFonts w:ascii="Garamond" w:hAnsi="Garamond"/>
        </w:rPr>
        <w:t xml:space="preserve">government rejected that </w:t>
      </w:r>
      <w:r w:rsidR="00F5294D" w:rsidRPr="00381F61">
        <w:rPr>
          <w:rFonts w:ascii="Garamond" w:hAnsi="Garamond"/>
        </w:rPr>
        <w:t>recommendation</w:t>
      </w:r>
      <w:r w:rsidR="00D43401" w:rsidRPr="00381F61">
        <w:rPr>
          <w:rFonts w:ascii="Garamond" w:hAnsi="Garamond"/>
        </w:rPr>
        <w:t>, in an evidence-free response</w:t>
      </w:r>
      <w:r w:rsidR="00D43401" w:rsidRPr="00381F61">
        <w:rPr>
          <w:rStyle w:val="FootnoteReference"/>
          <w:rFonts w:ascii="Garamond" w:hAnsi="Garamond"/>
        </w:rPr>
        <w:footnoteReference w:id="50"/>
      </w:r>
      <w:r w:rsidR="00D43401" w:rsidRPr="00381F61">
        <w:rPr>
          <w:rFonts w:ascii="Garamond" w:hAnsi="Garamond"/>
        </w:rPr>
        <w:t>.</w:t>
      </w:r>
      <w:r w:rsidRPr="00381F61">
        <w:rPr>
          <w:rFonts w:ascii="Garamond" w:hAnsi="Garamond"/>
        </w:rPr>
        <w:t xml:space="preserve">  However, it seems that </w:t>
      </w:r>
      <w:r w:rsidR="008C187F" w:rsidRPr="00381F61">
        <w:rPr>
          <w:rFonts w:ascii="Garamond" w:hAnsi="Garamond"/>
        </w:rPr>
        <w:t>this feature of NZS might disappear from 1 July 2020.  An unheralded post-Budget announcement by the Ministry of Social Development</w:t>
      </w:r>
      <w:r w:rsidR="008C187F" w:rsidRPr="00381F61">
        <w:rPr>
          <w:rStyle w:val="FootnoteReference"/>
          <w:rFonts w:ascii="Garamond" w:hAnsi="Garamond"/>
        </w:rPr>
        <w:footnoteReference w:id="51"/>
      </w:r>
      <w:r w:rsidR="008C187F" w:rsidRPr="00381F61">
        <w:rPr>
          <w:rFonts w:ascii="Garamond" w:hAnsi="Garamond"/>
        </w:rPr>
        <w:t xml:space="preserve"> stated:</w:t>
      </w:r>
    </w:p>
    <w:p w14:paraId="675AD56C" w14:textId="77777777" w:rsidR="008C187F" w:rsidRPr="00381F61" w:rsidRDefault="008C187F" w:rsidP="0041203F">
      <w:pPr>
        <w:pStyle w:val="Heading3"/>
        <w:shd w:val="clear" w:color="auto" w:fill="FFFFFF"/>
        <w:spacing w:before="0"/>
        <w:ind w:left="992"/>
        <w:rPr>
          <w:rFonts w:ascii="Garamond" w:hAnsi="Garamond" w:cs="Arial"/>
          <w:color w:val="222222"/>
          <w:sz w:val="22"/>
          <w:szCs w:val="22"/>
        </w:rPr>
      </w:pPr>
      <w:r w:rsidRPr="00381F61">
        <w:rPr>
          <w:rFonts w:ascii="Garamond" w:hAnsi="Garamond"/>
          <w:sz w:val="22"/>
          <w:szCs w:val="22"/>
        </w:rPr>
        <w:t>“</w:t>
      </w:r>
      <w:r w:rsidRPr="00381F61">
        <w:rPr>
          <w:rFonts w:ascii="Garamond" w:hAnsi="Garamond" w:cs="Arial"/>
          <w:b/>
          <w:bCs/>
          <w:color w:val="222222"/>
          <w:sz w:val="22"/>
          <w:szCs w:val="22"/>
        </w:rPr>
        <w:t>Non-qualifying partners</w:t>
      </w:r>
    </w:p>
    <w:p w14:paraId="22BA8B58" w14:textId="0C3CE9AD" w:rsidR="008C187F" w:rsidRPr="00381F61" w:rsidRDefault="008C187F" w:rsidP="0041203F">
      <w:pPr>
        <w:pStyle w:val="NormalWeb"/>
        <w:shd w:val="clear" w:color="auto" w:fill="FFFFFF"/>
        <w:spacing w:before="0" w:beforeAutospacing="0" w:after="0" w:afterAutospacing="0"/>
        <w:ind w:left="992"/>
        <w:rPr>
          <w:rFonts w:ascii="Garamond" w:hAnsi="Garamond" w:cs="Gill Sans"/>
          <w:color w:val="111111"/>
          <w:sz w:val="22"/>
          <w:szCs w:val="22"/>
        </w:rPr>
      </w:pPr>
      <w:r w:rsidRPr="00381F61">
        <w:rPr>
          <w:rFonts w:ascii="Garamond" w:hAnsi="Garamond" w:cs="Gill Sans"/>
          <w:color w:val="111111"/>
          <w:sz w:val="22"/>
          <w:szCs w:val="22"/>
        </w:rPr>
        <w:t>From 1 July 2020, if you have a partner and they don’t qualify for NZ Super or Veteran’s Pension, you won’t be able to include them in your payments. Your partner will need to qualify for NZ Super and Veteran’s Pension in their own right.”</w:t>
      </w:r>
    </w:p>
    <w:p w14:paraId="76875665" w14:textId="4291AD94" w:rsidR="008C187F" w:rsidRPr="00381F61" w:rsidRDefault="008C187F" w:rsidP="00E71CEB">
      <w:pPr>
        <w:widowControl w:val="0"/>
        <w:tabs>
          <w:tab w:val="center" w:pos="4153"/>
        </w:tabs>
        <w:ind w:left="709"/>
        <w:jc w:val="both"/>
        <w:rPr>
          <w:rFonts w:ascii="Garamond" w:hAnsi="Garamond"/>
        </w:rPr>
      </w:pPr>
    </w:p>
    <w:p w14:paraId="69BCE818" w14:textId="70AC8C70" w:rsidR="008C187F" w:rsidRPr="00381F61" w:rsidRDefault="008C187F" w:rsidP="00E71CEB">
      <w:pPr>
        <w:widowControl w:val="0"/>
        <w:tabs>
          <w:tab w:val="center" w:pos="4153"/>
        </w:tabs>
        <w:ind w:left="709"/>
        <w:jc w:val="both"/>
        <w:rPr>
          <w:rFonts w:ascii="Garamond" w:hAnsi="Garamond"/>
        </w:rPr>
      </w:pPr>
      <w:r w:rsidRPr="00381F61">
        <w:rPr>
          <w:rFonts w:ascii="Garamond" w:hAnsi="Garamond"/>
        </w:rPr>
        <w:t>No further information on this was available at our report’s release date.  However, it seems that, from 1 July 2020, each of a partner will have to wait until age 65 to claim NZS</w:t>
      </w:r>
      <w:r w:rsidR="0041203F" w:rsidRPr="00381F61">
        <w:rPr>
          <w:rFonts w:ascii="Garamond" w:hAnsi="Garamond"/>
        </w:rPr>
        <w:t xml:space="preserve"> but </w:t>
      </w:r>
      <w:r w:rsidR="00130B7F">
        <w:rPr>
          <w:rFonts w:ascii="Garamond" w:hAnsi="Garamond"/>
        </w:rPr>
        <w:t>i</w:t>
      </w:r>
      <w:r w:rsidR="0041203F" w:rsidRPr="00381F61">
        <w:rPr>
          <w:rFonts w:ascii="Garamond" w:hAnsi="Garamond"/>
        </w:rPr>
        <w:t>t will not affect existing spouse s who have already applied.</w:t>
      </w:r>
    </w:p>
    <w:p w14:paraId="3850334F" w14:textId="77777777" w:rsidR="00B92C8D" w:rsidRPr="00381F61" w:rsidRDefault="00B92C8D" w:rsidP="00E71CEB">
      <w:pPr>
        <w:widowControl w:val="0"/>
        <w:tabs>
          <w:tab w:val="center" w:pos="4153"/>
        </w:tabs>
        <w:ind w:left="709"/>
        <w:jc w:val="both"/>
        <w:rPr>
          <w:rFonts w:ascii="Garamond" w:hAnsi="Garamond"/>
        </w:rPr>
      </w:pPr>
    </w:p>
    <w:p w14:paraId="17CCCFD1" w14:textId="5BD36095" w:rsidR="00B92C8D" w:rsidRPr="00381F61" w:rsidRDefault="00B92C8D" w:rsidP="00E71CEB">
      <w:pPr>
        <w:widowControl w:val="0"/>
        <w:tabs>
          <w:tab w:val="center" w:pos="4153"/>
        </w:tabs>
        <w:ind w:left="709"/>
        <w:jc w:val="both"/>
        <w:rPr>
          <w:rFonts w:ascii="Garamond" w:hAnsi="Garamond"/>
        </w:rPr>
      </w:pPr>
      <w:r w:rsidRPr="00381F61">
        <w:rPr>
          <w:rFonts w:ascii="Garamond" w:hAnsi="Garamond"/>
        </w:rPr>
        <w:t>Retirement, as a universal ‘entitlement’, is a relatively recent phenomenon.  In 1910, two out of three US men age 65 and over were actively employed.  Even at age 72, male participation in the labour market was over 50%</w:t>
      </w:r>
      <w:r w:rsidRPr="00381F61">
        <w:rPr>
          <w:rStyle w:val="FootnoteReference"/>
          <w:rFonts w:ascii="Garamond" w:hAnsi="Garamond"/>
        </w:rPr>
        <w:footnoteReference w:id="52"/>
      </w:r>
      <w:r w:rsidRPr="00381F61">
        <w:rPr>
          <w:rFonts w:ascii="Garamond" w:hAnsi="Garamond"/>
        </w:rPr>
        <w:t>.  The percentage of US men age 65 and over who worked fell to about 50% in 1950 and then below 20% in 1980.  By 1990, it had fallen to 16%</w:t>
      </w:r>
      <w:r w:rsidRPr="00381F61">
        <w:rPr>
          <w:rStyle w:val="FootnoteReference"/>
          <w:rFonts w:ascii="Garamond" w:hAnsi="Garamond"/>
        </w:rPr>
        <w:footnoteReference w:id="53"/>
      </w:r>
      <w:r w:rsidRPr="00381F61">
        <w:rPr>
          <w:rFonts w:ascii="Garamond" w:hAnsi="Garamond"/>
        </w:rPr>
        <w:t xml:space="preserve"> and has now (2014) </w:t>
      </w:r>
      <w:r w:rsidR="00FF3288" w:rsidRPr="00381F61">
        <w:rPr>
          <w:rFonts w:ascii="Garamond" w:hAnsi="Garamond"/>
        </w:rPr>
        <w:t xml:space="preserve">climbed back </w:t>
      </w:r>
      <w:r w:rsidRPr="00381F61">
        <w:rPr>
          <w:rFonts w:ascii="Garamond" w:hAnsi="Garamond"/>
        </w:rPr>
        <w:t>to 17.4%</w:t>
      </w:r>
      <w:r w:rsidRPr="00381F61">
        <w:rPr>
          <w:rStyle w:val="FootnoteReference"/>
          <w:rFonts w:ascii="Garamond" w:hAnsi="Garamond"/>
        </w:rPr>
        <w:footnoteReference w:id="54"/>
      </w:r>
      <w:r w:rsidRPr="00381F61">
        <w:rPr>
          <w:rFonts w:ascii="Garamond" w:hAnsi="Garamond"/>
        </w:rPr>
        <w:t>, probably because the state pension age for US Social Security is now 66</w:t>
      </w:r>
      <w:r w:rsidR="000E0620" w:rsidRPr="00381F61">
        <w:rPr>
          <w:rFonts w:ascii="Garamond" w:hAnsi="Garamond"/>
        </w:rPr>
        <w:t xml:space="preserve"> years and two months</w:t>
      </w:r>
      <w:r w:rsidRPr="00381F61">
        <w:rPr>
          <w:rFonts w:ascii="Garamond" w:hAnsi="Garamond"/>
        </w:rPr>
        <w:t xml:space="preserve"> and is increasing to 67 </w:t>
      </w:r>
      <w:r w:rsidRPr="00381F61">
        <w:rPr>
          <w:rFonts w:ascii="Garamond" w:hAnsi="Garamond"/>
        </w:rPr>
        <w:lastRenderedPageBreak/>
        <w:t>by 2027.</w:t>
      </w:r>
      <w:r w:rsidR="00057770" w:rsidRPr="00381F61">
        <w:rPr>
          <w:rFonts w:ascii="Garamond" w:hAnsi="Garamond"/>
        </w:rPr>
        <w:t xml:space="preserve">  Of </w:t>
      </w:r>
      <w:r w:rsidR="00057770" w:rsidRPr="00381F61">
        <w:rPr>
          <w:rFonts w:ascii="Garamond" w:hAnsi="Garamond"/>
          <w:u w:val="single"/>
        </w:rPr>
        <w:t>all</w:t>
      </w:r>
      <w:r w:rsidR="00057770" w:rsidRPr="00381F61">
        <w:rPr>
          <w:rFonts w:ascii="Garamond" w:hAnsi="Garamond"/>
        </w:rPr>
        <w:t xml:space="preserve"> US citizens over the age of 65, </w:t>
      </w:r>
      <w:r w:rsidR="002D2FCD" w:rsidRPr="00381F61">
        <w:rPr>
          <w:rFonts w:ascii="Garamond" w:hAnsi="Garamond"/>
        </w:rPr>
        <w:t>20</w:t>
      </w:r>
      <w:r w:rsidR="00057770" w:rsidRPr="00381F61">
        <w:rPr>
          <w:rFonts w:ascii="Garamond" w:hAnsi="Garamond"/>
        </w:rPr>
        <w:t>% now work</w:t>
      </w:r>
      <w:r w:rsidR="00C825DF" w:rsidRPr="00381F61">
        <w:rPr>
          <w:rStyle w:val="FootnoteReference"/>
          <w:rFonts w:ascii="Garamond" w:hAnsi="Garamond"/>
        </w:rPr>
        <w:footnoteReference w:id="55"/>
      </w:r>
      <w:r w:rsidR="00057770" w:rsidRPr="00381F61">
        <w:rPr>
          <w:rFonts w:ascii="Garamond" w:hAnsi="Garamond"/>
        </w:rPr>
        <w:t>.</w:t>
      </w:r>
    </w:p>
    <w:p w14:paraId="57AAA266" w14:textId="77777777" w:rsidR="00B92C8D" w:rsidRPr="00381F61" w:rsidRDefault="00B92C8D" w:rsidP="00E71CEB">
      <w:pPr>
        <w:widowControl w:val="0"/>
        <w:tabs>
          <w:tab w:val="center" w:pos="4153"/>
        </w:tabs>
        <w:ind w:left="709"/>
        <w:jc w:val="both"/>
        <w:rPr>
          <w:rFonts w:ascii="Garamond" w:hAnsi="Garamond"/>
        </w:rPr>
      </w:pPr>
    </w:p>
    <w:p w14:paraId="522E3F03" w14:textId="4C33A9BD" w:rsidR="00B92C8D" w:rsidRPr="00381F61" w:rsidRDefault="00B92C8D" w:rsidP="00E71CEB">
      <w:pPr>
        <w:widowControl w:val="0"/>
        <w:tabs>
          <w:tab w:val="center" w:pos="4153"/>
        </w:tabs>
        <w:ind w:left="709"/>
        <w:jc w:val="both"/>
        <w:rPr>
          <w:rFonts w:ascii="Garamond" w:hAnsi="Garamond"/>
        </w:rPr>
      </w:pPr>
      <w:r w:rsidRPr="00381F61">
        <w:rPr>
          <w:rFonts w:ascii="Garamond" w:hAnsi="Garamond"/>
        </w:rPr>
        <w:t>New Zealand’s participation rate for all those aged 65+ fell to as low as 6.4% in 1986.  It’s now (201</w:t>
      </w:r>
      <w:r w:rsidR="008C771F" w:rsidRPr="00381F61">
        <w:rPr>
          <w:rFonts w:ascii="Garamond" w:hAnsi="Garamond"/>
        </w:rPr>
        <w:t>7</w:t>
      </w:r>
      <w:r w:rsidRPr="00381F61">
        <w:rPr>
          <w:rFonts w:ascii="Garamond" w:hAnsi="Garamond"/>
        </w:rPr>
        <w:t>) 2</w:t>
      </w:r>
      <w:r w:rsidR="006A0166" w:rsidRPr="00381F61">
        <w:rPr>
          <w:rFonts w:ascii="Garamond" w:hAnsi="Garamond"/>
        </w:rPr>
        <w:t>3</w:t>
      </w:r>
      <w:r w:rsidRPr="00381F61">
        <w:rPr>
          <w:rFonts w:ascii="Garamond" w:hAnsi="Garamond"/>
        </w:rPr>
        <w:t xml:space="preserve">% and </w:t>
      </w:r>
      <w:r w:rsidR="008C771F" w:rsidRPr="00381F61">
        <w:rPr>
          <w:rFonts w:ascii="Garamond" w:hAnsi="Garamond"/>
        </w:rPr>
        <w:t xml:space="preserve"> “will increase slightly” over the following 21 years to 2018</w:t>
      </w:r>
      <w:r w:rsidRPr="00381F61">
        <w:rPr>
          <w:rStyle w:val="FootnoteReference"/>
          <w:rFonts w:ascii="Garamond" w:hAnsi="Garamond"/>
        </w:rPr>
        <w:footnoteReference w:id="56"/>
      </w:r>
      <w:r w:rsidRPr="00381F61">
        <w:rPr>
          <w:rFonts w:ascii="Garamond" w:hAnsi="Garamond"/>
        </w:rPr>
        <w:t>.</w:t>
      </w:r>
    </w:p>
    <w:p w14:paraId="1583FF19" w14:textId="77777777" w:rsidR="00B92C8D" w:rsidRPr="00381F61" w:rsidRDefault="00B92C8D" w:rsidP="00E71CEB">
      <w:pPr>
        <w:widowControl w:val="0"/>
        <w:tabs>
          <w:tab w:val="center" w:pos="4153"/>
        </w:tabs>
        <w:ind w:left="709"/>
        <w:jc w:val="both"/>
        <w:rPr>
          <w:rFonts w:ascii="Garamond" w:hAnsi="Garamond"/>
        </w:rPr>
      </w:pPr>
    </w:p>
    <w:p w14:paraId="7DC4F463" w14:textId="462E2A03" w:rsidR="00B92C8D" w:rsidRPr="00381F61" w:rsidRDefault="00B92C8D" w:rsidP="00E71CEB">
      <w:pPr>
        <w:widowControl w:val="0"/>
        <w:tabs>
          <w:tab w:val="center" w:pos="4153"/>
        </w:tabs>
        <w:ind w:left="709"/>
        <w:jc w:val="both"/>
        <w:rPr>
          <w:rFonts w:ascii="Garamond" w:hAnsi="Garamond"/>
        </w:rPr>
      </w:pPr>
      <w:r w:rsidRPr="00381F61">
        <w:rPr>
          <w:rFonts w:ascii="Garamond" w:hAnsi="Garamond"/>
        </w:rPr>
        <w:t>When the government chooses a state pension age, it must balance social issues, labour market efficiencies, voter satisfaction and fiscal considerations</w:t>
      </w:r>
      <w:r w:rsidR="00EB1DE9" w:rsidRPr="00381F61">
        <w:rPr>
          <w:rStyle w:val="FootnoteReference"/>
          <w:rFonts w:ascii="Garamond" w:hAnsi="Garamond"/>
        </w:rPr>
        <w:footnoteReference w:id="57"/>
      </w:r>
      <w:r w:rsidRPr="00381F61">
        <w:rPr>
          <w:rFonts w:ascii="Garamond" w:hAnsi="Garamond"/>
        </w:rPr>
        <w:t>.  Some suggest that, with improving mortality, we should be seeing a natural increase in the state pension age, certainly by comparison with the position that prevailed in 1898</w:t>
      </w:r>
      <w:r w:rsidRPr="00381F61">
        <w:rPr>
          <w:rStyle w:val="FootnoteReference"/>
          <w:rFonts w:ascii="Garamond" w:hAnsi="Garamond"/>
        </w:rPr>
        <w:footnoteReference w:id="58"/>
      </w:r>
      <w:r w:rsidRPr="00381F61">
        <w:rPr>
          <w:rFonts w:ascii="Garamond" w:hAnsi="Garamond"/>
        </w:rPr>
        <w:t>.  The state pension age is now, perhaps, one of the most significant single elements of public welfare policy, one that ha</w:t>
      </w:r>
      <w:r w:rsidR="00035F2F" w:rsidRPr="00381F61">
        <w:rPr>
          <w:rFonts w:ascii="Garamond" w:hAnsi="Garamond"/>
        </w:rPr>
        <w:t>s, in essence, persisted for 119</w:t>
      </w:r>
      <w:r w:rsidRPr="00381F61">
        <w:rPr>
          <w:rFonts w:ascii="Garamond" w:hAnsi="Garamond"/>
        </w:rPr>
        <w:t xml:space="preserve"> years.</w:t>
      </w:r>
      <w:r w:rsidR="00DE5F71" w:rsidRPr="00381F61">
        <w:rPr>
          <w:rFonts w:ascii="Garamond" w:hAnsi="Garamond"/>
        </w:rPr>
        <w:t xml:space="preserve">  But what is the impact on other programmes such as ACC weekly compensation?</w:t>
      </w:r>
      <w:r w:rsidR="0013103C" w:rsidRPr="00381F61">
        <w:rPr>
          <w:rFonts w:ascii="Garamond" w:hAnsi="Garamond"/>
        </w:rPr>
        <w:t xml:space="preserve">  What is the impact on private insurance like disability income insurance?</w:t>
      </w:r>
    </w:p>
    <w:p w14:paraId="4B2B84D0" w14:textId="77777777" w:rsidR="00B92C8D" w:rsidRPr="00381F61" w:rsidRDefault="00B92C8D" w:rsidP="00E71CEB">
      <w:pPr>
        <w:widowControl w:val="0"/>
        <w:tabs>
          <w:tab w:val="center" w:pos="4153"/>
        </w:tabs>
        <w:ind w:left="709"/>
        <w:jc w:val="both"/>
        <w:rPr>
          <w:rFonts w:ascii="Garamond" w:hAnsi="Garamond"/>
        </w:rPr>
      </w:pPr>
    </w:p>
    <w:p w14:paraId="26E0BA49" w14:textId="280CC0A4" w:rsidR="00B92C8D" w:rsidRPr="00381F61" w:rsidRDefault="00B92C8D" w:rsidP="00E71CEB">
      <w:pPr>
        <w:widowControl w:val="0"/>
        <w:tabs>
          <w:tab w:val="center" w:pos="4153"/>
        </w:tabs>
        <w:ind w:left="709"/>
        <w:jc w:val="both"/>
        <w:rPr>
          <w:rFonts w:ascii="Garamond" w:hAnsi="Garamond"/>
        </w:rPr>
      </w:pPr>
      <w:r w:rsidRPr="00381F61">
        <w:rPr>
          <w:rFonts w:ascii="Garamond" w:hAnsi="Garamond"/>
        </w:rPr>
        <w:t>The amount and quality of the information we have on issues associated with the fixing of a state pension age are inadequate.  We need to discuss the distortions created by the present state pension age on the work/retirement decision.  We do not know fundamental facts such as when New Zealanders stop working (not when they ‘retire’), when they can afford to stop working or when they would prefer to stop and finally what the progress is from fulltime work to ‘fulltime’ retirement.</w:t>
      </w:r>
      <w:r w:rsidR="001C7E30" w:rsidRPr="00381F61">
        <w:rPr>
          <w:rFonts w:ascii="Garamond" w:hAnsi="Garamond"/>
        </w:rPr>
        <w:t xml:space="preserve">  There is more on this in section 1</w:t>
      </w:r>
      <w:r w:rsidR="000856CF" w:rsidRPr="00381F61">
        <w:rPr>
          <w:rFonts w:ascii="Garamond" w:hAnsi="Garamond"/>
        </w:rPr>
        <w:t>6</w:t>
      </w:r>
      <w:r w:rsidR="001C7E30" w:rsidRPr="00381F61">
        <w:rPr>
          <w:rFonts w:ascii="Garamond" w:hAnsi="Garamond"/>
        </w:rPr>
        <w:t xml:space="preserve"> (When do New Zealanders retire?).</w:t>
      </w:r>
    </w:p>
    <w:p w14:paraId="2FE0EE35" w14:textId="77777777" w:rsidR="00B92C8D" w:rsidRPr="00381F61" w:rsidRDefault="00B92C8D" w:rsidP="00E71CEB">
      <w:pPr>
        <w:widowControl w:val="0"/>
        <w:tabs>
          <w:tab w:val="center" w:pos="4153"/>
        </w:tabs>
        <w:ind w:left="709"/>
        <w:jc w:val="both"/>
        <w:rPr>
          <w:rFonts w:ascii="Garamond" w:hAnsi="Garamond"/>
        </w:rPr>
      </w:pPr>
    </w:p>
    <w:p w14:paraId="4078AE3F" w14:textId="529981E2" w:rsidR="00B92C8D" w:rsidRPr="00381F61" w:rsidRDefault="00F519BC" w:rsidP="00E71CEB">
      <w:pPr>
        <w:widowControl w:val="0"/>
        <w:tabs>
          <w:tab w:val="center" w:pos="4153"/>
        </w:tabs>
        <w:ind w:left="709"/>
        <w:jc w:val="both"/>
        <w:rPr>
          <w:rFonts w:ascii="Garamond" w:hAnsi="Garamond"/>
        </w:rPr>
      </w:pPr>
      <w:r w:rsidRPr="00381F61">
        <w:rPr>
          <w:rFonts w:ascii="Garamond" w:hAnsi="Garamond"/>
          <w:b/>
        </w:rPr>
        <w:t>6</w:t>
      </w:r>
      <w:r w:rsidR="00B92C8D" w:rsidRPr="00381F61">
        <w:rPr>
          <w:rFonts w:ascii="Garamond" w:hAnsi="Garamond"/>
          <w:b/>
        </w:rPr>
        <w:t xml:space="preserve">.3 </w:t>
      </w:r>
      <w:r w:rsidR="0064217B" w:rsidRPr="00381F61">
        <w:rPr>
          <w:rFonts w:ascii="Garamond" w:hAnsi="Garamond"/>
          <w:b/>
        </w:rPr>
        <w:t xml:space="preserve"> </w:t>
      </w:r>
      <w:r w:rsidR="00B92C8D" w:rsidRPr="00381F61">
        <w:rPr>
          <w:rFonts w:ascii="Garamond" w:hAnsi="Garamond"/>
          <w:b/>
        </w:rPr>
        <w:t>Residency test:</w:t>
      </w:r>
      <w:r w:rsidR="00B92C8D" w:rsidRPr="00381F61">
        <w:rPr>
          <w:rFonts w:ascii="Garamond" w:hAnsi="Garamond"/>
        </w:rPr>
        <w:t xml:space="preserve">  We pay NZS from age 65 to anyone who has lived in New Zealand for ten years after age 20 with five of those being after age 50.  </w:t>
      </w:r>
      <w:r w:rsidR="001D6D40" w:rsidRPr="00381F61">
        <w:rPr>
          <w:rFonts w:ascii="Garamond" w:hAnsi="Garamond"/>
        </w:rPr>
        <w:t xml:space="preserve">The </w:t>
      </w:r>
      <w:r w:rsidR="00D33279" w:rsidRPr="00381F61">
        <w:rPr>
          <w:rFonts w:ascii="Garamond" w:hAnsi="Garamond"/>
        </w:rPr>
        <w:t xml:space="preserve">last </w:t>
      </w:r>
      <w:r w:rsidR="001D6D40" w:rsidRPr="00381F61">
        <w:rPr>
          <w:rFonts w:ascii="Garamond" w:hAnsi="Garamond"/>
        </w:rPr>
        <w:t>government</w:t>
      </w:r>
      <w:r w:rsidR="00D33279" w:rsidRPr="00381F61">
        <w:rPr>
          <w:rFonts w:ascii="Garamond" w:hAnsi="Garamond"/>
        </w:rPr>
        <w:t xml:space="preserve"> suggested that should</w:t>
      </w:r>
      <w:r w:rsidR="001D6D40" w:rsidRPr="00381F61">
        <w:rPr>
          <w:rFonts w:ascii="Garamond" w:hAnsi="Garamond"/>
        </w:rPr>
        <w:t xml:space="preserve"> increase to 20 years, with full effect from 2037</w:t>
      </w:r>
      <w:r w:rsidR="009D7AEB" w:rsidRPr="00381F61">
        <w:rPr>
          <w:rFonts w:ascii="Garamond" w:hAnsi="Garamond"/>
        </w:rPr>
        <w:t>.  The current government has not declared itself on that proposal.</w:t>
      </w:r>
      <w:r w:rsidR="009D7AEB" w:rsidRPr="00381F61">
        <w:rPr>
          <w:rStyle w:val="FootnoteReference"/>
          <w:rFonts w:ascii="Garamond" w:hAnsi="Garamond"/>
        </w:rPr>
        <w:footnoteReference w:id="59"/>
      </w:r>
      <w:r w:rsidR="001D6D40" w:rsidRPr="00381F61">
        <w:rPr>
          <w:rFonts w:ascii="Garamond" w:hAnsi="Garamond"/>
        </w:rPr>
        <w:t xml:space="preserve">.  </w:t>
      </w:r>
      <w:r w:rsidR="00B92C8D" w:rsidRPr="00381F61">
        <w:rPr>
          <w:rFonts w:ascii="Garamond" w:hAnsi="Garamond"/>
        </w:rPr>
        <w:t xml:space="preserve">Why </w:t>
      </w:r>
      <w:r w:rsidR="001D6D40" w:rsidRPr="00381F61">
        <w:rPr>
          <w:rFonts w:ascii="Garamond" w:hAnsi="Garamond"/>
        </w:rPr>
        <w:t>20</w:t>
      </w:r>
      <w:r w:rsidR="00B92C8D" w:rsidRPr="00381F61">
        <w:rPr>
          <w:rFonts w:ascii="Garamond" w:hAnsi="Garamond"/>
        </w:rPr>
        <w:t xml:space="preserve"> years?  Why </w:t>
      </w:r>
      <w:r w:rsidR="002D2E3E" w:rsidRPr="00381F61">
        <w:rPr>
          <w:rFonts w:ascii="Garamond" w:hAnsi="Garamond"/>
        </w:rPr>
        <w:t>10</w:t>
      </w:r>
      <w:r w:rsidR="00B92C8D" w:rsidRPr="00381F61">
        <w:rPr>
          <w:rFonts w:ascii="Garamond" w:hAnsi="Garamond"/>
        </w:rPr>
        <w:t xml:space="preserve"> years and </w:t>
      </w:r>
      <w:r w:rsidR="00076086" w:rsidRPr="00381F61">
        <w:rPr>
          <w:rFonts w:ascii="Garamond" w:hAnsi="Garamond"/>
        </w:rPr>
        <w:t>why ages 20 and 50?</w:t>
      </w:r>
      <w:r w:rsidR="004A57C2" w:rsidRPr="00381F61">
        <w:rPr>
          <w:rStyle w:val="FootnoteReference"/>
          <w:rFonts w:ascii="Garamond" w:hAnsi="Garamond"/>
        </w:rPr>
        <w:footnoteReference w:id="60"/>
      </w:r>
      <w:r w:rsidR="00B92C8D" w:rsidRPr="00381F61">
        <w:rPr>
          <w:rFonts w:ascii="Garamond" w:hAnsi="Garamond"/>
        </w:rPr>
        <w:t>.</w:t>
      </w:r>
    </w:p>
    <w:p w14:paraId="489FA652" w14:textId="77777777" w:rsidR="00B92C8D" w:rsidRPr="00381F61" w:rsidRDefault="00B92C8D" w:rsidP="00E71CEB">
      <w:pPr>
        <w:widowControl w:val="0"/>
        <w:tabs>
          <w:tab w:val="center" w:pos="4153"/>
        </w:tabs>
        <w:ind w:left="709"/>
        <w:jc w:val="both"/>
        <w:rPr>
          <w:rFonts w:ascii="Garamond" w:hAnsi="Garamond"/>
        </w:rPr>
      </w:pPr>
    </w:p>
    <w:p w14:paraId="6E3FDE0D" w14:textId="58C8EB34" w:rsidR="00B92C8D" w:rsidRPr="00381F61" w:rsidRDefault="00F519BC" w:rsidP="00E71CEB">
      <w:pPr>
        <w:widowControl w:val="0"/>
        <w:tabs>
          <w:tab w:val="center" w:pos="4153"/>
        </w:tabs>
        <w:ind w:left="709"/>
        <w:jc w:val="both"/>
        <w:rPr>
          <w:rFonts w:ascii="Garamond" w:hAnsi="Garamond"/>
        </w:rPr>
      </w:pPr>
      <w:r w:rsidRPr="00381F61">
        <w:rPr>
          <w:rFonts w:ascii="Garamond" w:hAnsi="Garamond"/>
          <w:b/>
        </w:rPr>
        <w:t>6</w:t>
      </w:r>
      <w:r w:rsidR="00B92C8D" w:rsidRPr="00381F61">
        <w:rPr>
          <w:rFonts w:ascii="Garamond" w:hAnsi="Garamond"/>
          <w:b/>
        </w:rPr>
        <w:t xml:space="preserve">.4 </w:t>
      </w:r>
      <w:r w:rsidR="0064217B" w:rsidRPr="00381F61">
        <w:rPr>
          <w:rFonts w:ascii="Garamond" w:hAnsi="Garamond"/>
          <w:b/>
        </w:rPr>
        <w:t xml:space="preserve"> </w:t>
      </w:r>
      <w:r w:rsidR="00B92C8D" w:rsidRPr="00381F61">
        <w:rPr>
          <w:rFonts w:ascii="Garamond" w:hAnsi="Garamond"/>
          <w:b/>
        </w:rPr>
        <w:t>How much?</w:t>
      </w:r>
      <w:r w:rsidR="00B92C8D" w:rsidRPr="00381F61">
        <w:rPr>
          <w:rFonts w:ascii="Garamond" w:hAnsi="Garamond"/>
        </w:rPr>
        <w:t xml:space="preserve">  The size of the pension has had a more varied history.  The age pension was modest (and both income- and asset-te</w:t>
      </w:r>
      <w:r w:rsidR="0064217B" w:rsidRPr="00381F61">
        <w:rPr>
          <w:rFonts w:ascii="Garamond" w:hAnsi="Garamond"/>
        </w:rPr>
        <w:t>sted</w:t>
      </w:r>
      <w:r w:rsidR="001C7E30" w:rsidRPr="00381F61">
        <w:rPr>
          <w:rStyle w:val="FootnoteReference"/>
          <w:rFonts w:ascii="Garamond" w:hAnsi="Garamond"/>
        </w:rPr>
        <w:footnoteReference w:id="61"/>
      </w:r>
      <w:r w:rsidR="0064217B" w:rsidRPr="00381F61">
        <w:rPr>
          <w:rFonts w:ascii="Garamond" w:hAnsi="Garamond"/>
        </w:rPr>
        <w:t>) when it started</w:t>
      </w:r>
      <w:r w:rsidR="00961956" w:rsidRPr="00381F61">
        <w:rPr>
          <w:rFonts w:ascii="Garamond" w:hAnsi="Garamond"/>
        </w:rPr>
        <w:t xml:space="preserve"> in 1898</w:t>
      </w:r>
      <w:r w:rsidR="00B92C8D" w:rsidRPr="00381F61">
        <w:rPr>
          <w:rFonts w:ascii="Garamond" w:hAnsi="Garamond"/>
        </w:rPr>
        <w:t>.  By 1940, the single person’s pension was about 29% of the then national average wage (on a ‘gross to gross’ basis).  Over the following 35 years to 1975, it fluctuated between, roughly, 27</w:t>
      </w:r>
      <w:r w:rsidR="00412CC1" w:rsidRPr="00381F61">
        <w:rPr>
          <w:rFonts w:ascii="Garamond" w:hAnsi="Garamond"/>
        </w:rPr>
        <w:t>%</w:t>
      </w:r>
      <w:r w:rsidR="00B92C8D" w:rsidRPr="00381F61">
        <w:rPr>
          <w:rFonts w:ascii="Garamond" w:hAnsi="Garamond"/>
        </w:rPr>
        <w:t>-</w:t>
      </w:r>
      <w:r w:rsidR="00B92C8D" w:rsidRPr="00381F61">
        <w:rPr>
          <w:rFonts w:ascii="Garamond" w:hAnsi="Garamond"/>
        </w:rPr>
        <w:lastRenderedPageBreak/>
        <w:t xml:space="preserve">35%.  The introduction of ‘National Superannuation’ in 1977 saw a major lift but, in spite of the highly politicised nature of the issue since then, </w:t>
      </w:r>
      <w:r w:rsidR="00D33279" w:rsidRPr="00381F61">
        <w:rPr>
          <w:rFonts w:ascii="Garamond" w:hAnsi="Garamond"/>
        </w:rPr>
        <w:t xml:space="preserve">the single person’s pension </w:t>
      </w:r>
      <w:r w:rsidR="00B92C8D" w:rsidRPr="00381F61">
        <w:rPr>
          <w:rFonts w:ascii="Garamond" w:hAnsi="Garamond"/>
        </w:rPr>
        <w:t>has fluctuated over the last 30 years between about 40-47% of the national average</w:t>
      </w:r>
      <w:r w:rsidR="00E30276" w:rsidRPr="00381F61">
        <w:rPr>
          <w:rFonts w:ascii="Garamond" w:hAnsi="Garamond"/>
        </w:rPr>
        <w:t xml:space="preserve"> wage (which was $</w:t>
      </w:r>
      <w:r w:rsidR="00D33279" w:rsidRPr="00381F61">
        <w:rPr>
          <w:rFonts w:ascii="Garamond" w:hAnsi="Garamond"/>
        </w:rPr>
        <w:t>62,443</w:t>
      </w:r>
      <w:r w:rsidR="00B92C8D" w:rsidRPr="00381F61">
        <w:rPr>
          <w:rFonts w:ascii="Garamond" w:hAnsi="Garamond"/>
        </w:rPr>
        <w:t xml:space="preserve"> before tax as of December 201</w:t>
      </w:r>
      <w:r w:rsidR="00D33279" w:rsidRPr="00381F61">
        <w:rPr>
          <w:rFonts w:ascii="Garamond" w:hAnsi="Garamond"/>
        </w:rPr>
        <w:t>8</w:t>
      </w:r>
      <w:r w:rsidR="00B92C8D" w:rsidRPr="00381F61">
        <w:rPr>
          <w:rStyle w:val="FootnoteReference"/>
          <w:rFonts w:ascii="Garamond" w:hAnsi="Garamond"/>
        </w:rPr>
        <w:footnoteReference w:id="62"/>
      </w:r>
      <w:r w:rsidR="00D33279" w:rsidRPr="00381F61">
        <w:rPr>
          <w:rFonts w:ascii="Garamond" w:hAnsi="Garamond"/>
        </w:rPr>
        <w:t>; and $49,822 a year after tax and ACC levies</w:t>
      </w:r>
      <w:r w:rsidR="00117434" w:rsidRPr="00381F61">
        <w:rPr>
          <w:rFonts w:ascii="Garamond" w:hAnsi="Garamond"/>
        </w:rPr>
        <w:t>).  Currently, NZS is 40</w:t>
      </w:r>
      <w:r w:rsidR="00B92C8D" w:rsidRPr="00381F61">
        <w:rPr>
          <w:rFonts w:ascii="Garamond" w:hAnsi="Garamond"/>
        </w:rPr>
        <w:t>% on a pre-tax basis</w:t>
      </w:r>
      <w:r w:rsidR="00B92C8D" w:rsidRPr="00381F61">
        <w:rPr>
          <w:rStyle w:val="FootnoteReference"/>
          <w:rFonts w:ascii="Garamond" w:hAnsi="Garamond"/>
        </w:rPr>
        <w:footnoteReference w:id="63"/>
      </w:r>
      <w:r w:rsidR="00B92C8D" w:rsidRPr="00381F61">
        <w:rPr>
          <w:rFonts w:ascii="Garamond" w:hAnsi="Garamond"/>
        </w:rPr>
        <w:t xml:space="preserve"> for a single person living alone (43% on a net-to-net basis).</w:t>
      </w:r>
    </w:p>
    <w:p w14:paraId="7DA46FB9" w14:textId="77777777" w:rsidR="00B92C8D" w:rsidRPr="00381F61" w:rsidRDefault="00B92C8D" w:rsidP="00E71CEB">
      <w:pPr>
        <w:widowControl w:val="0"/>
        <w:tabs>
          <w:tab w:val="center" w:pos="4153"/>
        </w:tabs>
        <w:ind w:left="709"/>
        <w:jc w:val="both"/>
        <w:rPr>
          <w:rFonts w:ascii="Garamond" w:hAnsi="Garamond"/>
        </w:rPr>
      </w:pPr>
    </w:p>
    <w:p w14:paraId="633AB4FE" w14:textId="51F4312B" w:rsidR="00B92C8D" w:rsidRPr="00381F61" w:rsidRDefault="00B92C8D" w:rsidP="00E71CEB">
      <w:pPr>
        <w:widowControl w:val="0"/>
        <w:tabs>
          <w:tab w:val="center" w:pos="4153"/>
        </w:tabs>
        <w:ind w:left="709"/>
        <w:jc w:val="both"/>
        <w:rPr>
          <w:rFonts w:ascii="Garamond" w:hAnsi="Garamond"/>
        </w:rPr>
      </w:pPr>
      <w:r w:rsidRPr="00381F61">
        <w:rPr>
          <w:rFonts w:ascii="Garamond" w:hAnsi="Garamond"/>
        </w:rPr>
        <w:t>In 1989, the then Labour government decided that the after-tax married couple’s rate should lie between 65% and 72.5% of the after-tax national average wage</w:t>
      </w:r>
      <w:r w:rsidRPr="00381F61">
        <w:rPr>
          <w:rStyle w:val="FootnoteReference"/>
          <w:rFonts w:ascii="Garamond" w:hAnsi="Garamond"/>
        </w:rPr>
        <w:footnoteReference w:id="64"/>
      </w:r>
      <w:r w:rsidRPr="00381F61">
        <w:rPr>
          <w:rFonts w:ascii="Garamond" w:hAnsi="Garamond"/>
        </w:rPr>
        <w:t>.  Currently, it is a net 66%.  There was no public debate at the time about this and no ‘science’ to it other than that it was less than the then-current rate and was expected to sa</w:t>
      </w:r>
      <w:r w:rsidR="003A693E" w:rsidRPr="00381F61">
        <w:rPr>
          <w:rFonts w:ascii="Garamond" w:hAnsi="Garamond"/>
        </w:rPr>
        <w:t>ve a significant amount.</w:t>
      </w:r>
    </w:p>
    <w:p w14:paraId="1B43F24D" w14:textId="77777777" w:rsidR="00B92C8D" w:rsidRPr="00381F61" w:rsidRDefault="00B92C8D" w:rsidP="00E71CEB">
      <w:pPr>
        <w:widowControl w:val="0"/>
        <w:tabs>
          <w:tab w:val="center" w:pos="4153"/>
        </w:tabs>
        <w:ind w:left="709"/>
        <w:jc w:val="both"/>
        <w:rPr>
          <w:rFonts w:ascii="Garamond" w:hAnsi="Garamond"/>
        </w:rPr>
      </w:pPr>
    </w:p>
    <w:p w14:paraId="2B25A226" w14:textId="57567627" w:rsidR="00B92C8D" w:rsidRPr="00381F61" w:rsidRDefault="00B92C8D" w:rsidP="00E71CEB">
      <w:pPr>
        <w:widowControl w:val="0"/>
        <w:tabs>
          <w:tab w:val="center" w:pos="4153"/>
        </w:tabs>
        <w:ind w:left="709"/>
        <w:jc w:val="both"/>
        <w:rPr>
          <w:rFonts w:ascii="Garamond" w:hAnsi="Garamond"/>
        </w:rPr>
      </w:pPr>
      <w:r w:rsidRPr="00381F61">
        <w:rPr>
          <w:rFonts w:ascii="Garamond" w:hAnsi="Garamond"/>
        </w:rPr>
        <w:t xml:space="preserve">Is 65% </w:t>
      </w:r>
      <w:r w:rsidR="00D33279" w:rsidRPr="00381F61">
        <w:rPr>
          <w:rFonts w:ascii="Garamond" w:hAnsi="Garamond"/>
        </w:rPr>
        <w:t xml:space="preserve">(or 66%) </w:t>
      </w:r>
      <w:r w:rsidRPr="00381F61">
        <w:rPr>
          <w:rFonts w:ascii="Garamond" w:hAnsi="Garamond"/>
        </w:rPr>
        <w:t xml:space="preserve">enough or too much?  One measure of adequacy might be to eliminate poverty in old age; another might be to ensure ‘participation and belonging’.  </w:t>
      </w:r>
      <w:r w:rsidR="002331C7" w:rsidRPr="00381F61">
        <w:rPr>
          <w:rFonts w:ascii="Garamond" w:hAnsi="Garamond"/>
        </w:rPr>
        <w:t>New Zealand</w:t>
      </w:r>
      <w:r w:rsidRPr="00381F61">
        <w:rPr>
          <w:rFonts w:ascii="Garamond" w:hAnsi="Garamond"/>
        </w:rPr>
        <w:t xml:space="preserve"> need</w:t>
      </w:r>
      <w:r w:rsidR="002331C7" w:rsidRPr="00381F61">
        <w:rPr>
          <w:rFonts w:ascii="Garamond" w:hAnsi="Garamond"/>
        </w:rPr>
        <w:t>s</w:t>
      </w:r>
      <w:r w:rsidRPr="00381F61">
        <w:rPr>
          <w:rFonts w:ascii="Garamond" w:hAnsi="Garamond"/>
        </w:rPr>
        <w:t xml:space="preserve"> to decide what the welfare objective of NZS should be, how to test that and how to measure changes over time to ensure the objective is reached</w:t>
      </w:r>
      <w:r w:rsidRPr="00381F61">
        <w:rPr>
          <w:rStyle w:val="FootnoteReference"/>
          <w:rFonts w:ascii="Garamond" w:hAnsi="Garamond"/>
        </w:rPr>
        <w:footnoteReference w:id="65"/>
      </w:r>
      <w:r w:rsidRPr="00381F61">
        <w:rPr>
          <w:rFonts w:ascii="Garamond" w:hAnsi="Garamond"/>
        </w:rPr>
        <w:t>.</w:t>
      </w:r>
    </w:p>
    <w:p w14:paraId="38EC59A4" w14:textId="77777777" w:rsidR="00B92C8D" w:rsidRPr="00381F61" w:rsidRDefault="00B92C8D" w:rsidP="00E71CEB">
      <w:pPr>
        <w:widowControl w:val="0"/>
        <w:tabs>
          <w:tab w:val="center" w:pos="4153"/>
        </w:tabs>
        <w:ind w:left="709"/>
        <w:jc w:val="both"/>
        <w:rPr>
          <w:rFonts w:ascii="Garamond" w:hAnsi="Garamond"/>
        </w:rPr>
      </w:pPr>
    </w:p>
    <w:p w14:paraId="1964547D" w14:textId="357F316E" w:rsidR="00B92C8D" w:rsidRPr="00381F61" w:rsidRDefault="00F519BC" w:rsidP="00E71CEB">
      <w:pPr>
        <w:widowControl w:val="0"/>
        <w:tabs>
          <w:tab w:val="center" w:pos="4153"/>
        </w:tabs>
        <w:ind w:left="709"/>
        <w:jc w:val="both"/>
        <w:rPr>
          <w:rFonts w:ascii="Garamond" w:hAnsi="Garamond"/>
        </w:rPr>
      </w:pPr>
      <w:r w:rsidRPr="00381F61">
        <w:rPr>
          <w:rFonts w:ascii="Garamond" w:hAnsi="Garamond"/>
          <w:b/>
        </w:rPr>
        <w:t>6</w:t>
      </w:r>
      <w:r w:rsidR="00B92C8D" w:rsidRPr="00381F61">
        <w:rPr>
          <w:rFonts w:ascii="Garamond" w:hAnsi="Garamond"/>
          <w:b/>
        </w:rPr>
        <w:t xml:space="preserve">.5 </w:t>
      </w:r>
      <w:r w:rsidR="00035F2F" w:rsidRPr="00381F61">
        <w:rPr>
          <w:rFonts w:ascii="Garamond" w:hAnsi="Garamond"/>
          <w:b/>
        </w:rPr>
        <w:t xml:space="preserve"> </w:t>
      </w:r>
      <w:r w:rsidR="00B92C8D" w:rsidRPr="00381F61">
        <w:rPr>
          <w:rFonts w:ascii="Garamond" w:hAnsi="Garamond"/>
          <w:b/>
        </w:rPr>
        <w:t>How re-valued?</w:t>
      </w:r>
      <w:r w:rsidR="00B92C8D" w:rsidRPr="00381F61">
        <w:rPr>
          <w:rFonts w:ascii="Garamond" w:hAnsi="Garamond"/>
        </w:rPr>
        <w:t xml:space="preserve">  Until </w:t>
      </w:r>
      <w:r w:rsidR="007F40D6" w:rsidRPr="00381F61">
        <w:rPr>
          <w:rFonts w:ascii="Garamond" w:hAnsi="Garamond"/>
        </w:rPr>
        <w:t>‘</w:t>
      </w:r>
      <w:r w:rsidR="00B92C8D" w:rsidRPr="00381F61">
        <w:rPr>
          <w:rFonts w:ascii="Garamond" w:hAnsi="Garamond"/>
        </w:rPr>
        <w:t>National Superannuation</w:t>
      </w:r>
      <w:r w:rsidR="007F40D6" w:rsidRPr="00381F61">
        <w:rPr>
          <w:rFonts w:ascii="Garamond" w:hAnsi="Garamond"/>
        </w:rPr>
        <w:t>’</w:t>
      </w:r>
      <w:r w:rsidR="00B92C8D" w:rsidRPr="00381F61">
        <w:rPr>
          <w:rFonts w:ascii="Garamond" w:hAnsi="Garamond"/>
        </w:rPr>
        <w:t xml:space="preserve"> of 1977, there had been no formal link between the pension and any measure of real value.  National Superannuation made that link with the national average wage in 1977.  As a country, we have never discussed whether the pension should be linked to anything in particular though </w:t>
      </w:r>
      <w:r w:rsidR="00622195" w:rsidRPr="00381F61">
        <w:rPr>
          <w:rFonts w:ascii="Garamond" w:hAnsi="Garamond"/>
        </w:rPr>
        <w:t>some reviews</w:t>
      </w:r>
      <w:r w:rsidR="00B92C8D" w:rsidRPr="00381F61">
        <w:rPr>
          <w:rFonts w:ascii="Garamond" w:hAnsi="Garamond"/>
        </w:rPr>
        <w:t xml:space="preserve"> have recommended that it be changed</w:t>
      </w:r>
      <w:r w:rsidR="00550E6F" w:rsidRPr="00381F61">
        <w:rPr>
          <w:rStyle w:val="FootnoteReference"/>
          <w:rFonts w:ascii="Garamond" w:hAnsi="Garamond"/>
        </w:rPr>
        <w:footnoteReference w:id="66"/>
      </w:r>
      <w:r w:rsidR="00B92C8D" w:rsidRPr="00381F61">
        <w:rPr>
          <w:rFonts w:ascii="Garamond" w:hAnsi="Garamond"/>
        </w:rPr>
        <w:t xml:space="preserve">.  Currently the measure is a combination of the after-tax, national average, ordinary-time wage and the Consumer Price Index.  Is that the best?  Some say it should instead be linked to economic output; others to prices alone; yet others to a mix of prices and incomes.  </w:t>
      </w:r>
      <w:r w:rsidR="00776DDA" w:rsidRPr="00381F61">
        <w:rPr>
          <w:rFonts w:ascii="Garamond" w:hAnsi="Garamond"/>
        </w:rPr>
        <w:t>Some</w:t>
      </w:r>
      <w:r w:rsidR="00B92C8D" w:rsidRPr="00381F61">
        <w:rPr>
          <w:rFonts w:ascii="Garamond" w:hAnsi="Garamond"/>
        </w:rPr>
        <w:t xml:space="preserve"> say that the CPI does not fairly reflect the prices faced by pensioners and that NZS should be m</w:t>
      </w:r>
      <w:r w:rsidR="00776DDA" w:rsidRPr="00381F61">
        <w:rPr>
          <w:rFonts w:ascii="Garamond" w:hAnsi="Garamond"/>
        </w:rPr>
        <w:t>easured against a ‘superannuitan</w:t>
      </w:r>
      <w:r w:rsidR="00B92C8D" w:rsidRPr="00381F61">
        <w:rPr>
          <w:rFonts w:ascii="Garamond" w:hAnsi="Garamond"/>
        </w:rPr>
        <w:t>ts</w:t>
      </w:r>
      <w:r w:rsidR="004E4119" w:rsidRPr="00381F61">
        <w:rPr>
          <w:rFonts w:ascii="Garamond" w:hAnsi="Garamond"/>
        </w:rPr>
        <w:t>’</w:t>
      </w:r>
      <w:r w:rsidR="00B92C8D" w:rsidRPr="00381F61">
        <w:rPr>
          <w:rFonts w:ascii="Garamond" w:hAnsi="Garamond"/>
        </w:rPr>
        <w:t xml:space="preserve"> price index’</w:t>
      </w:r>
      <w:r w:rsidR="00E47D3D" w:rsidRPr="00381F61">
        <w:rPr>
          <w:rStyle w:val="FootnoteReference"/>
          <w:rFonts w:ascii="Garamond" w:hAnsi="Garamond"/>
        </w:rPr>
        <w:footnoteReference w:id="67"/>
      </w:r>
      <w:r w:rsidR="00B92C8D" w:rsidRPr="00381F61">
        <w:rPr>
          <w:rFonts w:ascii="Garamond" w:hAnsi="Garamond"/>
        </w:rPr>
        <w:t>.  We have never had a research-led discussion about the alternatives and their implications.</w:t>
      </w:r>
    </w:p>
    <w:p w14:paraId="50B73D9B" w14:textId="77777777" w:rsidR="00B92C8D" w:rsidRPr="00381F61" w:rsidRDefault="00B92C8D" w:rsidP="00E71CEB">
      <w:pPr>
        <w:widowControl w:val="0"/>
        <w:tabs>
          <w:tab w:val="center" w:pos="4153"/>
        </w:tabs>
        <w:ind w:left="709"/>
        <w:jc w:val="both"/>
        <w:rPr>
          <w:rFonts w:ascii="Garamond" w:hAnsi="Garamond"/>
        </w:rPr>
      </w:pPr>
    </w:p>
    <w:p w14:paraId="7ED0F82B" w14:textId="783E2096" w:rsidR="00B92C8D" w:rsidRPr="00381F61" w:rsidRDefault="00F519BC" w:rsidP="00E71CEB">
      <w:pPr>
        <w:widowControl w:val="0"/>
        <w:tabs>
          <w:tab w:val="center" w:pos="4153"/>
        </w:tabs>
        <w:ind w:left="709"/>
        <w:jc w:val="both"/>
        <w:rPr>
          <w:rFonts w:ascii="Garamond" w:hAnsi="Garamond"/>
        </w:rPr>
      </w:pPr>
      <w:r w:rsidRPr="00381F61">
        <w:rPr>
          <w:rFonts w:ascii="Garamond" w:hAnsi="Garamond"/>
          <w:b/>
        </w:rPr>
        <w:t>6</w:t>
      </w:r>
      <w:r w:rsidR="00B92C8D" w:rsidRPr="00381F61">
        <w:rPr>
          <w:rFonts w:ascii="Garamond" w:hAnsi="Garamond"/>
          <w:b/>
        </w:rPr>
        <w:t xml:space="preserve">.6 </w:t>
      </w:r>
      <w:r w:rsidR="007667AF" w:rsidRPr="00381F61">
        <w:rPr>
          <w:rFonts w:ascii="Garamond" w:hAnsi="Garamond"/>
          <w:b/>
        </w:rPr>
        <w:t xml:space="preserve"> </w:t>
      </w:r>
      <w:r w:rsidR="00B92C8D" w:rsidRPr="00381F61">
        <w:rPr>
          <w:rFonts w:ascii="Garamond" w:hAnsi="Garamond"/>
          <w:b/>
        </w:rPr>
        <w:t>How paid for?</w:t>
      </w:r>
      <w:r w:rsidR="00B92C8D" w:rsidRPr="00381F61">
        <w:rPr>
          <w:rFonts w:ascii="Garamond" w:hAnsi="Garamond"/>
        </w:rPr>
        <w:t xml:space="preserve">  Until 2001, New Zealand paid for NZS on a pay-as-you-go (PAYGO) basis.  There was a ‘Social Security Fund’ between 1938 and 1964 but that was little more than a bookkeeping arrangement.  In 2001, the government decided</w:t>
      </w:r>
      <w:r w:rsidR="00776DDA" w:rsidRPr="00381F61">
        <w:rPr>
          <w:rFonts w:ascii="Garamond" w:hAnsi="Garamond"/>
        </w:rPr>
        <w:t>, without debate,</w:t>
      </w:r>
      <w:r w:rsidR="00B92C8D" w:rsidRPr="00381F61">
        <w:rPr>
          <w:rFonts w:ascii="Garamond" w:hAnsi="Garamond"/>
        </w:rPr>
        <w:t xml:space="preserve"> that New Zealand needed to partially pre-fund the expected cost of NZS through contributing to the New Zealand Superannuation Fund (NZSF) that would invest in capital markets. </w:t>
      </w:r>
      <w:r w:rsidR="00B92C8D" w:rsidRPr="00381F61">
        <w:rPr>
          <w:rFonts w:ascii="Garamond" w:hAnsi="Garamond"/>
        </w:rPr>
        <w:lastRenderedPageBreak/>
        <w:t xml:space="preserve">This means that NZS </w:t>
      </w:r>
      <w:r w:rsidR="001437C0" w:rsidRPr="00381F61">
        <w:rPr>
          <w:rFonts w:ascii="Garamond" w:hAnsi="Garamond"/>
        </w:rPr>
        <w:t xml:space="preserve">is </w:t>
      </w:r>
      <w:r w:rsidR="00B92C8D" w:rsidRPr="00381F61">
        <w:rPr>
          <w:rFonts w:ascii="Garamond" w:hAnsi="Garamond"/>
        </w:rPr>
        <w:t>still largely PAYGO</w:t>
      </w:r>
      <w:r w:rsidR="002019F4" w:rsidRPr="00381F61">
        <w:rPr>
          <w:rFonts w:ascii="Garamond" w:hAnsi="Garamond"/>
        </w:rPr>
        <w:t>,</w:t>
      </w:r>
      <w:r w:rsidR="00B92C8D" w:rsidRPr="00381F61">
        <w:rPr>
          <w:rFonts w:ascii="Garamond" w:hAnsi="Garamond"/>
        </w:rPr>
        <w:t xml:space="preserve"> but a little bit pre-funded</w:t>
      </w:r>
      <w:r w:rsidR="001A7BF8" w:rsidRPr="00381F61">
        <w:rPr>
          <w:rStyle w:val="FootnoteReference"/>
          <w:rFonts w:ascii="Garamond" w:hAnsi="Garamond"/>
        </w:rPr>
        <w:footnoteReference w:id="68"/>
      </w:r>
      <w:r w:rsidR="00B92C8D" w:rsidRPr="00381F61">
        <w:rPr>
          <w:rFonts w:ascii="Garamond" w:hAnsi="Garamond"/>
        </w:rPr>
        <w:t>.</w:t>
      </w:r>
    </w:p>
    <w:p w14:paraId="35E24D54" w14:textId="77777777" w:rsidR="00B92C8D" w:rsidRPr="00381F61" w:rsidRDefault="00B92C8D" w:rsidP="00E71CEB">
      <w:pPr>
        <w:widowControl w:val="0"/>
        <w:tabs>
          <w:tab w:val="center" w:pos="4153"/>
        </w:tabs>
        <w:ind w:left="709"/>
        <w:jc w:val="both"/>
        <w:rPr>
          <w:rFonts w:ascii="Garamond" w:hAnsi="Garamond"/>
        </w:rPr>
      </w:pPr>
    </w:p>
    <w:p w14:paraId="0C1B5548" w14:textId="7C0CE499" w:rsidR="00B92C8D" w:rsidRPr="00381F61" w:rsidRDefault="00B92C8D" w:rsidP="00E71CEB">
      <w:pPr>
        <w:widowControl w:val="0"/>
        <w:tabs>
          <w:tab w:val="center" w:pos="4153"/>
        </w:tabs>
        <w:ind w:left="709"/>
        <w:jc w:val="both"/>
        <w:rPr>
          <w:rFonts w:ascii="Garamond" w:hAnsi="Garamond"/>
        </w:rPr>
      </w:pPr>
      <w:r w:rsidRPr="00381F61">
        <w:rPr>
          <w:rFonts w:ascii="Garamond" w:hAnsi="Garamond"/>
        </w:rPr>
        <w:t>We did not have a research-led debate when the NZSF started in 2001.  Some think the role of the NZSF should be significantly extended</w:t>
      </w:r>
      <w:r w:rsidR="00AA7AEC" w:rsidRPr="00381F61">
        <w:rPr>
          <w:rStyle w:val="FootnoteReference"/>
          <w:rFonts w:ascii="Garamond" w:hAnsi="Garamond"/>
        </w:rPr>
        <w:footnoteReference w:id="69"/>
      </w:r>
      <w:r w:rsidRPr="00381F61">
        <w:rPr>
          <w:rFonts w:ascii="Garamond" w:hAnsi="Garamond"/>
        </w:rPr>
        <w:t>; others that the NZSF be dismantled and the proceeds used to reduce government debt</w:t>
      </w:r>
      <w:r w:rsidR="00FC757C" w:rsidRPr="00381F61">
        <w:rPr>
          <w:rStyle w:val="FootnoteReference"/>
          <w:rFonts w:ascii="Garamond" w:hAnsi="Garamond"/>
        </w:rPr>
        <w:footnoteReference w:id="70"/>
      </w:r>
      <w:r w:rsidRPr="00381F61">
        <w:rPr>
          <w:rFonts w:ascii="Garamond" w:hAnsi="Garamond"/>
        </w:rPr>
        <w:t>.  Regardless, New Zealand needs to understand the economic and political considerations of the alternatives.</w:t>
      </w:r>
      <w:r w:rsidR="00F55FC0" w:rsidRPr="00381F61">
        <w:rPr>
          <w:rFonts w:ascii="Garamond" w:hAnsi="Garamond"/>
        </w:rPr>
        <w:t xml:space="preserve">  The next section </w:t>
      </w:r>
      <w:r w:rsidR="000856CF" w:rsidRPr="00381F61">
        <w:rPr>
          <w:rFonts w:ascii="Garamond" w:hAnsi="Garamond"/>
        </w:rPr>
        <w:t>7</w:t>
      </w:r>
      <w:r w:rsidR="00F55FC0" w:rsidRPr="00381F61">
        <w:rPr>
          <w:rFonts w:ascii="Garamond" w:hAnsi="Garamond"/>
        </w:rPr>
        <w:t xml:space="preserve"> (The place of the New Zealand Superannuation Fund) looks at this.</w:t>
      </w:r>
    </w:p>
    <w:p w14:paraId="08B1A731" w14:textId="77777777" w:rsidR="00B92C8D" w:rsidRPr="00381F61" w:rsidRDefault="00B92C8D" w:rsidP="00E71CEB">
      <w:pPr>
        <w:widowControl w:val="0"/>
        <w:tabs>
          <w:tab w:val="center" w:pos="4153"/>
        </w:tabs>
        <w:ind w:left="709"/>
        <w:jc w:val="both"/>
        <w:rPr>
          <w:rFonts w:ascii="Garamond" w:hAnsi="Garamond"/>
        </w:rPr>
      </w:pPr>
    </w:p>
    <w:p w14:paraId="00D9A72F" w14:textId="6D34D2A7" w:rsidR="00B92C8D" w:rsidRPr="00381F61" w:rsidRDefault="00F519BC" w:rsidP="00E71CEB">
      <w:pPr>
        <w:widowControl w:val="0"/>
        <w:tabs>
          <w:tab w:val="center" w:pos="4153"/>
        </w:tabs>
        <w:ind w:left="709"/>
        <w:jc w:val="both"/>
        <w:rPr>
          <w:rFonts w:ascii="Garamond" w:hAnsi="Garamond"/>
        </w:rPr>
      </w:pPr>
      <w:r w:rsidRPr="00381F61">
        <w:rPr>
          <w:rFonts w:ascii="Garamond" w:hAnsi="Garamond"/>
          <w:b/>
        </w:rPr>
        <w:t>6</w:t>
      </w:r>
      <w:r w:rsidR="00B92C8D" w:rsidRPr="00381F61">
        <w:rPr>
          <w:rFonts w:ascii="Garamond" w:hAnsi="Garamond"/>
          <w:b/>
        </w:rPr>
        <w:t xml:space="preserve">.7 </w:t>
      </w:r>
      <w:r w:rsidR="007667AF" w:rsidRPr="00381F61">
        <w:rPr>
          <w:rFonts w:ascii="Garamond" w:hAnsi="Garamond"/>
          <w:b/>
        </w:rPr>
        <w:t xml:space="preserve"> </w:t>
      </w:r>
      <w:r w:rsidR="00B92C8D" w:rsidRPr="00381F61">
        <w:rPr>
          <w:rFonts w:ascii="Garamond" w:hAnsi="Garamond"/>
          <w:b/>
        </w:rPr>
        <w:t>Payments to single people:</w:t>
      </w:r>
      <w:r w:rsidR="00B92C8D" w:rsidRPr="00381F61">
        <w:rPr>
          <w:rFonts w:ascii="Garamond" w:hAnsi="Garamond"/>
        </w:rPr>
        <w:t xml:space="preserve"> Why is a single person, living alone, entitled to </w:t>
      </w:r>
      <w:r w:rsidR="007667AF" w:rsidRPr="00381F61">
        <w:rPr>
          <w:rFonts w:ascii="Garamond" w:hAnsi="Garamond"/>
        </w:rPr>
        <w:t xml:space="preserve">at least </w:t>
      </w:r>
      <w:r w:rsidR="00B92C8D" w:rsidRPr="00381F61">
        <w:rPr>
          <w:rFonts w:ascii="Garamond" w:hAnsi="Garamond"/>
        </w:rPr>
        <w:t>65% of the married couple’s combined rate (section 16(1)(b) of the Act</w:t>
      </w:r>
      <w:r w:rsidR="000D1D5E" w:rsidRPr="00381F61">
        <w:rPr>
          <w:rFonts w:ascii="Garamond" w:hAnsi="Garamond"/>
        </w:rPr>
        <w:t xml:space="preserve"> accessible </w:t>
      </w:r>
      <w:hyperlink r:id="rId21" w:history="1">
        <w:r w:rsidR="000D1D5E" w:rsidRPr="00381F61">
          <w:rPr>
            <w:rStyle w:val="Hyperlink"/>
            <w:rFonts w:ascii="Garamond" w:hAnsi="Garamond"/>
          </w:rPr>
          <w:t>here</w:t>
        </w:r>
      </w:hyperlink>
      <w:r w:rsidR="00B92C8D" w:rsidRPr="00381F61">
        <w:rPr>
          <w:rFonts w:ascii="Garamond" w:hAnsi="Garamond"/>
        </w:rPr>
        <w:t>)?  Why is a single person living with others entitled to 60% of the married couple’s combined rate (section 16(1)(c) of the Act)?  Why do we pay a married couple less in total than two single people who live together?  Are these amounts adequate (or too much)?  When was the empirical work done to see whether the proportions might be other than they are?</w:t>
      </w:r>
    </w:p>
    <w:p w14:paraId="52720640" w14:textId="77777777" w:rsidR="00B92C8D" w:rsidRPr="00381F61" w:rsidRDefault="00B92C8D" w:rsidP="00E71CEB">
      <w:pPr>
        <w:widowControl w:val="0"/>
        <w:tabs>
          <w:tab w:val="center" w:pos="4153"/>
        </w:tabs>
        <w:ind w:left="709"/>
        <w:jc w:val="both"/>
        <w:rPr>
          <w:rFonts w:ascii="Garamond" w:hAnsi="Garamond"/>
        </w:rPr>
      </w:pPr>
    </w:p>
    <w:p w14:paraId="0290FB9A" w14:textId="096FCD7E" w:rsidR="00B92C8D" w:rsidRPr="00381F61" w:rsidRDefault="00F519BC" w:rsidP="00E71CEB">
      <w:pPr>
        <w:widowControl w:val="0"/>
        <w:tabs>
          <w:tab w:val="center" w:pos="4153"/>
        </w:tabs>
        <w:ind w:left="709"/>
        <w:jc w:val="both"/>
        <w:rPr>
          <w:rFonts w:ascii="Garamond" w:hAnsi="Garamond"/>
        </w:rPr>
      </w:pPr>
      <w:r w:rsidRPr="00381F61">
        <w:rPr>
          <w:rFonts w:ascii="Garamond" w:hAnsi="Garamond"/>
          <w:b/>
        </w:rPr>
        <w:t>6</w:t>
      </w:r>
      <w:r w:rsidR="00B92C8D" w:rsidRPr="00381F61">
        <w:rPr>
          <w:rFonts w:ascii="Garamond" w:hAnsi="Garamond"/>
          <w:b/>
        </w:rPr>
        <w:t xml:space="preserve">.8 </w:t>
      </w:r>
      <w:r w:rsidR="00422A0D" w:rsidRPr="00381F61">
        <w:rPr>
          <w:rFonts w:ascii="Garamond" w:hAnsi="Garamond"/>
          <w:b/>
        </w:rPr>
        <w:t xml:space="preserve"> </w:t>
      </w:r>
      <w:r w:rsidR="00B92C8D" w:rsidRPr="00381F61">
        <w:rPr>
          <w:rFonts w:ascii="Garamond" w:hAnsi="Garamond"/>
          <w:b/>
        </w:rPr>
        <w:t>Overseas pensions:</w:t>
      </w:r>
      <w:r w:rsidR="00B92C8D" w:rsidRPr="00381F61">
        <w:rPr>
          <w:rFonts w:ascii="Garamond" w:hAnsi="Garamond"/>
        </w:rPr>
        <w:t xml:space="preserve"> The present regime for deducting equivalent overseas pensions from a resident’s entitlement to NZS under section 70 of the Social Security Act 1964 is a confused, inconsistent</w:t>
      </w:r>
      <w:r w:rsidR="009813F7" w:rsidRPr="00381F61">
        <w:rPr>
          <w:rFonts w:ascii="Garamond" w:hAnsi="Garamond"/>
        </w:rPr>
        <w:t>, indefensible</w:t>
      </w:r>
      <w:r w:rsidR="00B92C8D" w:rsidRPr="00381F61">
        <w:rPr>
          <w:rFonts w:ascii="Garamond" w:hAnsi="Garamond"/>
        </w:rPr>
        <w:t xml:space="preserve"> mess.  Many commentators have suggested that the treatment of overseas pensions needs an urgent review and that should happen anyway.  However, it should preferably be part of the proposed research-led debate</w:t>
      </w:r>
      <w:r w:rsidR="001A7BF8" w:rsidRPr="00381F61">
        <w:rPr>
          <w:rFonts w:ascii="Garamond" w:hAnsi="Garamond"/>
        </w:rPr>
        <w:t xml:space="preserve"> on NZS as a whole</w:t>
      </w:r>
      <w:r w:rsidR="00B92C8D" w:rsidRPr="00381F61">
        <w:rPr>
          <w:rFonts w:ascii="Garamond" w:hAnsi="Garamond"/>
        </w:rPr>
        <w:t>.</w:t>
      </w:r>
      <w:r w:rsidR="00F55FC0" w:rsidRPr="00381F61">
        <w:rPr>
          <w:rFonts w:ascii="Garamond" w:hAnsi="Garamond"/>
        </w:rPr>
        <w:t xml:space="preserve">  Section </w:t>
      </w:r>
      <w:r w:rsidR="000856CF" w:rsidRPr="00381F61">
        <w:rPr>
          <w:rFonts w:ascii="Garamond" w:hAnsi="Garamond"/>
        </w:rPr>
        <w:t>8</w:t>
      </w:r>
      <w:r w:rsidR="00F55FC0" w:rsidRPr="00381F61">
        <w:rPr>
          <w:rFonts w:ascii="Garamond" w:hAnsi="Garamond"/>
        </w:rPr>
        <w:t xml:space="preserve"> (Overseas pensions and section 70 deductions)</w:t>
      </w:r>
      <w:r w:rsidR="00422A0D" w:rsidRPr="00381F61">
        <w:rPr>
          <w:rFonts w:ascii="Garamond" w:hAnsi="Garamond"/>
        </w:rPr>
        <w:t xml:space="preserve"> below looks at this issue in more detail</w:t>
      </w:r>
      <w:r w:rsidR="00F55FC0" w:rsidRPr="00381F61">
        <w:rPr>
          <w:rFonts w:ascii="Garamond" w:hAnsi="Garamond"/>
        </w:rPr>
        <w:t>.</w:t>
      </w:r>
    </w:p>
    <w:p w14:paraId="1A5CCCCE" w14:textId="77777777" w:rsidR="00B92C8D" w:rsidRPr="00381F61" w:rsidRDefault="00B92C8D" w:rsidP="00E71CEB">
      <w:pPr>
        <w:widowControl w:val="0"/>
        <w:tabs>
          <w:tab w:val="center" w:pos="4153"/>
        </w:tabs>
        <w:ind w:left="709"/>
        <w:jc w:val="both"/>
        <w:rPr>
          <w:rFonts w:ascii="Garamond" w:hAnsi="Garamond"/>
        </w:rPr>
      </w:pPr>
    </w:p>
    <w:p w14:paraId="0FC0D110" w14:textId="5C5A0DC8" w:rsidR="00800503" w:rsidRPr="00381F61" w:rsidRDefault="00F519BC" w:rsidP="00800503">
      <w:pPr>
        <w:widowControl w:val="0"/>
        <w:tabs>
          <w:tab w:val="center" w:pos="4153"/>
        </w:tabs>
        <w:ind w:left="709"/>
        <w:jc w:val="both"/>
        <w:rPr>
          <w:rFonts w:ascii="Garamond" w:hAnsi="Garamond"/>
        </w:rPr>
      </w:pPr>
      <w:r w:rsidRPr="00381F61">
        <w:rPr>
          <w:rFonts w:ascii="Garamond" w:hAnsi="Garamond"/>
          <w:b/>
        </w:rPr>
        <w:t>6</w:t>
      </w:r>
      <w:r w:rsidR="00B92C8D" w:rsidRPr="00381F61">
        <w:rPr>
          <w:rFonts w:ascii="Garamond" w:hAnsi="Garamond"/>
          <w:b/>
        </w:rPr>
        <w:t xml:space="preserve">.9 </w:t>
      </w:r>
      <w:r w:rsidR="00422A0D" w:rsidRPr="00381F61">
        <w:rPr>
          <w:rFonts w:ascii="Garamond" w:hAnsi="Garamond"/>
          <w:b/>
        </w:rPr>
        <w:t xml:space="preserve"> </w:t>
      </w:r>
      <w:r w:rsidR="00B92C8D" w:rsidRPr="00381F61">
        <w:rPr>
          <w:rFonts w:ascii="Garamond" w:hAnsi="Garamond"/>
          <w:b/>
        </w:rPr>
        <w:t>ACC entitlements:</w:t>
      </w:r>
      <w:r w:rsidR="00B92C8D" w:rsidRPr="00381F61">
        <w:rPr>
          <w:rFonts w:ascii="Garamond" w:hAnsi="Garamond"/>
        </w:rPr>
        <w:t xml:space="preserve"> </w:t>
      </w:r>
      <w:r w:rsidR="00800503" w:rsidRPr="00381F61">
        <w:rPr>
          <w:rFonts w:ascii="Garamond" w:hAnsi="Garamond"/>
        </w:rPr>
        <w:t xml:space="preserve">Despite the fact </w:t>
      </w:r>
      <w:r w:rsidR="00B92C8D" w:rsidRPr="00381F61">
        <w:rPr>
          <w:rFonts w:ascii="Garamond" w:hAnsi="Garamond"/>
        </w:rPr>
        <w:t>that NZS is not income-tested,</w:t>
      </w:r>
      <w:r w:rsidR="00800503" w:rsidRPr="00381F61">
        <w:rPr>
          <w:rFonts w:ascii="Garamond" w:hAnsi="Garamond"/>
        </w:rPr>
        <w:t xml:space="preserve"> until 1 July 2019, </w:t>
      </w:r>
      <w:r w:rsidR="00B92C8D" w:rsidRPr="00381F61">
        <w:rPr>
          <w:rFonts w:ascii="Garamond" w:hAnsi="Garamond"/>
        </w:rPr>
        <w:t>an ACC recipient</w:t>
      </w:r>
      <w:r w:rsidR="00800503" w:rsidRPr="00381F61">
        <w:rPr>
          <w:rFonts w:ascii="Garamond" w:hAnsi="Garamond"/>
        </w:rPr>
        <w:t xml:space="preserve"> could not</w:t>
      </w:r>
      <w:r w:rsidR="00B92C8D" w:rsidRPr="00381F61">
        <w:rPr>
          <w:rFonts w:ascii="Garamond" w:hAnsi="Garamond"/>
        </w:rPr>
        <w:t xml:space="preserve"> receive both NZS and an ACC pension (section 7(2)</w:t>
      </w:r>
      <w:r w:rsidR="00422A0D" w:rsidRPr="00381F61">
        <w:rPr>
          <w:rFonts w:ascii="Garamond" w:hAnsi="Garamond"/>
        </w:rPr>
        <w:t xml:space="preserve"> of the Act</w:t>
      </w:r>
      <w:r w:rsidR="000D1D5E" w:rsidRPr="00381F61">
        <w:rPr>
          <w:rFonts w:ascii="Garamond" w:hAnsi="Garamond"/>
        </w:rPr>
        <w:t xml:space="preserve">, accessible </w:t>
      </w:r>
      <w:hyperlink r:id="rId22" w:history="1">
        <w:r w:rsidR="000D1D5E" w:rsidRPr="00381F61">
          <w:rPr>
            <w:rStyle w:val="Hyperlink"/>
            <w:rFonts w:ascii="Garamond" w:hAnsi="Garamond"/>
          </w:rPr>
          <w:t>here</w:t>
        </w:r>
      </w:hyperlink>
      <w:r w:rsidR="00B92C8D" w:rsidRPr="00381F61">
        <w:rPr>
          <w:rFonts w:ascii="Garamond" w:hAnsi="Garamond"/>
        </w:rPr>
        <w:t xml:space="preserve">)?  </w:t>
      </w:r>
      <w:r w:rsidR="00800503" w:rsidRPr="00381F61">
        <w:rPr>
          <w:rFonts w:ascii="Garamond" w:hAnsi="Garamond"/>
        </w:rPr>
        <w:t>However, it seems that this feature of NZS might disappear from 1 July 2019.  An unheralded post-Budget announcement by the Ministry of Social Development</w:t>
      </w:r>
      <w:r w:rsidR="00800503" w:rsidRPr="00381F61">
        <w:rPr>
          <w:rStyle w:val="FootnoteReference"/>
          <w:rFonts w:ascii="Garamond" w:hAnsi="Garamond"/>
        </w:rPr>
        <w:footnoteReference w:id="71"/>
      </w:r>
      <w:r w:rsidR="00800503" w:rsidRPr="00381F61">
        <w:rPr>
          <w:rFonts w:ascii="Garamond" w:hAnsi="Garamond"/>
        </w:rPr>
        <w:t xml:space="preserve"> stated:</w:t>
      </w:r>
    </w:p>
    <w:p w14:paraId="5FA564A9" w14:textId="0706C1FB" w:rsidR="00800503" w:rsidRPr="00381F61" w:rsidRDefault="00800503" w:rsidP="0041203F">
      <w:pPr>
        <w:shd w:val="clear" w:color="auto" w:fill="FFFFFF"/>
        <w:ind w:left="1134"/>
        <w:outlineLvl w:val="2"/>
        <w:rPr>
          <w:rFonts w:ascii="Garamond" w:hAnsi="Garamond" w:cs="Arial"/>
          <w:b/>
          <w:color w:val="222222"/>
          <w:sz w:val="22"/>
          <w:szCs w:val="22"/>
        </w:rPr>
      </w:pPr>
      <w:r w:rsidRPr="00381F61">
        <w:rPr>
          <w:rFonts w:ascii="Garamond" w:hAnsi="Garamond" w:cs="Arial"/>
          <w:color w:val="222222"/>
          <w:sz w:val="22"/>
          <w:szCs w:val="22"/>
        </w:rPr>
        <w:t>“</w:t>
      </w:r>
      <w:r w:rsidRPr="00381F61">
        <w:rPr>
          <w:rFonts w:ascii="Garamond" w:hAnsi="Garamond" w:cs="Arial"/>
          <w:b/>
          <w:color w:val="222222"/>
          <w:sz w:val="22"/>
          <w:szCs w:val="22"/>
        </w:rPr>
        <w:t>Getting ACC weekly payments</w:t>
      </w:r>
    </w:p>
    <w:p w14:paraId="67139F0E" w14:textId="69564913" w:rsidR="00800503" w:rsidRPr="00381F61" w:rsidRDefault="00800503" w:rsidP="0041203F">
      <w:pPr>
        <w:shd w:val="clear" w:color="auto" w:fill="FFFFFF"/>
        <w:ind w:left="1134"/>
        <w:rPr>
          <w:rFonts w:ascii="Garamond" w:hAnsi="Garamond" w:cs="Gill Sans"/>
          <w:color w:val="111111"/>
          <w:sz w:val="22"/>
          <w:szCs w:val="22"/>
        </w:rPr>
      </w:pPr>
      <w:r w:rsidRPr="00381F61">
        <w:rPr>
          <w:rFonts w:ascii="Garamond" w:hAnsi="Garamond" w:cs="Gill Sans"/>
          <w:color w:val="111111"/>
          <w:sz w:val="22"/>
          <w:szCs w:val="22"/>
        </w:rPr>
        <w:t>From 1 July 2019, if you’re entitled to weekly ACC compensation for a personal injury, you'll be able to get those payments, along with NZ Super or the Veteran’s Pension, for up to 2 years.”</w:t>
      </w:r>
    </w:p>
    <w:p w14:paraId="37E271B0" w14:textId="77777777" w:rsidR="00800503" w:rsidRPr="00381F61" w:rsidRDefault="00800503" w:rsidP="00800503">
      <w:pPr>
        <w:widowControl w:val="0"/>
        <w:tabs>
          <w:tab w:val="center" w:pos="4153"/>
        </w:tabs>
        <w:ind w:left="709"/>
        <w:jc w:val="both"/>
        <w:rPr>
          <w:rFonts w:ascii="Garamond" w:hAnsi="Garamond"/>
        </w:rPr>
      </w:pPr>
    </w:p>
    <w:p w14:paraId="5E38C064" w14:textId="0843C080" w:rsidR="00B92C8D" w:rsidRPr="00381F61" w:rsidRDefault="00800503" w:rsidP="00800503">
      <w:pPr>
        <w:pStyle w:val="BodyText"/>
        <w:spacing w:after="0"/>
        <w:ind w:left="709"/>
        <w:jc w:val="both"/>
        <w:rPr>
          <w:rFonts w:ascii="Garamond" w:hAnsi="Garamond"/>
        </w:rPr>
      </w:pPr>
      <w:r w:rsidRPr="00381F61">
        <w:rPr>
          <w:rFonts w:ascii="Garamond" w:hAnsi="Garamond"/>
        </w:rPr>
        <w:t>No further information on this was available at our report’s release date.  The immediate question is why two years.  If the principles on which both NZS and ACC are founded are correct, there seems no justification to limit ACC payments in this way.</w:t>
      </w:r>
    </w:p>
    <w:p w14:paraId="3AE30C03" w14:textId="77777777" w:rsidR="00B92C8D" w:rsidRPr="00381F61" w:rsidRDefault="00B92C8D" w:rsidP="00E71CEB">
      <w:pPr>
        <w:pStyle w:val="BodyText"/>
        <w:spacing w:after="0"/>
        <w:ind w:left="709"/>
        <w:jc w:val="both"/>
        <w:rPr>
          <w:rFonts w:ascii="Garamond" w:hAnsi="Garamond"/>
        </w:rPr>
      </w:pPr>
    </w:p>
    <w:p w14:paraId="36E0D5FB" w14:textId="2EFAC658" w:rsidR="00B92C8D" w:rsidRPr="00381F61" w:rsidRDefault="00F519BC" w:rsidP="00E71CEB">
      <w:pPr>
        <w:pStyle w:val="BodyText"/>
        <w:spacing w:after="0"/>
        <w:ind w:left="709"/>
        <w:jc w:val="both"/>
        <w:rPr>
          <w:rFonts w:ascii="Garamond" w:hAnsi="Garamond"/>
        </w:rPr>
      </w:pPr>
      <w:r w:rsidRPr="00381F61">
        <w:rPr>
          <w:rFonts w:ascii="Garamond" w:hAnsi="Garamond"/>
          <w:b/>
        </w:rPr>
        <w:t>6</w:t>
      </w:r>
      <w:r w:rsidR="00B92C8D" w:rsidRPr="00381F61">
        <w:rPr>
          <w:rFonts w:ascii="Garamond" w:hAnsi="Garamond"/>
          <w:b/>
        </w:rPr>
        <w:t xml:space="preserve">.10 </w:t>
      </w:r>
      <w:r w:rsidR="001B1FBE" w:rsidRPr="00381F61">
        <w:rPr>
          <w:rFonts w:ascii="Garamond" w:hAnsi="Garamond"/>
          <w:b/>
        </w:rPr>
        <w:t xml:space="preserve"> </w:t>
      </w:r>
      <w:r w:rsidR="00B92C8D" w:rsidRPr="00381F61">
        <w:rPr>
          <w:rFonts w:ascii="Garamond" w:hAnsi="Garamond"/>
          <w:b/>
        </w:rPr>
        <w:t>Periods of absence – VSA or missionary service:</w:t>
      </w:r>
      <w:r w:rsidR="00B92C8D" w:rsidRPr="00381F61">
        <w:rPr>
          <w:rFonts w:ascii="Garamond" w:hAnsi="Garamond"/>
        </w:rPr>
        <w:t xml:space="preserve"> Sections 9 and 10 of the Act include periods of absence on Volunteer Service Abroad</w:t>
      </w:r>
      <w:r w:rsidR="00EF62FF" w:rsidRPr="00381F61">
        <w:rPr>
          <w:rFonts w:ascii="Garamond" w:hAnsi="Garamond"/>
        </w:rPr>
        <w:t xml:space="preserve"> (</w:t>
      </w:r>
      <w:hyperlink r:id="rId23" w:history="1">
        <w:r w:rsidR="00EF62FF" w:rsidRPr="00381F61">
          <w:rPr>
            <w:rStyle w:val="Hyperlink"/>
            <w:rFonts w:ascii="Garamond" w:hAnsi="Garamond"/>
          </w:rPr>
          <w:t>here</w:t>
        </w:r>
      </w:hyperlink>
      <w:r w:rsidR="00EF62FF" w:rsidRPr="00381F61">
        <w:rPr>
          <w:rFonts w:ascii="Garamond" w:hAnsi="Garamond"/>
        </w:rPr>
        <w:t>)</w:t>
      </w:r>
      <w:r w:rsidR="00B92C8D" w:rsidRPr="00381F61">
        <w:rPr>
          <w:rFonts w:ascii="Garamond" w:hAnsi="Garamond"/>
        </w:rPr>
        <w:t xml:space="preserve"> and missionary service</w:t>
      </w:r>
      <w:r w:rsidR="00EF62FF" w:rsidRPr="00381F61">
        <w:rPr>
          <w:rFonts w:ascii="Garamond" w:hAnsi="Garamond"/>
        </w:rPr>
        <w:t xml:space="preserve"> (</w:t>
      </w:r>
      <w:hyperlink r:id="rId24" w:history="1">
        <w:r w:rsidR="00EF62FF" w:rsidRPr="00381F61">
          <w:rPr>
            <w:rStyle w:val="Hyperlink"/>
            <w:rFonts w:ascii="Garamond" w:hAnsi="Garamond"/>
          </w:rPr>
          <w:t>here</w:t>
        </w:r>
      </w:hyperlink>
      <w:r w:rsidR="00EF62FF" w:rsidRPr="00381F61">
        <w:rPr>
          <w:rFonts w:ascii="Garamond" w:hAnsi="Garamond"/>
        </w:rPr>
        <w:t>)</w:t>
      </w:r>
      <w:r w:rsidR="00B92C8D" w:rsidRPr="00381F61">
        <w:rPr>
          <w:rFonts w:ascii="Garamond" w:hAnsi="Garamond"/>
        </w:rPr>
        <w:t xml:space="preserve"> for the residency qualification in section 8 (see paragraph </w:t>
      </w:r>
      <w:r w:rsidR="004252A9" w:rsidRPr="00381F61">
        <w:rPr>
          <w:rFonts w:ascii="Garamond" w:hAnsi="Garamond"/>
        </w:rPr>
        <w:t>6</w:t>
      </w:r>
      <w:r w:rsidR="00B92C8D" w:rsidRPr="00381F61">
        <w:rPr>
          <w:rFonts w:ascii="Garamond" w:hAnsi="Garamond"/>
        </w:rPr>
        <w:t>.3 above).  Why not include other charitable bodies such as the Red Cross and other “recognised aid agencies” as in section 24</w:t>
      </w:r>
      <w:r w:rsidR="00EF62FF" w:rsidRPr="00381F61">
        <w:rPr>
          <w:rFonts w:ascii="Garamond" w:hAnsi="Garamond"/>
        </w:rPr>
        <w:t xml:space="preserve"> (</w:t>
      </w:r>
      <w:hyperlink r:id="rId25" w:history="1">
        <w:r w:rsidR="00EF62FF" w:rsidRPr="00381F61">
          <w:rPr>
            <w:rStyle w:val="Hyperlink"/>
            <w:rFonts w:ascii="Garamond" w:hAnsi="Garamond"/>
          </w:rPr>
          <w:t>here</w:t>
        </w:r>
      </w:hyperlink>
      <w:r w:rsidR="00EF62FF" w:rsidRPr="00381F61">
        <w:rPr>
          <w:rFonts w:ascii="Garamond" w:hAnsi="Garamond"/>
        </w:rPr>
        <w:t>)</w:t>
      </w:r>
      <w:r w:rsidR="00B92C8D" w:rsidRPr="00381F61">
        <w:rPr>
          <w:rFonts w:ascii="Garamond" w:hAnsi="Garamond"/>
        </w:rPr>
        <w:t>?</w:t>
      </w:r>
      <w:r w:rsidR="001A20EF" w:rsidRPr="00381F61">
        <w:rPr>
          <w:rFonts w:ascii="Garamond" w:hAnsi="Garamond"/>
        </w:rPr>
        <w:t xml:space="preserve">  Why include any of these periods of absence?</w:t>
      </w:r>
    </w:p>
    <w:p w14:paraId="77C13C44" w14:textId="77777777" w:rsidR="00B92C8D" w:rsidRPr="00381F61" w:rsidRDefault="00B92C8D" w:rsidP="00E71CEB">
      <w:pPr>
        <w:pStyle w:val="BodyText"/>
        <w:spacing w:after="0"/>
        <w:ind w:left="709"/>
        <w:jc w:val="both"/>
        <w:rPr>
          <w:rFonts w:ascii="Garamond" w:hAnsi="Garamond"/>
        </w:rPr>
      </w:pPr>
    </w:p>
    <w:p w14:paraId="0DC614BC" w14:textId="2694977B" w:rsidR="00B92C8D" w:rsidRPr="00381F61" w:rsidRDefault="00F519BC" w:rsidP="00E71CEB">
      <w:pPr>
        <w:pStyle w:val="BodyText"/>
        <w:spacing w:after="0"/>
        <w:ind w:left="709"/>
        <w:jc w:val="both"/>
        <w:rPr>
          <w:rFonts w:ascii="Garamond" w:hAnsi="Garamond"/>
        </w:rPr>
      </w:pPr>
      <w:r w:rsidRPr="00381F61">
        <w:rPr>
          <w:rFonts w:ascii="Garamond" w:hAnsi="Garamond"/>
          <w:b/>
        </w:rPr>
        <w:t>6</w:t>
      </w:r>
      <w:r w:rsidR="00B92C8D" w:rsidRPr="00381F61">
        <w:rPr>
          <w:rFonts w:ascii="Garamond" w:hAnsi="Garamond"/>
          <w:b/>
        </w:rPr>
        <w:t xml:space="preserve">.11 </w:t>
      </w:r>
      <w:r w:rsidR="001B1FBE" w:rsidRPr="00381F61">
        <w:rPr>
          <w:rFonts w:ascii="Garamond" w:hAnsi="Garamond"/>
          <w:b/>
        </w:rPr>
        <w:t xml:space="preserve"> </w:t>
      </w:r>
      <w:r w:rsidR="00B92C8D" w:rsidRPr="00381F61">
        <w:rPr>
          <w:rFonts w:ascii="Garamond" w:hAnsi="Garamond"/>
          <w:b/>
        </w:rPr>
        <w:t xml:space="preserve">No reduction to benefits: </w:t>
      </w:r>
      <w:r w:rsidR="00B92C8D" w:rsidRPr="00381F61">
        <w:rPr>
          <w:rFonts w:ascii="Garamond" w:hAnsi="Garamond"/>
        </w:rPr>
        <w:t xml:space="preserve">Section 15(4) of the Act </w:t>
      </w:r>
      <w:r w:rsidR="00AD6D8E" w:rsidRPr="00381F61">
        <w:rPr>
          <w:rFonts w:ascii="Garamond" w:hAnsi="Garamond"/>
        </w:rPr>
        <w:t>(</w:t>
      </w:r>
      <w:hyperlink r:id="rId26" w:history="1">
        <w:r w:rsidR="00AD6D8E" w:rsidRPr="00381F61">
          <w:rPr>
            <w:rStyle w:val="Hyperlink"/>
            <w:rFonts w:ascii="Garamond" w:hAnsi="Garamond"/>
          </w:rPr>
          <w:t>here</w:t>
        </w:r>
      </w:hyperlink>
      <w:r w:rsidR="00AD6D8E" w:rsidRPr="00381F61">
        <w:rPr>
          <w:rFonts w:ascii="Garamond" w:hAnsi="Garamond"/>
        </w:rPr>
        <w:t xml:space="preserve">) </w:t>
      </w:r>
      <w:r w:rsidR="00B92C8D" w:rsidRPr="00381F61">
        <w:rPr>
          <w:rFonts w:ascii="Garamond" w:hAnsi="Garamond"/>
        </w:rPr>
        <w:t xml:space="preserve">says that no future CPI adjustments to the amounts payable shall result in the benefits being reduced.  Why?  If </w:t>
      </w:r>
      <w:r w:rsidR="00B92C8D" w:rsidRPr="00381F61">
        <w:rPr>
          <w:rFonts w:ascii="Garamond" w:hAnsi="Garamond"/>
        </w:rPr>
        <w:lastRenderedPageBreak/>
        <w:t xml:space="preserve">we go through a sustained period of falling incomes, why should the incomes of retired New Zealanders increase in relative terms (by standing still nominally) while all other New Zealanders are forced to adjust to new, lower standards of living?  If 65% of the average wage is the right answer </w:t>
      </w:r>
      <w:r w:rsidR="001532E1" w:rsidRPr="00381F61">
        <w:rPr>
          <w:rFonts w:ascii="Garamond" w:hAnsi="Garamond"/>
        </w:rPr>
        <w:t>for</w:t>
      </w:r>
      <w:r w:rsidR="00B92C8D" w:rsidRPr="00381F61">
        <w:rPr>
          <w:rFonts w:ascii="Garamond" w:hAnsi="Garamond"/>
        </w:rPr>
        <w:t xml:space="preserve"> the married couple’s pension, why does it become wrong if </w:t>
      </w:r>
      <w:r w:rsidR="001A7BF8" w:rsidRPr="00381F61">
        <w:rPr>
          <w:rFonts w:ascii="Garamond" w:hAnsi="Garamond"/>
        </w:rPr>
        <w:t xml:space="preserve">average </w:t>
      </w:r>
      <w:r w:rsidR="00B92C8D" w:rsidRPr="00381F61">
        <w:rPr>
          <w:rFonts w:ascii="Garamond" w:hAnsi="Garamond"/>
        </w:rPr>
        <w:t>incomes were to fall?</w:t>
      </w:r>
    </w:p>
    <w:p w14:paraId="567B027E" w14:textId="77777777" w:rsidR="00C85223" w:rsidRPr="00381F61" w:rsidRDefault="00C85223" w:rsidP="00E71CEB">
      <w:pPr>
        <w:pStyle w:val="BodyText"/>
        <w:spacing w:after="0"/>
        <w:ind w:left="709"/>
        <w:jc w:val="both"/>
        <w:rPr>
          <w:rFonts w:ascii="Garamond" w:hAnsi="Garamond"/>
        </w:rPr>
      </w:pPr>
    </w:p>
    <w:p w14:paraId="41F645D7" w14:textId="62E12126" w:rsidR="00C85223" w:rsidRPr="00381F61" w:rsidRDefault="00F519BC" w:rsidP="00E71CEB">
      <w:pPr>
        <w:pStyle w:val="BodyText"/>
        <w:spacing w:after="0"/>
        <w:ind w:left="709"/>
        <w:jc w:val="both"/>
        <w:rPr>
          <w:rFonts w:ascii="Garamond" w:hAnsi="Garamond"/>
        </w:rPr>
      </w:pPr>
      <w:r w:rsidRPr="00381F61">
        <w:rPr>
          <w:rFonts w:ascii="Garamond" w:hAnsi="Garamond"/>
          <w:b/>
        </w:rPr>
        <w:t>6</w:t>
      </w:r>
      <w:r w:rsidR="00B92C8D" w:rsidRPr="00381F61">
        <w:rPr>
          <w:rFonts w:ascii="Garamond" w:hAnsi="Garamond"/>
          <w:b/>
        </w:rPr>
        <w:t xml:space="preserve">.12 </w:t>
      </w:r>
      <w:r w:rsidR="001B1FBE" w:rsidRPr="00381F61">
        <w:rPr>
          <w:rFonts w:ascii="Garamond" w:hAnsi="Garamond"/>
          <w:b/>
        </w:rPr>
        <w:t xml:space="preserve"> </w:t>
      </w:r>
      <w:r w:rsidR="00B92C8D" w:rsidRPr="00381F61">
        <w:rPr>
          <w:rFonts w:ascii="Garamond" w:hAnsi="Garamond"/>
          <w:b/>
        </w:rPr>
        <w:t xml:space="preserve">Hospital rates: </w:t>
      </w:r>
      <w:r w:rsidR="00B92C8D" w:rsidRPr="00381F61">
        <w:rPr>
          <w:rFonts w:ascii="Garamond" w:hAnsi="Garamond"/>
        </w:rPr>
        <w:t xml:space="preserve">Section 19 of the Act </w:t>
      </w:r>
      <w:r w:rsidR="00AD6D8E" w:rsidRPr="00381F61">
        <w:rPr>
          <w:rFonts w:ascii="Garamond" w:hAnsi="Garamond"/>
        </w:rPr>
        <w:t>(</w:t>
      </w:r>
      <w:hyperlink r:id="rId27" w:history="1">
        <w:r w:rsidR="00AD6D8E" w:rsidRPr="00381F61">
          <w:rPr>
            <w:rStyle w:val="Hyperlink"/>
            <w:rFonts w:ascii="Garamond" w:hAnsi="Garamond"/>
          </w:rPr>
          <w:t>here</w:t>
        </w:r>
      </w:hyperlink>
      <w:r w:rsidR="00AD6D8E" w:rsidRPr="00381F61">
        <w:rPr>
          <w:rFonts w:ascii="Garamond" w:hAnsi="Garamond"/>
        </w:rPr>
        <w:t xml:space="preserve">) </w:t>
      </w:r>
      <w:r w:rsidR="00B92C8D" w:rsidRPr="00381F61">
        <w:rPr>
          <w:rFonts w:ascii="Garamond" w:hAnsi="Garamond"/>
        </w:rPr>
        <w:t>says that the amount of NZS should reduce after 13 weeks in a public hosp</w:t>
      </w:r>
      <w:r w:rsidR="00274C1C" w:rsidRPr="00381F61">
        <w:rPr>
          <w:rFonts w:ascii="Garamond" w:hAnsi="Garamond"/>
        </w:rPr>
        <w:t>ital to, currently, a net $4</w:t>
      </w:r>
      <w:r w:rsidR="001437C0" w:rsidRPr="00381F61">
        <w:rPr>
          <w:rFonts w:ascii="Garamond" w:hAnsi="Garamond"/>
        </w:rPr>
        <w:t>5.28</w:t>
      </w:r>
      <w:r w:rsidR="00B92C8D" w:rsidRPr="00381F61">
        <w:rPr>
          <w:rFonts w:ascii="Garamond" w:hAnsi="Garamond"/>
        </w:rPr>
        <w:t xml:space="preserve"> a week.  Why 13 weeks?  Why not four weeks?</w:t>
      </w:r>
      <w:r w:rsidR="00CA2D6A" w:rsidRPr="00381F61">
        <w:rPr>
          <w:rFonts w:ascii="Garamond" w:hAnsi="Garamond"/>
        </w:rPr>
        <w:t xml:space="preserve">  What is the logic of $4</w:t>
      </w:r>
      <w:r w:rsidR="001437C0" w:rsidRPr="00381F61">
        <w:rPr>
          <w:rFonts w:ascii="Garamond" w:hAnsi="Garamond"/>
        </w:rPr>
        <w:t>5.28</w:t>
      </w:r>
      <w:r w:rsidR="00CA2D6A" w:rsidRPr="00381F61">
        <w:rPr>
          <w:rFonts w:ascii="Garamond" w:hAnsi="Garamond"/>
        </w:rPr>
        <w:t>?</w:t>
      </w:r>
    </w:p>
    <w:p w14:paraId="3EC5ADB8" w14:textId="77777777" w:rsidR="00C85223" w:rsidRPr="00381F61" w:rsidRDefault="00C85223" w:rsidP="00E71CEB">
      <w:pPr>
        <w:pStyle w:val="BodyText"/>
        <w:spacing w:after="0"/>
        <w:ind w:left="709"/>
        <w:jc w:val="both"/>
        <w:rPr>
          <w:rFonts w:ascii="Garamond" w:hAnsi="Garamond"/>
        </w:rPr>
      </w:pPr>
    </w:p>
    <w:p w14:paraId="7CBDA2CB" w14:textId="4C19E801" w:rsidR="00B92C8D" w:rsidRPr="00381F61" w:rsidRDefault="00F519BC" w:rsidP="00E71CEB">
      <w:pPr>
        <w:pStyle w:val="BodyText"/>
        <w:ind w:left="709"/>
        <w:jc w:val="both"/>
        <w:rPr>
          <w:rFonts w:ascii="Garamond" w:hAnsi="Garamond"/>
        </w:rPr>
      </w:pPr>
      <w:r w:rsidRPr="00381F61">
        <w:rPr>
          <w:rFonts w:ascii="Garamond" w:hAnsi="Garamond"/>
          <w:b/>
        </w:rPr>
        <w:t>6</w:t>
      </w:r>
      <w:r w:rsidR="00B92C8D" w:rsidRPr="00381F61">
        <w:rPr>
          <w:rFonts w:ascii="Garamond" w:hAnsi="Garamond"/>
          <w:b/>
        </w:rPr>
        <w:t>.13 Payments overseas:</w:t>
      </w:r>
      <w:r w:rsidR="00B92C8D" w:rsidRPr="00381F61">
        <w:rPr>
          <w:rFonts w:ascii="Garamond" w:hAnsi="Garamond"/>
        </w:rPr>
        <w:t xml:space="preserve"> A number of aspects of overseas payments of NZS deserve debate:</w:t>
      </w:r>
    </w:p>
    <w:p w14:paraId="121B516A" w14:textId="63B2C004" w:rsidR="00B92C8D" w:rsidRPr="00381F61" w:rsidRDefault="00B92C8D" w:rsidP="007E6499">
      <w:pPr>
        <w:pStyle w:val="BodyText"/>
        <w:spacing w:after="0"/>
        <w:ind w:left="993"/>
        <w:jc w:val="both"/>
        <w:rPr>
          <w:rFonts w:ascii="Garamond" w:hAnsi="Garamond"/>
        </w:rPr>
      </w:pPr>
      <w:r w:rsidRPr="00381F61">
        <w:rPr>
          <w:rFonts w:ascii="Garamond" w:hAnsi="Garamond"/>
        </w:rPr>
        <w:t>(a) Why should NZS be payable to anyone who is overseas for up to 26 weeks (section 22 of the Act</w:t>
      </w:r>
      <w:r w:rsidR="00AD6D8E" w:rsidRPr="00381F61">
        <w:rPr>
          <w:rFonts w:ascii="Garamond" w:hAnsi="Garamond"/>
        </w:rPr>
        <w:t xml:space="preserve"> </w:t>
      </w:r>
      <w:hyperlink r:id="rId28" w:history="1">
        <w:r w:rsidR="00AD6D8E" w:rsidRPr="00381F61">
          <w:rPr>
            <w:rStyle w:val="Hyperlink"/>
            <w:rFonts w:ascii="Garamond" w:hAnsi="Garamond"/>
          </w:rPr>
          <w:t>here</w:t>
        </w:r>
      </w:hyperlink>
      <w:r w:rsidRPr="00381F61">
        <w:rPr>
          <w:rFonts w:ascii="Garamond" w:hAnsi="Garamond"/>
        </w:rPr>
        <w:t>)?  Why not 13 weeks (as with hospital rates)?  Why not four weeks?</w:t>
      </w:r>
    </w:p>
    <w:p w14:paraId="3D0F192A" w14:textId="77777777" w:rsidR="00B92C8D" w:rsidRPr="00381F61" w:rsidRDefault="00B92C8D" w:rsidP="007E6499">
      <w:pPr>
        <w:pStyle w:val="BodyText"/>
        <w:spacing w:after="0"/>
        <w:ind w:left="993"/>
        <w:jc w:val="both"/>
        <w:rPr>
          <w:rFonts w:ascii="Garamond" w:hAnsi="Garamond"/>
        </w:rPr>
      </w:pPr>
    </w:p>
    <w:p w14:paraId="074528F1" w14:textId="1824D76C" w:rsidR="00B92C8D" w:rsidRPr="00381F61" w:rsidRDefault="00B92C8D" w:rsidP="007E6499">
      <w:pPr>
        <w:pStyle w:val="BodyText"/>
        <w:spacing w:after="0"/>
        <w:ind w:left="993"/>
        <w:jc w:val="both"/>
        <w:rPr>
          <w:rFonts w:ascii="Garamond" w:hAnsi="Garamond"/>
        </w:rPr>
      </w:pPr>
      <w:r w:rsidRPr="00381F61">
        <w:rPr>
          <w:rFonts w:ascii="Garamond" w:hAnsi="Garamond"/>
        </w:rPr>
        <w:t>(b) Why should the 26 weeks in section 22 (referred to in the last paragraph) become 156 weeks (three years) if the recipient is working (albeit on an unpaid basis) with a “recognised aid agency” (section 24</w:t>
      </w:r>
      <w:r w:rsidR="00AD6D8E" w:rsidRPr="00381F61">
        <w:rPr>
          <w:rFonts w:ascii="Garamond" w:hAnsi="Garamond"/>
        </w:rPr>
        <w:t xml:space="preserve"> </w:t>
      </w:r>
      <w:hyperlink r:id="rId29" w:history="1">
        <w:r w:rsidR="00AD6D8E" w:rsidRPr="00381F61">
          <w:rPr>
            <w:rStyle w:val="Hyperlink"/>
            <w:rFonts w:ascii="Garamond" w:hAnsi="Garamond"/>
          </w:rPr>
          <w:t>here</w:t>
        </w:r>
      </w:hyperlink>
      <w:r w:rsidRPr="00381F61">
        <w:rPr>
          <w:rFonts w:ascii="Garamond" w:hAnsi="Garamond"/>
        </w:rPr>
        <w:t>)?</w:t>
      </w:r>
      <w:r w:rsidRPr="00381F61">
        <w:rPr>
          <w:rStyle w:val="FootnoteReference"/>
          <w:rFonts w:ascii="Garamond" w:hAnsi="Garamond"/>
        </w:rPr>
        <w:footnoteReference w:id="72"/>
      </w:r>
    </w:p>
    <w:p w14:paraId="03406060" w14:textId="77777777" w:rsidR="00B92C8D" w:rsidRPr="00381F61" w:rsidRDefault="00B92C8D" w:rsidP="007E6499">
      <w:pPr>
        <w:pStyle w:val="BodyText"/>
        <w:spacing w:after="0"/>
        <w:ind w:left="993"/>
        <w:jc w:val="both"/>
        <w:rPr>
          <w:rFonts w:ascii="Garamond" w:hAnsi="Garamond"/>
        </w:rPr>
      </w:pPr>
    </w:p>
    <w:p w14:paraId="57BDE68A" w14:textId="6597D796" w:rsidR="00B92C8D" w:rsidRPr="00381F61" w:rsidRDefault="00B92C8D" w:rsidP="007E6499">
      <w:pPr>
        <w:pStyle w:val="BodyText"/>
        <w:spacing w:after="0"/>
        <w:ind w:left="993"/>
        <w:jc w:val="both"/>
        <w:rPr>
          <w:rFonts w:ascii="Garamond" w:hAnsi="Garamond"/>
        </w:rPr>
      </w:pPr>
      <w:r w:rsidRPr="00381F61">
        <w:rPr>
          <w:rFonts w:ascii="Garamond" w:hAnsi="Garamond"/>
        </w:rPr>
        <w:t xml:space="preserve">(c) Why should someone who lives in a country with no “reciprocity of social security monetary benefits” receive a proportion of NZS (sections 26 </w:t>
      </w:r>
      <w:hyperlink r:id="rId30" w:history="1">
        <w:r w:rsidR="00AD6D8E" w:rsidRPr="00381F61">
          <w:rPr>
            <w:rStyle w:val="Hyperlink"/>
            <w:rFonts w:ascii="Garamond" w:hAnsi="Garamond"/>
          </w:rPr>
          <w:t>here</w:t>
        </w:r>
      </w:hyperlink>
      <w:r w:rsidR="00AD6D8E" w:rsidRPr="00381F61">
        <w:rPr>
          <w:rFonts w:ascii="Garamond" w:hAnsi="Garamond"/>
        </w:rPr>
        <w:t xml:space="preserve"> </w:t>
      </w:r>
      <w:r w:rsidRPr="00381F61">
        <w:rPr>
          <w:rFonts w:ascii="Garamond" w:hAnsi="Garamond"/>
        </w:rPr>
        <w:t xml:space="preserve">and 26A </w:t>
      </w:r>
      <w:hyperlink r:id="rId31" w:history="1">
        <w:r w:rsidR="00AD6D8E" w:rsidRPr="00381F61">
          <w:rPr>
            <w:rStyle w:val="Hyperlink"/>
            <w:rFonts w:ascii="Garamond" w:hAnsi="Garamond"/>
          </w:rPr>
          <w:t>here</w:t>
        </w:r>
      </w:hyperlink>
      <w:r w:rsidR="00AD6D8E" w:rsidRPr="00381F61">
        <w:rPr>
          <w:rFonts w:ascii="Garamond" w:hAnsi="Garamond"/>
        </w:rPr>
        <w:t xml:space="preserve"> </w:t>
      </w:r>
      <w:r w:rsidRPr="00381F61">
        <w:rPr>
          <w:rFonts w:ascii="Garamond" w:hAnsi="Garamond"/>
        </w:rPr>
        <w:t xml:space="preserve">of the Act)?  Why do they get anything?  What welfare obligation do New Zealand taxpayers have towards people who are no longer resident?  If we do that, should that proportion be based on years of residence between ages 20 and 65 (section 26A(1)) and why might years after age 65 be excluded?  If this is appropriate for emigrants, might that test also be appropriate for immigrants with overseas pensions (see paragraph </w:t>
      </w:r>
      <w:r w:rsidR="00B37FB8" w:rsidRPr="00381F61">
        <w:rPr>
          <w:rFonts w:ascii="Garamond" w:hAnsi="Garamond"/>
        </w:rPr>
        <w:t>6</w:t>
      </w:r>
      <w:r w:rsidRPr="00381F61">
        <w:rPr>
          <w:rFonts w:ascii="Garamond" w:hAnsi="Garamond"/>
        </w:rPr>
        <w:t>.8 above)?  Why must the person be ordinarily resident on the application date (section 26B(b)(i))</w:t>
      </w:r>
      <w:r w:rsidR="00AD6D8E" w:rsidRPr="00381F61">
        <w:rPr>
          <w:rFonts w:ascii="Garamond" w:hAnsi="Garamond"/>
        </w:rPr>
        <w:t xml:space="preserve"> </w:t>
      </w:r>
      <w:hyperlink r:id="rId32" w:history="1">
        <w:r w:rsidR="00AD6D8E" w:rsidRPr="00381F61">
          <w:rPr>
            <w:rStyle w:val="Hyperlink"/>
            <w:rFonts w:ascii="Garamond" w:hAnsi="Garamond"/>
          </w:rPr>
          <w:t>here</w:t>
        </w:r>
      </w:hyperlink>
      <w:r w:rsidRPr="00381F61">
        <w:rPr>
          <w:rFonts w:ascii="Garamond" w:hAnsi="Garamond"/>
        </w:rPr>
        <w:t xml:space="preserve"> but not before or after?  Finally, why do we pay that pension gross?  Why not deduct tax?</w:t>
      </w:r>
    </w:p>
    <w:p w14:paraId="2B4227A9" w14:textId="77777777" w:rsidR="00B92C8D" w:rsidRPr="00381F61" w:rsidRDefault="00B92C8D" w:rsidP="007E6499">
      <w:pPr>
        <w:pStyle w:val="BodyText"/>
        <w:spacing w:after="0"/>
        <w:ind w:left="993"/>
        <w:jc w:val="both"/>
        <w:rPr>
          <w:rFonts w:ascii="Garamond" w:hAnsi="Garamond"/>
        </w:rPr>
      </w:pPr>
    </w:p>
    <w:p w14:paraId="23F83B9D" w14:textId="6133858B" w:rsidR="00B92C8D" w:rsidRPr="00381F61" w:rsidRDefault="00B92C8D" w:rsidP="007E6499">
      <w:pPr>
        <w:pStyle w:val="BodyText"/>
        <w:spacing w:after="0"/>
        <w:ind w:left="993"/>
        <w:jc w:val="both"/>
        <w:rPr>
          <w:rFonts w:ascii="Garamond" w:hAnsi="Garamond"/>
        </w:rPr>
      </w:pPr>
      <w:r w:rsidRPr="00381F61">
        <w:rPr>
          <w:rFonts w:ascii="Garamond" w:hAnsi="Garamond"/>
        </w:rPr>
        <w:t>(d) Why should NZS be payable to people who leave New Zealand and live in a “specified Pacific country” (section 31 of the Act</w:t>
      </w:r>
      <w:r w:rsidR="00AD6D8E" w:rsidRPr="00381F61">
        <w:rPr>
          <w:rFonts w:ascii="Garamond" w:hAnsi="Garamond"/>
        </w:rPr>
        <w:t xml:space="preserve"> </w:t>
      </w:r>
      <w:hyperlink r:id="rId33" w:history="1">
        <w:r w:rsidR="00AD6D8E" w:rsidRPr="00381F61">
          <w:rPr>
            <w:rStyle w:val="Hyperlink"/>
            <w:rFonts w:ascii="Garamond" w:hAnsi="Garamond"/>
          </w:rPr>
          <w:t>here</w:t>
        </w:r>
      </w:hyperlink>
      <w:r w:rsidRPr="00381F61">
        <w:rPr>
          <w:rFonts w:ascii="Garamond" w:hAnsi="Garamond"/>
        </w:rPr>
        <w:t>)?  Why is each of the countries listed in Schedule 2</w:t>
      </w:r>
      <w:r w:rsidR="00996D2B" w:rsidRPr="00381F61">
        <w:rPr>
          <w:rFonts w:ascii="Garamond" w:hAnsi="Garamond"/>
        </w:rPr>
        <w:t xml:space="preserve"> of the Act</w:t>
      </w:r>
      <w:r w:rsidRPr="00381F61">
        <w:rPr>
          <w:rFonts w:ascii="Garamond" w:hAnsi="Garamond"/>
        </w:rPr>
        <w:t xml:space="preserve"> </w:t>
      </w:r>
      <w:hyperlink r:id="rId34" w:history="1">
        <w:r w:rsidR="005441E3" w:rsidRPr="00381F61">
          <w:rPr>
            <w:rStyle w:val="Hyperlink"/>
            <w:rFonts w:ascii="Garamond" w:hAnsi="Garamond"/>
          </w:rPr>
          <w:t>here</w:t>
        </w:r>
      </w:hyperlink>
      <w:r w:rsidR="005441E3" w:rsidRPr="00381F61">
        <w:rPr>
          <w:rFonts w:ascii="Garamond" w:hAnsi="Garamond"/>
        </w:rPr>
        <w:t xml:space="preserve"> </w:t>
      </w:r>
      <w:r w:rsidRPr="00381F61">
        <w:rPr>
          <w:rFonts w:ascii="Garamond" w:hAnsi="Garamond"/>
        </w:rPr>
        <w:t>included</w:t>
      </w:r>
      <w:r w:rsidRPr="00381F61">
        <w:rPr>
          <w:rStyle w:val="FootnoteReference"/>
          <w:rFonts w:ascii="Garamond" w:hAnsi="Garamond"/>
        </w:rPr>
        <w:footnoteReference w:id="73"/>
      </w:r>
      <w:r w:rsidRPr="00381F61">
        <w:rPr>
          <w:rFonts w:ascii="Garamond" w:hAnsi="Garamond"/>
        </w:rPr>
        <w:t>?  Why does each person so affected need to have lived in New Zealand for 20 years (section 32(1)</w:t>
      </w:r>
      <w:r w:rsidR="005441E3" w:rsidRPr="00381F61">
        <w:rPr>
          <w:rFonts w:ascii="Garamond" w:hAnsi="Garamond"/>
        </w:rPr>
        <w:t xml:space="preserve"> </w:t>
      </w:r>
      <w:hyperlink r:id="rId35" w:history="1">
        <w:r w:rsidR="005441E3" w:rsidRPr="00381F61">
          <w:rPr>
            <w:rStyle w:val="Hyperlink"/>
            <w:rFonts w:ascii="Garamond" w:hAnsi="Garamond"/>
          </w:rPr>
          <w:t>here</w:t>
        </w:r>
      </w:hyperlink>
      <w:r w:rsidRPr="00381F61">
        <w:rPr>
          <w:rFonts w:ascii="Garamond" w:hAnsi="Garamond"/>
        </w:rPr>
        <w:t>)?  Or to receive a proportionately reduced benefit if they have lived in New Zealand for at least 10 years?</w:t>
      </w:r>
    </w:p>
    <w:p w14:paraId="0513B8E0" w14:textId="77777777" w:rsidR="00B92C8D" w:rsidRPr="00381F61" w:rsidRDefault="00B92C8D" w:rsidP="00E71CEB">
      <w:pPr>
        <w:pStyle w:val="BodyText"/>
        <w:spacing w:after="0"/>
        <w:ind w:left="709"/>
        <w:jc w:val="both"/>
        <w:rPr>
          <w:rFonts w:ascii="Garamond" w:hAnsi="Garamond"/>
          <w:b/>
          <w:sz w:val="22"/>
          <w:szCs w:val="22"/>
        </w:rPr>
      </w:pPr>
    </w:p>
    <w:p w14:paraId="2925E5B4" w14:textId="7B3178C4" w:rsidR="00B92C8D" w:rsidRPr="00381F61" w:rsidRDefault="00B92C8D" w:rsidP="00E71CEB">
      <w:pPr>
        <w:pStyle w:val="BodyText"/>
        <w:spacing w:after="0"/>
        <w:jc w:val="both"/>
        <w:rPr>
          <w:rFonts w:ascii="Garamond" w:hAnsi="Garamond"/>
        </w:rPr>
      </w:pPr>
      <w:r w:rsidRPr="00381F61">
        <w:rPr>
          <w:rFonts w:ascii="Garamond" w:hAnsi="Garamond"/>
        </w:rPr>
        <w:t>The final important step in this process is agreeing transition provisions that move NZS from its present basis to the new 21</w:t>
      </w:r>
      <w:r w:rsidRPr="00381F61">
        <w:rPr>
          <w:rFonts w:ascii="Garamond" w:hAnsi="Garamond"/>
          <w:vertAlign w:val="superscript"/>
        </w:rPr>
        <w:t>st</w:t>
      </w:r>
      <w:r w:rsidRPr="00381F61">
        <w:rPr>
          <w:rFonts w:ascii="Garamond" w:hAnsi="Garamond"/>
        </w:rPr>
        <w:t xml:space="preserve"> Century programme.  The benefit design decisions will affect different groups in different ways so the transition will need tailoring to individual needs.</w:t>
      </w:r>
      <w:r w:rsidR="00294981" w:rsidRPr="00381F61">
        <w:rPr>
          <w:rFonts w:ascii="Garamond" w:hAnsi="Garamond"/>
        </w:rPr>
        <w:t xml:space="preserve">  </w:t>
      </w:r>
      <w:r w:rsidRPr="00381F61">
        <w:rPr>
          <w:rFonts w:ascii="Garamond" w:hAnsi="Garamond"/>
        </w:rPr>
        <w:t xml:space="preserve">Each of the issues </w:t>
      </w:r>
      <w:r w:rsidR="002A6699" w:rsidRPr="00381F61">
        <w:rPr>
          <w:rFonts w:ascii="Garamond" w:hAnsi="Garamond"/>
        </w:rPr>
        <w:lastRenderedPageBreak/>
        <w:t>described in this section</w:t>
      </w:r>
      <w:r w:rsidRPr="00381F61">
        <w:rPr>
          <w:rFonts w:ascii="Garamond" w:hAnsi="Garamond"/>
        </w:rPr>
        <w:t xml:space="preserve"> raises benefit design implications that should at least be debated in the contex</w:t>
      </w:r>
      <w:r w:rsidR="00B45B22" w:rsidRPr="00381F61">
        <w:rPr>
          <w:rFonts w:ascii="Garamond" w:hAnsi="Garamond"/>
        </w:rPr>
        <w:t>t of good evidence.  The</w:t>
      </w:r>
      <w:r w:rsidRPr="00381F61">
        <w:rPr>
          <w:rFonts w:ascii="Garamond" w:hAnsi="Garamond"/>
        </w:rPr>
        <w:t xml:space="preserve"> debate must acknowledge that today’s decisions will be made under conditions of great uncertainty so flexibility will be an important component of those decisions.</w:t>
      </w:r>
    </w:p>
    <w:p w14:paraId="2DE9FB8A" w14:textId="77777777" w:rsidR="00B92C8D" w:rsidRPr="00381F61" w:rsidRDefault="00B92C8D" w:rsidP="00E71CEB">
      <w:pPr>
        <w:pStyle w:val="BodyText"/>
        <w:spacing w:after="0"/>
        <w:jc w:val="both"/>
        <w:rPr>
          <w:rFonts w:ascii="Garamond" w:hAnsi="Garamond"/>
        </w:rPr>
      </w:pPr>
    </w:p>
    <w:p w14:paraId="0463AC1C" w14:textId="2BFDB3EC" w:rsidR="00B92C8D" w:rsidRPr="00381F61" w:rsidRDefault="00B92C8D" w:rsidP="00E71CEB">
      <w:pPr>
        <w:pStyle w:val="BodyText"/>
        <w:spacing w:after="0"/>
        <w:jc w:val="both"/>
        <w:rPr>
          <w:rFonts w:ascii="Garamond" w:hAnsi="Garamond"/>
        </w:rPr>
      </w:pPr>
      <w:r w:rsidRPr="00381F61">
        <w:rPr>
          <w:rFonts w:ascii="Garamond" w:hAnsi="Garamond"/>
        </w:rPr>
        <w:t xml:space="preserve">New Zealand needs to agree social policy reasons as to why the things </w:t>
      </w:r>
      <w:r w:rsidR="003D31C6" w:rsidRPr="00381F61">
        <w:rPr>
          <w:rFonts w:ascii="Garamond" w:hAnsi="Garamond"/>
        </w:rPr>
        <w:t>described in this section</w:t>
      </w:r>
      <w:r w:rsidRPr="00381F61">
        <w:rPr>
          <w:rFonts w:ascii="Garamond" w:hAnsi="Garamond"/>
        </w:rPr>
        <w:t xml:space="preserve"> should be so and what might be ‘better’ ways of achieving common goals.  New Zealand has </w:t>
      </w:r>
      <w:r w:rsidR="00C545B9" w:rsidRPr="00381F61">
        <w:rPr>
          <w:rFonts w:ascii="Garamond" w:hAnsi="Garamond"/>
        </w:rPr>
        <w:t>never</w:t>
      </w:r>
      <w:r w:rsidRPr="00381F61">
        <w:rPr>
          <w:rFonts w:ascii="Garamond" w:hAnsi="Garamond"/>
        </w:rPr>
        <w:t xml:space="preserve"> had such a debate</w:t>
      </w:r>
      <w:r w:rsidR="00D84046" w:rsidRPr="00381F61">
        <w:rPr>
          <w:rStyle w:val="FootnoteReference"/>
          <w:rFonts w:ascii="Garamond" w:hAnsi="Garamond"/>
        </w:rPr>
        <w:footnoteReference w:id="74"/>
      </w:r>
      <w:r w:rsidRPr="00381F61">
        <w:rPr>
          <w:rFonts w:ascii="Garamond" w:hAnsi="Garamond"/>
        </w:rPr>
        <w:t>.</w:t>
      </w:r>
    </w:p>
    <w:p w14:paraId="7ECE72E1" w14:textId="77777777" w:rsidR="00B92C8D" w:rsidRPr="00381F61" w:rsidRDefault="00B92C8D" w:rsidP="00E71CEB">
      <w:pPr>
        <w:jc w:val="both"/>
        <w:rPr>
          <w:rFonts w:ascii="Garamond" w:hAnsi="Garamond"/>
        </w:rPr>
      </w:pPr>
    </w:p>
    <w:p w14:paraId="3C5D503E" w14:textId="292F3C93" w:rsidR="00B92C8D" w:rsidRPr="00381F61" w:rsidRDefault="00B92C8D" w:rsidP="00E71CEB">
      <w:pPr>
        <w:jc w:val="both"/>
        <w:rPr>
          <w:rFonts w:ascii="Garamond" w:hAnsi="Garamond"/>
        </w:rPr>
      </w:pPr>
      <w:r w:rsidRPr="00381F61">
        <w:rPr>
          <w:rFonts w:ascii="Garamond" w:hAnsi="Garamond"/>
        </w:rPr>
        <w:t>Each of the benefit design elements should be agreed without, at least initially, regard for the expected cost to taxpayers.  What, in each case, is the ‘best’ answer to each benefit desig</w:t>
      </w:r>
      <w:r w:rsidR="002A6699" w:rsidRPr="00381F61">
        <w:rPr>
          <w:rFonts w:ascii="Garamond" w:hAnsi="Garamond"/>
        </w:rPr>
        <w:t xml:space="preserve">n question posed </w:t>
      </w:r>
      <w:r w:rsidRPr="00381F61">
        <w:rPr>
          <w:rFonts w:ascii="Garamond" w:hAnsi="Garamond"/>
        </w:rPr>
        <w:t xml:space="preserve">above? </w:t>
      </w:r>
    </w:p>
    <w:p w14:paraId="62DC1FE8" w14:textId="77777777" w:rsidR="00B92C8D" w:rsidRPr="00381F61" w:rsidRDefault="00B92C8D" w:rsidP="00E71CEB">
      <w:pPr>
        <w:jc w:val="both"/>
        <w:rPr>
          <w:rFonts w:ascii="Garamond" w:hAnsi="Garamond"/>
        </w:rPr>
      </w:pPr>
    </w:p>
    <w:p w14:paraId="31C0E8C4" w14:textId="1A3FBB17" w:rsidR="00B92C8D" w:rsidRPr="00381F61" w:rsidRDefault="00B92C8D" w:rsidP="00E71CEB">
      <w:pPr>
        <w:jc w:val="both"/>
        <w:rPr>
          <w:rFonts w:ascii="Garamond" w:hAnsi="Garamond"/>
        </w:rPr>
      </w:pPr>
      <w:r w:rsidRPr="00381F61">
        <w:rPr>
          <w:rFonts w:ascii="Garamond" w:hAnsi="Garamond"/>
        </w:rPr>
        <w:t>Costings of a 21</w:t>
      </w:r>
      <w:r w:rsidRPr="00381F61">
        <w:rPr>
          <w:rFonts w:ascii="Garamond" w:hAnsi="Garamond"/>
          <w:vertAlign w:val="superscript"/>
        </w:rPr>
        <w:t>st</w:t>
      </w:r>
      <w:r w:rsidRPr="00381F61">
        <w:rPr>
          <w:rFonts w:ascii="Garamond" w:hAnsi="Garamond"/>
        </w:rPr>
        <w:t xml:space="preserve"> Century NZS should be done only once all aspects of the benefit design have been tentatively settled.  It is quite likely that the agreed scheme and the transition arrangements will cost more than might be acce</w:t>
      </w:r>
      <w:r w:rsidR="002A6699" w:rsidRPr="00381F61">
        <w:rPr>
          <w:rFonts w:ascii="Garamond" w:hAnsi="Garamond"/>
        </w:rPr>
        <w:t>ptable to today’s</w:t>
      </w:r>
      <w:r w:rsidRPr="00381F61">
        <w:rPr>
          <w:rFonts w:ascii="Garamond" w:hAnsi="Garamond"/>
        </w:rPr>
        <w:t xml:space="preserve"> taxpayers.  The debate on benefit design should then pull back from the ‘ideal’ so as to bring the new NZS within an acceptable budget.  That will probably be an iterative process.</w:t>
      </w:r>
    </w:p>
    <w:p w14:paraId="50AE66BE" w14:textId="77777777" w:rsidR="00B92C8D" w:rsidRPr="00381F61" w:rsidRDefault="00B92C8D" w:rsidP="00E71CEB">
      <w:pPr>
        <w:jc w:val="both"/>
        <w:rPr>
          <w:rFonts w:ascii="Garamond" w:hAnsi="Garamond"/>
        </w:rPr>
      </w:pPr>
    </w:p>
    <w:p w14:paraId="4DA86210" w14:textId="3D264D76" w:rsidR="00B92C8D" w:rsidRPr="00381F61" w:rsidRDefault="00B92C8D" w:rsidP="00E71CEB">
      <w:pPr>
        <w:jc w:val="both"/>
        <w:rPr>
          <w:rFonts w:ascii="Garamond" w:hAnsi="Garamond"/>
        </w:rPr>
      </w:pPr>
      <w:r w:rsidRPr="00381F61">
        <w:rPr>
          <w:rFonts w:ascii="Garamond" w:hAnsi="Garamond"/>
        </w:rPr>
        <w:t xml:space="preserve">Eventually, we will arrive at a benefit design that </w:t>
      </w:r>
      <w:r w:rsidR="000958BA" w:rsidRPr="00381F61">
        <w:rPr>
          <w:rFonts w:ascii="Garamond" w:hAnsi="Garamond"/>
        </w:rPr>
        <w:t>balances</w:t>
      </w:r>
      <w:r w:rsidRPr="00381F61">
        <w:rPr>
          <w:rFonts w:ascii="Garamond" w:hAnsi="Garamond"/>
        </w:rPr>
        <w:t xml:space="preserve"> the country’s agreed objectives </w:t>
      </w:r>
      <w:r w:rsidR="000958BA" w:rsidRPr="00381F61">
        <w:rPr>
          <w:rFonts w:ascii="Garamond" w:hAnsi="Garamond"/>
        </w:rPr>
        <w:t>with</w:t>
      </w:r>
      <w:r w:rsidRPr="00381F61">
        <w:rPr>
          <w:rFonts w:ascii="Garamond" w:hAnsi="Garamond"/>
        </w:rPr>
        <w:t xml:space="preserve"> a cost that is likely to b</w:t>
      </w:r>
      <w:r w:rsidR="002A6699" w:rsidRPr="00381F61">
        <w:rPr>
          <w:rFonts w:ascii="Garamond" w:hAnsi="Garamond"/>
        </w:rPr>
        <w:t>e acceptable now and over coming years</w:t>
      </w:r>
      <w:r w:rsidRPr="00381F61">
        <w:rPr>
          <w:rFonts w:ascii="Garamond" w:hAnsi="Garamond"/>
        </w:rPr>
        <w:t>.</w:t>
      </w:r>
    </w:p>
    <w:p w14:paraId="19F92698" w14:textId="77777777" w:rsidR="002A6699" w:rsidRPr="00381F61" w:rsidRDefault="002A6699" w:rsidP="00E71CEB">
      <w:pPr>
        <w:jc w:val="both"/>
        <w:rPr>
          <w:rFonts w:ascii="Garamond" w:hAnsi="Garamond"/>
        </w:rPr>
      </w:pPr>
    </w:p>
    <w:p w14:paraId="10D63DAD" w14:textId="6422D8E0" w:rsidR="00953A29" w:rsidRPr="00381F61" w:rsidRDefault="00953A29" w:rsidP="00953A29">
      <w:pPr>
        <w:pStyle w:val="BodyText"/>
        <w:spacing w:after="0"/>
        <w:jc w:val="both"/>
        <w:rPr>
          <w:rFonts w:ascii="Garamond" w:hAnsi="Garamond"/>
        </w:rPr>
      </w:pPr>
      <w:r w:rsidRPr="00381F61">
        <w:rPr>
          <w:rFonts w:ascii="Garamond" w:hAnsi="Garamond"/>
          <w:b/>
        </w:rPr>
        <w:t xml:space="preserve">A word about the Accommodation Supplement: </w:t>
      </w:r>
      <w:r w:rsidRPr="00381F61">
        <w:rPr>
          <w:rFonts w:ascii="Garamond" w:hAnsi="Garamond"/>
        </w:rPr>
        <w:t>For the reasons described in section 12 below (Housing and home-ownership)</w:t>
      </w:r>
      <w:r w:rsidR="00294981" w:rsidRPr="00381F61">
        <w:rPr>
          <w:rFonts w:ascii="Garamond" w:hAnsi="Garamond"/>
        </w:rPr>
        <w:t>,</w:t>
      </w:r>
      <w:r w:rsidRPr="00381F61">
        <w:rPr>
          <w:rFonts w:ascii="Garamond" w:hAnsi="Garamond"/>
        </w:rPr>
        <w:t xml:space="preserve"> we do not know what proportion of New Zealanders over age 65 own the home they are living in.  Probably about one-fifth do not.  Having a paid-off home to live in is an important part of financial preparations for retirement.  The state supports those who do not</w:t>
      </w:r>
      <w:r w:rsidR="00FE2869" w:rsidRPr="00381F61">
        <w:rPr>
          <w:rFonts w:ascii="Garamond" w:hAnsi="Garamond"/>
        </w:rPr>
        <w:t xml:space="preserve"> own</w:t>
      </w:r>
      <w:r w:rsidRPr="00381F61">
        <w:rPr>
          <w:rFonts w:ascii="Garamond" w:hAnsi="Garamond"/>
        </w:rPr>
        <w:t>, or who do own their home but are having difficulty meeting outgoings, by providing an ‘Accommodation Supplement</w:t>
      </w:r>
      <w:r w:rsidR="009300AA" w:rsidRPr="00381F61">
        <w:rPr>
          <w:rFonts w:ascii="Garamond" w:hAnsi="Garamond"/>
        </w:rPr>
        <w:t>’</w:t>
      </w:r>
      <w:r w:rsidRPr="00381F61">
        <w:rPr>
          <w:rFonts w:ascii="Garamond" w:hAnsi="Garamond"/>
        </w:rPr>
        <w:t xml:space="preserve"> for those not living in ‘social housing’.  Currently that is up to $1</w:t>
      </w:r>
      <w:r w:rsidR="009300AA" w:rsidRPr="00381F61">
        <w:rPr>
          <w:rFonts w:ascii="Garamond" w:hAnsi="Garamond"/>
        </w:rPr>
        <w:t>80</w:t>
      </w:r>
      <w:r w:rsidRPr="00381F61">
        <w:rPr>
          <w:rFonts w:ascii="Garamond" w:hAnsi="Garamond"/>
        </w:rPr>
        <w:t xml:space="preserve"> a week for a superannuitant (depending on where the recipient lives) and is income- and asset-tested.  Higher amounts are possible if there are dependent children (see </w:t>
      </w:r>
      <w:hyperlink r:id="rId36" w:history="1">
        <w:r w:rsidRPr="00381F61">
          <w:rPr>
            <w:rStyle w:val="Hyperlink"/>
            <w:rFonts w:ascii="Garamond" w:hAnsi="Garamond"/>
          </w:rPr>
          <w:t>here</w:t>
        </w:r>
      </w:hyperlink>
      <w:r w:rsidRPr="00381F61">
        <w:rPr>
          <w:rFonts w:ascii="Garamond" w:hAnsi="Garamond"/>
        </w:rPr>
        <w:t xml:space="preserve"> for more).</w:t>
      </w:r>
    </w:p>
    <w:p w14:paraId="7AD74572" w14:textId="77777777" w:rsidR="00953A29" w:rsidRPr="00381F61" w:rsidRDefault="00953A29" w:rsidP="00953A29">
      <w:pPr>
        <w:pStyle w:val="BodyText"/>
        <w:spacing w:after="0"/>
        <w:jc w:val="both"/>
        <w:rPr>
          <w:rFonts w:ascii="Garamond" w:hAnsi="Garamond"/>
        </w:rPr>
      </w:pPr>
    </w:p>
    <w:p w14:paraId="2F902ABD" w14:textId="23F88D7C" w:rsidR="00953A29" w:rsidRPr="00381F61" w:rsidRDefault="00953A29" w:rsidP="00953A29">
      <w:pPr>
        <w:pStyle w:val="BodyText"/>
        <w:spacing w:after="0"/>
        <w:jc w:val="both"/>
        <w:rPr>
          <w:rFonts w:ascii="Garamond" w:hAnsi="Garamond"/>
        </w:rPr>
      </w:pPr>
      <w:r w:rsidRPr="00381F61">
        <w:rPr>
          <w:rFonts w:ascii="Garamond" w:hAnsi="Garamond"/>
        </w:rPr>
        <w:t>We flag this as an issue that is related to the review of the state’s involvement in financial support for older New Zealanders but do not have the knowledge or experience to analyse its implications</w:t>
      </w:r>
      <w:r w:rsidR="00FE2869" w:rsidRPr="00381F61">
        <w:rPr>
          <w:rStyle w:val="FootnoteReference"/>
          <w:rFonts w:ascii="Garamond" w:hAnsi="Garamond"/>
        </w:rPr>
        <w:footnoteReference w:id="75"/>
      </w:r>
      <w:r w:rsidRPr="00381F61">
        <w:rPr>
          <w:rFonts w:ascii="Garamond" w:hAnsi="Garamond"/>
        </w:rPr>
        <w:t xml:space="preserve">.  However, as with NZS itself, we need more, better data about those who retire and who do not own </w:t>
      </w:r>
      <w:r w:rsidR="007F26B0" w:rsidRPr="00381F61">
        <w:rPr>
          <w:rFonts w:ascii="Garamond" w:hAnsi="Garamond"/>
        </w:rPr>
        <w:t xml:space="preserve">or have access to </w:t>
      </w:r>
      <w:r w:rsidRPr="00381F61">
        <w:rPr>
          <w:rFonts w:ascii="Garamond" w:hAnsi="Garamond"/>
        </w:rPr>
        <w:t>a debt-free home.</w:t>
      </w:r>
    </w:p>
    <w:p w14:paraId="16623A85" w14:textId="77777777" w:rsidR="008666E1" w:rsidRPr="00381F61" w:rsidRDefault="008666E1" w:rsidP="00953A29">
      <w:pPr>
        <w:pStyle w:val="BodyText"/>
        <w:spacing w:after="0"/>
        <w:jc w:val="both"/>
        <w:rPr>
          <w:rFonts w:ascii="Garamond" w:hAnsi="Garamond"/>
        </w:rPr>
      </w:pPr>
    </w:p>
    <w:p w14:paraId="516BB00C" w14:textId="01767FC3" w:rsidR="008666E1" w:rsidRPr="00381F61" w:rsidRDefault="008666E1" w:rsidP="00953A29">
      <w:pPr>
        <w:pStyle w:val="BodyText"/>
        <w:spacing w:after="0"/>
        <w:jc w:val="both"/>
        <w:rPr>
          <w:rFonts w:ascii="Garamond" w:hAnsi="Garamond"/>
        </w:rPr>
      </w:pPr>
      <w:r w:rsidRPr="00381F61">
        <w:rPr>
          <w:rFonts w:ascii="Garamond" w:hAnsi="Garamond"/>
        </w:rPr>
        <w:t xml:space="preserve">The Retirement Commissioner’s </w:t>
      </w:r>
      <w:r w:rsidRPr="00381F61">
        <w:rPr>
          <w:rFonts w:ascii="Garamond" w:hAnsi="Garamond"/>
          <w:i/>
        </w:rPr>
        <w:t xml:space="preserve">2016 Review </w:t>
      </w:r>
      <w:r w:rsidRPr="00381F61">
        <w:rPr>
          <w:rFonts w:ascii="Garamond" w:hAnsi="Garamond"/>
        </w:rPr>
        <w:t>recommended an increase in the Accommodation Supplement (</w:t>
      </w:r>
      <w:hyperlink r:id="rId37" w:history="1">
        <w:r w:rsidRPr="00381F61">
          <w:rPr>
            <w:rStyle w:val="Hyperlink"/>
            <w:rFonts w:ascii="Garamond" w:hAnsi="Garamond"/>
          </w:rPr>
          <w:t>here</w:t>
        </w:r>
      </w:hyperlink>
      <w:r w:rsidRPr="00381F61">
        <w:rPr>
          <w:rFonts w:ascii="Garamond" w:hAnsi="Garamond"/>
        </w:rPr>
        <w:t xml:space="preserve"> at page 21) but in an evidence-free kind of way.  There was no discussion or basis for </w:t>
      </w:r>
      <w:r w:rsidR="001532E1" w:rsidRPr="00381F61">
        <w:rPr>
          <w:rFonts w:ascii="Garamond" w:hAnsi="Garamond"/>
        </w:rPr>
        <w:t xml:space="preserve">the </w:t>
      </w:r>
      <w:r w:rsidRPr="00381F61">
        <w:rPr>
          <w:rFonts w:ascii="Garamond" w:hAnsi="Garamond"/>
        </w:rPr>
        <w:t>recommendation, other than “The maximum amount of accommodation supplements were last reviewed in 2005.”  The</w:t>
      </w:r>
      <w:r w:rsidR="009300AA" w:rsidRPr="00381F61">
        <w:rPr>
          <w:rFonts w:ascii="Garamond" w:hAnsi="Garamond"/>
        </w:rPr>
        <w:t>y were</w:t>
      </w:r>
      <w:r w:rsidRPr="00381F61">
        <w:rPr>
          <w:rFonts w:ascii="Garamond" w:hAnsi="Garamond"/>
        </w:rPr>
        <w:t xml:space="preserve"> in fact increased </w:t>
      </w:r>
      <w:r w:rsidR="009300AA" w:rsidRPr="00381F61">
        <w:rPr>
          <w:rFonts w:ascii="Garamond" w:hAnsi="Garamond"/>
        </w:rPr>
        <w:t xml:space="preserve">in 2018 </w:t>
      </w:r>
      <w:r w:rsidRPr="00381F61">
        <w:rPr>
          <w:rFonts w:ascii="Garamond" w:hAnsi="Garamond"/>
        </w:rPr>
        <w:t>but we don’t know the basis, nor whether the rates from 2018 will be ‘enough’</w:t>
      </w:r>
      <w:r w:rsidR="008E64CB" w:rsidRPr="00381F61">
        <w:rPr>
          <w:rFonts w:ascii="Garamond" w:hAnsi="Garamond"/>
        </w:rPr>
        <w:t xml:space="preserve"> but they will be more</w:t>
      </w:r>
      <w:r w:rsidR="009300AA" w:rsidRPr="00381F61">
        <w:rPr>
          <w:rFonts w:ascii="Garamond" w:hAnsi="Garamond"/>
        </w:rPr>
        <w:t xml:space="preserve"> than they were</w:t>
      </w:r>
      <w:r w:rsidR="008E64CB" w:rsidRPr="00381F61">
        <w:rPr>
          <w:rFonts w:ascii="Garamond" w:hAnsi="Garamond"/>
        </w:rPr>
        <w:t>.</w:t>
      </w:r>
    </w:p>
    <w:p w14:paraId="3B2E9779" w14:textId="77777777" w:rsidR="00F2146A" w:rsidRPr="00381F61" w:rsidRDefault="00F2146A" w:rsidP="00E71CEB">
      <w:pPr>
        <w:jc w:val="both"/>
        <w:rPr>
          <w:rFonts w:ascii="Garamond" w:hAnsi="Garamond"/>
        </w:rPr>
      </w:pPr>
    </w:p>
    <w:p w14:paraId="3E949BE5" w14:textId="77777777" w:rsidR="009300AA" w:rsidRPr="00381F61" w:rsidRDefault="009300AA" w:rsidP="009300AA">
      <w:pPr>
        <w:jc w:val="both"/>
        <w:rPr>
          <w:rFonts w:ascii="Garamond" w:hAnsi="Garamond"/>
        </w:rPr>
      </w:pPr>
      <w:r w:rsidRPr="00381F61">
        <w:rPr>
          <w:rFonts w:ascii="Garamond" w:hAnsi="Garamond"/>
          <w:b/>
        </w:rPr>
        <w:t>Terms of reference for 2019 Review</w:t>
      </w:r>
    </w:p>
    <w:p w14:paraId="662D83C5" w14:textId="77777777" w:rsidR="009300AA" w:rsidRPr="00381F61" w:rsidRDefault="009300AA" w:rsidP="009300AA">
      <w:pPr>
        <w:jc w:val="both"/>
        <w:rPr>
          <w:rFonts w:ascii="Garamond" w:hAnsi="Garamond"/>
        </w:rPr>
      </w:pPr>
    </w:p>
    <w:p w14:paraId="7B2505C3" w14:textId="08FD4338" w:rsidR="009300AA" w:rsidRPr="00381F61" w:rsidRDefault="009300AA" w:rsidP="009300AA">
      <w:pPr>
        <w:jc w:val="both"/>
        <w:rPr>
          <w:rFonts w:ascii="Garamond" w:hAnsi="Garamond"/>
        </w:rPr>
      </w:pPr>
      <w:r w:rsidRPr="00381F61">
        <w:rPr>
          <w:rFonts w:ascii="Garamond" w:hAnsi="Garamond"/>
        </w:rPr>
        <w:t xml:space="preserve">The Terms of Reference for the Retirement Commissioner’s 2019 Review do allow for coverage of </w:t>
      </w:r>
      <w:r w:rsidR="005A2736" w:rsidRPr="00381F61">
        <w:rPr>
          <w:rFonts w:ascii="Garamond" w:hAnsi="Garamond"/>
        </w:rPr>
        <w:t xml:space="preserve">some of </w:t>
      </w:r>
      <w:r w:rsidRPr="00381F61">
        <w:rPr>
          <w:rFonts w:ascii="Garamond" w:hAnsi="Garamond"/>
        </w:rPr>
        <w:t>the issues raised in this section.  The Review is asked for:</w:t>
      </w:r>
    </w:p>
    <w:p w14:paraId="35D33871" w14:textId="77777777" w:rsidR="005A2736" w:rsidRPr="00381F61" w:rsidRDefault="005A2736" w:rsidP="005A2736">
      <w:pPr>
        <w:pStyle w:val="ListParagraph"/>
        <w:widowControl w:val="0"/>
        <w:tabs>
          <w:tab w:val="left" w:pos="1187"/>
        </w:tabs>
        <w:autoSpaceDE w:val="0"/>
        <w:autoSpaceDN w:val="0"/>
        <w:ind w:left="284" w:right="411"/>
        <w:contextualSpacing w:val="0"/>
        <w:rPr>
          <w:rFonts w:ascii="Garamond" w:hAnsi="Garamond"/>
          <w:sz w:val="8"/>
          <w:szCs w:val="8"/>
        </w:rPr>
      </w:pPr>
    </w:p>
    <w:p w14:paraId="565B0AF1" w14:textId="54D5E737" w:rsidR="009300AA" w:rsidRPr="00381F61" w:rsidRDefault="005A2736">
      <w:pPr>
        <w:pStyle w:val="ListParagraph"/>
        <w:widowControl w:val="0"/>
        <w:autoSpaceDE w:val="0"/>
        <w:autoSpaceDN w:val="0"/>
        <w:ind w:left="284" w:right="411"/>
        <w:contextualSpacing w:val="0"/>
        <w:rPr>
          <w:rFonts w:ascii="Garamond" w:hAnsi="Garamond"/>
          <w:color w:val="1A1A1A"/>
          <w:sz w:val="22"/>
          <w:szCs w:val="22"/>
        </w:rPr>
      </w:pPr>
      <w:r w:rsidRPr="00381F61">
        <w:rPr>
          <w:rFonts w:ascii="Garamond" w:hAnsi="Garamond"/>
          <w:sz w:val="22"/>
          <w:szCs w:val="22"/>
        </w:rPr>
        <w:t>“</w:t>
      </w:r>
      <w:r w:rsidR="00A05160" w:rsidRPr="00381F61">
        <w:rPr>
          <w:rFonts w:ascii="Garamond" w:hAnsi="Garamond"/>
          <w:sz w:val="22"/>
          <w:szCs w:val="22"/>
        </w:rPr>
        <w:t xml:space="preserve">1. </w:t>
      </w:r>
      <w:r w:rsidRPr="00381F61">
        <w:rPr>
          <w:rFonts w:ascii="Garamond" w:hAnsi="Garamond"/>
          <w:color w:val="1A1A1A"/>
          <w:sz w:val="22"/>
          <w:szCs w:val="22"/>
        </w:rPr>
        <w:t>An assessment of the effectiveness of current retirement policies for</w:t>
      </w:r>
      <w:r w:rsidRPr="00381F61">
        <w:rPr>
          <w:rFonts w:ascii="Garamond" w:hAnsi="Garamond"/>
          <w:color w:val="1A1A1A"/>
          <w:spacing w:val="-44"/>
          <w:sz w:val="22"/>
          <w:szCs w:val="22"/>
        </w:rPr>
        <w:t xml:space="preserve">   </w:t>
      </w:r>
      <w:r w:rsidRPr="00381F61">
        <w:rPr>
          <w:rFonts w:ascii="Garamond" w:hAnsi="Garamond"/>
          <w:color w:val="1A1A1A"/>
          <w:sz w:val="22"/>
          <w:szCs w:val="22"/>
        </w:rPr>
        <w:t>financially vulnerable and low-income groups, and recommendations for any policies that could improve their retirement</w:t>
      </w:r>
      <w:r w:rsidRPr="00381F61">
        <w:rPr>
          <w:rFonts w:ascii="Garamond" w:hAnsi="Garamond"/>
          <w:color w:val="1A1A1A"/>
          <w:spacing w:val="44"/>
          <w:sz w:val="22"/>
          <w:szCs w:val="22"/>
        </w:rPr>
        <w:t xml:space="preserve"> </w:t>
      </w:r>
      <w:r w:rsidRPr="00381F61">
        <w:rPr>
          <w:rFonts w:ascii="Garamond" w:hAnsi="Garamond"/>
          <w:color w:val="1A1A1A"/>
          <w:sz w:val="22"/>
          <w:szCs w:val="22"/>
        </w:rPr>
        <w:t>outcomes.”</w:t>
      </w:r>
    </w:p>
    <w:p w14:paraId="2D140F2F" w14:textId="75974E9F" w:rsidR="00A05160" w:rsidRPr="00381F61" w:rsidRDefault="00A05160" w:rsidP="00701CA1">
      <w:pPr>
        <w:pStyle w:val="ListParagraph"/>
        <w:widowControl w:val="0"/>
        <w:autoSpaceDE w:val="0"/>
        <w:autoSpaceDN w:val="0"/>
        <w:ind w:left="284" w:right="408"/>
        <w:contextualSpacing w:val="0"/>
        <w:rPr>
          <w:rFonts w:ascii="Garamond" w:hAnsi="Garamond"/>
          <w:color w:val="1A1A1A"/>
          <w:sz w:val="8"/>
          <w:szCs w:val="8"/>
        </w:rPr>
      </w:pPr>
    </w:p>
    <w:p w14:paraId="48B00DB7" w14:textId="4E3207EE" w:rsidR="00A05160" w:rsidRPr="00381F61" w:rsidRDefault="00A05160" w:rsidP="00A05160">
      <w:pPr>
        <w:pStyle w:val="ListParagraph"/>
        <w:widowControl w:val="0"/>
        <w:autoSpaceDE w:val="0"/>
        <w:autoSpaceDN w:val="0"/>
        <w:ind w:left="284" w:right="408"/>
        <w:contextualSpacing w:val="0"/>
        <w:rPr>
          <w:rFonts w:ascii="Garamond" w:hAnsi="Garamond"/>
          <w:color w:val="1A1A1A"/>
          <w:sz w:val="22"/>
          <w:szCs w:val="22"/>
        </w:rPr>
      </w:pPr>
      <w:r w:rsidRPr="00381F61">
        <w:rPr>
          <w:rFonts w:ascii="Garamond" w:hAnsi="Garamond"/>
          <w:color w:val="1A1A1A"/>
          <w:sz w:val="22"/>
          <w:szCs w:val="22"/>
        </w:rPr>
        <w:t>…</w:t>
      </w:r>
    </w:p>
    <w:p w14:paraId="70670628" w14:textId="3B641E6C" w:rsidR="00A05160" w:rsidRPr="00381F61" w:rsidRDefault="00A05160" w:rsidP="00A05160">
      <w:pPr>
        <w:pStyle w:val="ListParagraph"/>
        <w:widowControl w:val="0"/>
        <w:autoSpaceDE w:val="0"/>
        <w:autoSpaceDN w:val="0"/>
        <w:ind w:left="284" w:right="408"/>
        <w:contextualSpacing w:val="0"/>
        <w:rPr>
          <w:rFonts w:ascii="Garamond" w:hAnsi="Garamond"/>
          <w:color w:val="1A1A1A"/>
          <w:sz w:val="8"/>
          <w:szCs w:val="8"/>
        </w:rPr>
      </w:pPr>
    </w:p>
    <w:p w14:paraId="0AEFF2AC" w14:textId="12FB879C" w:rsidR="00A05160" w:rsidRPr="00381F61" w:rsidRDefault="00A05160" w:rsidP="00701CA1">
      <w:pPr>
        <w:pStyle w:val="BodyText"/>
        <w:widowControl w:val="0"/>
        <w:tabs>
          <w:tab w:val="left" w:pos="1191"/>
          <w:tab w:val="left" w:pos="1192"/>
        </w:tabs>
        <w:autoSpaceDE w:val="0"/>
        <w:autoSpaceDN w:val="0"/>
        <w:spacing w:after="0"/>
        <w:ind w:left="284"/>
        <w:rPr>
          <w:rFonts w:ascii="Garamond" w:hAnsi="Garamond"/>
          <w:color w:val="1A1A1A"/>
          <w:sz w:val="22"/>
          <w:szCs w:val="22"/>
        </w:rPr>
      </w:pPr>
      <w:r w:rsidRPr="00381F61">
        <w:rPr>
          <w:rFonts w:ascii="Garamond" w:hAnsi="Garamond"/>
          <w:color w:val="1A1A1A"/>
          <w:sz w:val="22"/>
          <w:szCs w:val="22"/>
        </w:rPr>
        <w:t xml:space="preserve">“7. </w:t>
      </w:r>
      <w:r w:rsidRPr="00381F61">
        <w:rPr>
          <w:rFonts w:ascii="Garamond" w:hAnsi="Garamond"/>
          <w:color w:val="1A1A1A"/>
          <w:w w:val="105"/>
          <w:sz w:val="22"/>
          <w:szCs w:val="22"/>
        </w:rPr>
        <w:t>Information about the public’s perception of the purpose and principles of</w:t>
      </w:r>
      <w:r w:rsidRPr="00381F61">
        <w:rPr>
          <w:rFonts w:ascii="Garamond" w:hAnsi="Garamond"/>
          <w:color w:val="1A1A1A"/>
          <w:spacing w:val="9"/>
          <w:w w:val="105"/>
          <w:sz w:val="22"/>
          <w:szCs w:val="22"/>
        </w:rPr>
        <w:t xml:space="preserve"> </w:t>
      </w:r>
      <w:r w:rsidRPr="00381F61">
        <w:rPr>
          <w:rFonts w:ascii="Garamond" w:hAnsi="Garamond"/>
          <w:color w:val="1A1A1A"/>
          <w:w w:val="105"/>
          <w:sz w:val="22"/>
          <w:szCs w:val="22"/>
        </w:rPr>
        <w:t>New Zealand superannuation.”</w:t>
      </w:r>
    </w:p>
    <w:p w14:paraId="7DBF9830" w14:textId="77777777" w:rsidR="009300AA" w:rsidRPr="00381F61" w:rsidRDefault="009300AA" w:rsidP="009300AA">
      <w:pPr>
        <w:jc w:val="both"/>
        <w:rPr>
          <w:rFonts w:ascii="Garamond" w:hAnsi="Garamond"/>
          <w:b/>
        </w:rPr>
      </w:pPr>
    </w:p>
    <w:p w14:paraId="3A3E6512" w14:textId="7DDEAEEA" w:rsidR="009300AA" w:rsidRPr="00381F61" w:rsidRDefault="005A2736" w:rsidP="009300AA">
      <w:pPr>
        <w:jc w:val="both"/>
        <w:rPr>
          <w:rFonts w:ascii="Garamond" w:hAnsi="Garamond"/>
        </w:rPr>
      </w:pPr>
      <w:r w:rsidRPr="00381F61">
        <w:rPr>
          <w:rFonts w:ascii="Garamond" w:hAnsi="Garamond"/>
        </w:rPr>
        <w:t>We think t</w:t>
      </w:r>
      <w:r w:rsidR="009300AA" w:rsidRPr="00381F61">
        <w:rPr>
          <w:rFonts w:ascii="Garamond" w:hAnsi="Garamond"/>
        </w:rPr>
        <w:t>he Review</w:t>
      </w:r>
      <w:r w:rsidRPr="00381F61">
        <w:rPr>
          <w:rFonts w:ascii="Garamond" w:hAnsi="Garamond"/>
        </w:rPr>
        <w:t xml:space="preserve"> should </w:t>
      </w:r>
      <w:r w:rsidR="009300AA" w:rsidRPr="00381F61">
        <w:rPr>
          <w:rFonts w:ascii="Garamond" w:hAnsi="Garamond"/>
        </w:rPr>
        <w:t xml:space="preserve">address </w:t>
      </w:r>
      <w:r w:rsidRPr="00381F61">
        <w:rPr>
          <w:rFonts w:ascii="Garamond" w:hAnsi="Garamond"/>
        </w:rPr>
        <w:t xml:space="preserve">all of </w:t>
      </w:r>
      <w:r w:rsidR="009300AA" w:rsidRPr="00381F61">
        <w:rPr>
          <w:rFonts w:ascii="Garamond" w:hAnsi="Garamond"/>
        </w:rPr>
        <w:t>the following questions</w:t>
      </w:r>
      <w:r w:rsidRPr="00381F61">
        <w:rPr>
          <w:rFonts w:ascii="Garamond" w:hAnsi="Garamond"/>
        </w:rPr>
        <w:t xml:space="preserve"> and not limit itself to issues that affect just “the financially vulnerable and low-income groups”</w:t>
      </w:r>
      <w:r w:rsidR="00980927" w:rsidRPr="00381F61">
        <w:rPr>
          <w:rFonts w:ascii="Garamond" w:hAnsi="Garamond"/>
        </w:rPr>
        <w:t>.  It’s difficult to see why those who are not ‘vulnerable’ or in ‘low-income groups’ should be excluded.</w:t>
      </w:r>
      <w:r w:rsidR="001532E1" w:rsidRPr="00381F61">
        <w:rPr>
          <w:rFonts w:ascii="Garamond" w:hAnsi="Garamond"/>
        </w:rPr>
        <w:t xml:space="preserve">  We need the ‘best’ NZS for all New Zealanders, including taxpayers who must pay for it.</w:t>
      </w:r>
    </w:p>
    <w:p w14:paraId="6CD2C13A" w14:textId="77777777" w:rsidR="005A2736" w:rsidRPr="00381F61" w:rsidRDefault="005A2736" w:rsidP="00E71CEB">
      <w:pPr>
        <w:pStyle w:val="BodyText"/>
        <w:jc w:val="both"/>
        <w:rPr>
          <w:rFonts w:ascii="Garamond" w:hAnsi="Garamond" w:cs="Arial"/>
          <w:b/>
          <w:iCs/>
          <w:color w:val="000000" w:themeColor="text1"/>
        </w:rPr>
      </w:pPr>
    </w:p>
    <w:p w14:paraId="2C17660C" w14:textId="6FCED51E" w:rsidR="002A6699" w:rsidRPr="00381F61" w:rsidRDefault="002A6699" w:rsidP="00E71CEB">
      <w:pPr>
        <w:pStyle w:val="BodyText"/>
        <w:jc w:val="both"/>
        <w:rPr>
          <w:rFonts w:ascii="Garamond" w:hAnsi="Garamond" w:cs="Arial"/>
          <w:b/>
          <w:iCs/>
          <w:color w:val="000000" w:themeColor="text1"/>
        </w:rPr>
      </w:pPr>
      <w:r w:rsidRPr="00381F61">
        <w:rPr>
          <w:rFonts w:ascii="Garamond" w:hAnsi="Garamond" w:cs="Arial"/>
          <w:b/>
          <w:iCs/>
          <w:color w:val="000000" w:themeColor="text1"/>
        </w:rPr>
        <w:t>Questions New Zealand needs to di</w:t>
      </w:r>
      <w:r w:rsidR="00B41402" w:rsidRPr="00381F61">
        <w:rPr>
          <w:rFonts w:ascii="Garamond" w:hAnsi="Garamond" w:cs="Arial"/>
          <w:b/>
          <w:iCs/>
          <w:color w:val="000000" w:themeColor="text1"/>
        </w:rPr>
        <w:t>s</w:t>
      </w:r>
      <w:r w:rsidRPr="00381F61">
        <w:rPr>
          <w:rFonts w:ascii="Garamond" w:hAnsi="Garamond" w:cs="Arial"/>
          <w:b/>
          <w:iCs/>
          <w:color w:val="000000" w:themeColor="text1"/>
        </w:rPr>
        <w:t>cuss</w:t>
      </w:r>
      <w:r w:rsidR="00A256AB" w:rsidRPr="00381F61">
        <w:rPr>
          <w:rFonts w:ascii="Garamond" w:hAnsi="Garamond" w:cs="Arial"/>
          <w:b/>
          <w:iCs/>
          <w:color w:val="000000" w:themeColor="text1"/>
        </w:rPr>
        <w:t xml:space="preserve"> on the review of NZS’s design:</w:t>
      </w:r>
    </w:p>
    <w:p w14:paraId="2D1D56CB" w14:textId="5750AF42" w:rsidR="008B730D" w:rsidRPr="00381F61" w:rsidRDefault="002A6699" w:rsidP="00E71CEB">
      <w:pPr>
        <w:pStyle w:val="BodyText"/>
        <w:jc w:val="both"/>
        <w:rPr>
          <w:rFonts w:ascii="Garamond" w:hAnsi="Garamond"/>
          <w:color w:val="000000" w:themeColor="text1"/>
        </w:rPr>
      </w:pPr>
      <w:r w:rsidRPr="00381F61">
        <w:rPr>
          <w:rFonts w:ascii="Garamond" w:hAnsi="Garamond" w:cs="Arial"/>
          <w:iCs/>
          <w:color w:val="000000" w:themeColor="text1"/>
        </w:rPr>
        <w:t>Based on the analysis in this se</w:t>
      </w:r>
      <w:r w:rsidR="00E34527" w:rsidRPr="00381F61">
        <w:rPr>
          <w:rFonts w:ascii="Garamond" w:hAnsi="Garamond" w:cs="Arial"/>
          <w:iCs/>
          <w:color w:val="000000" w:themeColor="text1"/>
        </w:rPr>
        <w:t>ction, here are the questions New Zealand</w:t>
      </w:r>
      <w:r w:rsidRPr="00381F61">
        <w:rPr>
          <w:rFonts w:ascii="Garamond" w:hAnsi="Garamond" w:cs="Arial"/>
          <w:iCs/>
          <w:color w:val="000000" w:themeColor="text1"/>
        </w:rPr>
        <w:t xml:space="preserve"> need</w:t>
      </w:r>
      <w:r w:rsidR="00E34527" w:rsidRPr="00381F61">
        <w:rPr>
          <w:rFonts w:ascii="Garamond" w:hAnsi="Garamond" w:cs="Arial"/>
          <w:iCs/>
          <w:color w:val="000000" w:themeColor="text1"/>
        </w:rPr>
        <w:t>s</w:t>
      </w:r>
      <w:r w:rsidRPr="00381F61">
        <w:rPr>
          <w:rFonts w:ascii="Garamond" w:hAnsi="Garamond" w:cs="Arial"/>
          <w:iCs/>
          <w:color w:val="000000" w:themeColor="text1"/>
        </w:rPr>
        <w:t xml:space="preserve"> to discuss on the design of NZS:</w:t>
      </w:r>
    </w:p>
    <w:p w14:paraId="5997871B" w14:textId="0AC0CC41" w:rsidR="008B730D" w:rsidRPr="00381F61" w:rsidRDefault="002A6699" w:rsidP="00E71CEB">
      <w:pPr>
        <w:pStyle w:val="BodyText"/>
        <w:numPr>
          <w:ilvl w:val="0"/>
          <w:numId w:val="21"/>
        </w:numPr>
        <w:spacing w:after="0"/>
        <w:ind w:left="1134" w:hanging="567"/>
        <w:jc w:val="both"/>
        <w:rPr>
          <w:rFonts w:ascii="Garamond" w:hAnsi="Garamond"/>
        </w:rPr>
      </w:pPr>
      <w:r w:rsidRPr="00381F61">
        <w:rPr>
          <w:rFonts w:ascii="Garamond" w:hAnsi="Garamond"/>
        </w:rPr>
        <w:t>Should NZS be a u</w:t>
      </w:r>
      <w:r w:rsidR="008B730D" w:rsidRPr="00381F61">
        <w:rPr>
          <w:rFonts w:ascii="Garamond" w:hAnsi="Garamond"/>
        </w:rPr>
        <w:t>niversal pension (as now) or means-tested (assets, income or both)?</w:t>
      </w:r>
      <w:r w:rsidR="00C273D9" w:rsidRPr="00381F61">
        <w:rPr>
          <w:rFonts w:ascii="Garamond" w:hAnsi="Garamond"/>
        </w:rPr>
        <w:t xml:space="preserve">  How administratively do the income and asset tests work in Australia and how do Australians respond to those?</w:t>
      </w:r>
    </w:p>
    <w:p w14:paraId="0D78FAD5" w14:textId="77777777" w:rsidR="00A42E25" w:rsidRPr="00381F61" w:rsidRDefault="00A42E25" w:rsidP="00E71CEB">
      <w:pPr>
        <w:pStyle w:val="BodyText"/>
        <w:spacing w:after="0"/>
        <w:ind w:left="1134" w:hanging="567"/>
        <w:jc w:val="both"/>
        <w:rPr>
          <w:rFonts w:ascii="Garamond" w:hAnsi="Garamond"/>
        </w:rPr>
      </w:pPr>
    </w:p>
    <w:p w14:paraId="2526FD16" w14:textId="13E4ABD4" w:rsidR="008B730D" w:rsidRPr="00381F61" w:rsidRDefault="002A6699" w:rsidP="00E71CEB">
      <w:pPr>
        <w:pStyle w:val="BodyText"/>
        <w:numPr>
          <w:ilvl w:val="0"/>
          <w:numId w:val="21"/>
        </w:numPr>
        <w:spacing w:after="0"/>
        <w:ind w:left="1134" w:hanging="567"/>
        <w:jc w:val="both"/>
        <w:rPr>
          <w:rFonts w:ascii="Garamond" w:hAnsi="Garamond"/>
        </w:rPr>
      </w:pPr>
      <w:r w:rsidRPr="00381F61">
        <w:rPr>
          <w:rFonts w:ascii="Garamond" w:hAnsi="Garamond"/>
        </w:rPr>
        <w:t xml:space="preserve">Should the state pension age be </w:t>
      </w:r>
      <w:r w:rsidR="005A2736" w:rsidRPr="00381F61">
        <w:rPr>
          <w:rFonts w:ascii="Garamond" w:hAnsi="Garamond"/>
        </w:rPr>
        <w:t>increased (as proposed by the last government)</w:t>
      </w:r>
      <w:r w:rsidR="008B730D" w:rsidRPr="00381F61">
        <w:rPr>
          <w:rFonts w:ascii="Garamond" w:hAnsi="Garamond"/>
        </w:rPr>
        <w:t>?  What about earlier</w:t>
      </w:r>
      <w:r w:rsidR="00065E35" w:rsidRPr="00381F61">
        <w:rPr>
          <w:rFonts w:ascii="Garamond" w:hAnsi="Garamond"/>
        </w:rPr>
        <w:t xml:space="preserve"> or, as some suggest, ‘flexible’</w:t>
      </w:r>
      <w:r w:rsidR="008B730D" w:rsidRPr="00381F61">
        <w:rPr>
          <w:rFonts w:ascii="Garamond" w:hAnsi="Garamond"/>
        </w:rPr>
        <w:t>?</w:t>
      </w:r>
    </w:p>
    <w:p w14:paraId="753B647D" w14:textId="77777777" w:rsidR="00A42E25" w:rsidRPr="00381F61" w:rsidRDefault="00A42E25" w:rsidP="00E71CEB">
      <w:pPr>
        <w:pStyle w:val="BodyText"/>
        <w:spacing w:after="0"/>
        <w:ind w:left="1134" w:hanging="567"/>
        <w:jc w:val="both"/>
        <w:rPr>
          <w:rFonts w:ascii="Garamond" w:hAnsi="Garamond"/>
        </w:rPr>
      </w:pPr>
    </w:p>
    <w:p w14:paraId="63C80C82" w14:textId="5BF8037F" w:rsidR="008B730D" w:rsidRPr="00381F61" w:rsidRDefault="002A6699" w:rsidP="00E71CEB">
      <w:pPr>
        <w:pStyle w:val="BodyText"/>
        <w:numPr>
          <w:ilvl w:val="0"/>
          <w:numId w:val="21"/>
        </w:numPr>
        <w:spacing w:after="0"/>
        <w:ind w:left="1134" w:hanging="567"/>
        <w:jc w:val="both"/>
        <w:rPr>
          <w:rFonts w:ascii="Garamond" w:hAnsi="Garamond"/>
        </w:rPr>
      </w:pPr>
      <w:r w:rsidRPr="00381F61">
        <w:rPr>
          <w:rFonts w:ascii="Garamond" w:hAnsi="Garamond"/>
        </w:rPr>
        <w:t xml:space="preserve">Should the minimum residency period be </w:t>
      </w:r>
      <w:r w:rsidR="00294981" w:rsidRPr="00381F61">
        <w:rPr>
          <w:rFonts w:ascii="Garamond" w:hAnsi="Garamond"/>
        </w:rPr>
        <w:t xml:space="preserve">10 years, </w:t>
      </w:r>
      <w:r w:rsidRPr="00381F61">
        <w:rPr>
          <w:rFonts w:ascii="Garamond" w:hAnsi="Garamond"/>
        </w:rPr>
        <w:t>2</w:t>
      </w:r>
      <w:r w:rsidR="00D535CF" w:rsidRPr="00381F61">
        <w:rPr>
          <w:rFonts w:ascii="Garamond" w:hAnsi="Garamond"/>
        </w:rPr>
        <w:t>0 years</w:t>
      </w:r>
      <w:r w:rsidR="008B730D" w:rsidRPr="00381F61">
        <w:rPr>
          <w:rFonts w:ascii="Garamond" w:hAnsi="Garamond"/>
        </w:rPr>
        <w:t xml:space="preserve"> or more?</w:t>
      </w:r>
    </w:p>
    <w:p w14:paraId="2AD497F1" w14:textId="77777777" w:rsidR="00A42E25" w:rsidRPr="00381F61" w:rsidRDefault="00A42E25" w:rsidP="00E71CEB">
      <w:pPr>
        <w:pStyle w:val="BodyText"/>
        <w:spacing w:after="0"/>
        <w:ind w:left="1134" w:hanging="567"/>
        <w:jc w:val="both"/>
        <w:rPr>
          <w:rFonts w:ascii="Garamond" w:hAnsi="Garamond"/>
        </w:rPr>
      </w:pPr>
    </w:p>
    <w:p w14:paraId="79BF3F7F" w14:textId="122187B7" w:rsidR="00A42E25" w:rsidRPr="00381F61" w:rsidRDefault="008B730D" w:rsidP="00E71CEB">
      <w:pPr>
        <w:pStyle w:val="BodyText"/>
        <w:numPr>
          <w:ilvl w:val="0"/>
          <w:numId w:val="21"/>
        </w:numPr>
        <w:spacing w:after="0"/>
        <w:ind w:left="1134" w:hanging="567"/>
        <w:jc w:val="both"/>
        <w:rPr>
          <w:rFonts w:ascii="Garamond" w:hAnsi="Garamond"/>
        </w:rPr>
      </w:pPr>
      <w:r w:rsidRPr="00381F61">
        <w:rPr>
          <w:rFonts w:ascii="Garamond" w:hAnsi="Garamond"/>
        </w:rPr>
        <w:t>How much should NZS be for a couple?</w:t>
      </w:r>
    </w:p>
    <w:p w14:paraId="2B601F7E" w14:textId="77777777" w:rsidR="00A42E25" w:rsidRPr="00381F61" w:rsidRDefault="00A42E25" w:rsidP="00E71CEB">
      <w:pPr>
        <w:pStyle w:val="BodyText"/>
        <w:spacing w:after="0"/>
        <w:ind w:left="1134" w:hanging="567"/>
        <w:jc w:val="both"/>
        <w:rPr>
          <w:rFonts w:ascii="Garamond" w:hAnsi="Garamond"/>
        </w:rPr>
      </w:pPr>
    </w:p>
    <w:p w14:paraId="403FA080" w14:textId="1BFE23BA" w:rsidR="008B730D" w:rsidRPr="00381F61" w:rsidRDefault="008B730D" w:rsidP="00E71CEB">
      <w:pPr>
        <w:pStyle w:val="BodyText"/>
        <w:numPr>
          <w:ilvl w:val="0"/>
          <w:numId w:val="21"/>
        </w:numPr>
        <w:spacing w:after="0"/>
        <w:ind w:left="1134" w:hanging="567"/>
        <w:jc w:val="both"/>
        <w:rPr>
          <w:rFonts w:ascii="Garamond" w:hAnsi="Garamond"/>
        </w:rPr>
      </w:pPr>
      <w:r w:rsidRPr="00381F61">
        <w:rPr>
          <w:rFonts w:ascii="Garamond" w:hAnsi="Garamond"/>
        </w:rPr>
        <w:t xml:space="preserve">How should NZS be re-valued each year? </w:t>
      </w:r>
      <w:r w:rsidR="00065E35" w:rsidRPr="00381F61">
        <w:rPr>
          <w:rFonts w:ascii="Garamond" w:hAnsi="Garamond"/>
        </w:rPr>
        <w:t xml:space="preserve"> </w:t>
      </w:r>
      <w:r w:rsidRPr="00381F61">
        <w:rPr>
          <w:rFonts w:ascii="Garamond" w:hAnsi="Garamond"/>
        </w:rPr>
        <w:t>Why is there a floor?</w:t>
      </w:r>
    </w:p>
    <w:p w14:paraId="51C2DEF7" w14:textId="77777777" w:rsidR="00A42E25" w:rsidRPr="00381F61" w:rsidRDefault="00A42E25" w:rsidP="00E71CEB">
      <w:pPr>
        <w:pStyle w:val="BodyText"/>
        <w:spacing w:after="0"/>
        <w:ind w:left="1134" w:hanging="567"/>
        <w:jc w:val="both"/>
        <w:rPr>
          <w:rFonts w:ascii="Garamond" w:hAnsi="Garamond"/>
        </w:rPr>
      </w:pPr>
    </w:p>
    <w:p w14:paraId="63FD3779" w14:textId="18E65DEF" w:rsidR="008B730D" w:rsidRPr="00381F61" w:rsidRDefault="008B730D" w:rsidP="00E71CEB">
      <w:pPr>
        <w:pStyle w:val="BodyText"/>
        <w:numPr>
          <w:ilvl w:val="0"/>
          <w:numId w:val="21"/>
        </w:numPr>
        <w:spacing w:after="0"/>
        <w:ind w:left="1134" w:hanging="567"/>
        <w:jc w:val="both"/>
        <w:rPr>
          <w:rFonts w:ascii="Garamond" w:hAnsi="Garamond"/>
        </w:rPr>
      </w:pPr>
      <w:r w:rsidRPr="00381F61">
        <w:rPr>
          <w:rFonts w:ascii="Garamond" w:hAnsi="Garamond"/>
        </w:rPr>
        <w:t xml:space="preserve">Should NZS be pre-funded in full, partially (as now) or </w:t>
      </w:r>
      <w:r w:rsidR="00065E35" w:rsidRPr="00381F61">
        <w:rPr>
          <w:rFonts w:ascii="Garamond" w:hAnsi="Garamond"/>
        </w:rPr>
        <w:t xml:space="preserve">paid </w:t>
      </w:r>
      <w:r w:rsidR="00083A72" w:rsidRPr="00381F61">
        <w:rPr>
          <w:rFonts w:ascii="Garamond" w:hAnsi="Garamond"/>
        </w:rPr>
        <w:t xml:space="preserve">on a </w:t>
      </w:r>
      <w:r w:rsidRPr="00381F61">
        <w:rPr>
          <w:rFonts w:ascii="Garamond" w:hAnsi="Garamond"/>
        </w:rPr>
        <w:t>‘pay-as-you-go’</w:t>
      </w:r>
      <w:r w:rsidR="00083A72" w:rsidRPr="00381F61">
        <w:rPr>
          <w:rFonts w:ascii="Garamond" w:hAnsi="Garamond"/>
        </w:rPr>
        <w:t xml:space="preserve"> basis (as was the case until 2001)</w:t>
      </w:r>
      <w:r w:rsidRPr="00381F61">
        <w:rPr>
          <w:rFonts w:ascii="Garamond" w:hAnsi="Garamond"/>
        </w:rPr>
        <w:t>?</w:t>
      </w:r>
      <w:r w:rsidR="000214B7" w:rsidRPr="00381F61">
        <w:rPr>
          <w:rFonts w:ascii="Garamond" w:hAnsi="Garamond"/>
        </w:rPr>
        <w:t xml:space="preserve">  The discussion in the next section </w:t>
      </w:r>
      <w:r w:rsidR="000856CF" w:rsidRPr="00381F61">
        <w:rPr>
          <w:rFonts w:ascii="Garamond" w:hAnsi="Garamond"/>
        </w:rPr>
        <w:t>7</w:t>
      </w:r>
      <w:r w:rsidR="000214B7" w:rsidRPr="00381F61">
        <w:rPr>
          <w:rFonts w:ascii="Garamond" w:hAnsi="Garamond"/>
        </w:rPr>
        <w:t xml:space="preserve"> (The place of the New Zealand Superannuation Fund) is relevant here.</w:t>
      </w:r>
    </w:p>
    <w:p w14:paraId="161F3C44" w14:textId="77777777" w:rsidR="00A42E25" w:rsidRPr="00381F61" w:rsidRDefault="00A42E25" w:rsidP="00E71CEB">
      <w:pPr>
        <w:pStyle w:val="BodyText"/>
        <w:spacing w:after="0"/>
        <w:ind w:left="1134" w:hanging="567"/>
        <w:jc w:val="both"/>
        <w:rPr>
          <w:rFonts w:ascii="Garamond" w:hAnsi="Garamond"/>
        </w:rPr>
      </w:pPr>
    </w:p>
    <w:p w14:paraId="04460928" w14:textId="35326C51" w:rsidR="008B730D" w:rsidRPr="00381F61" w:rsidRDefault="008B730D" w:rsidP="00E71CEB">
      <w:pPr>
        <w:pStyle w:val="BodyText"/>
        <w:numPr>
          <w:ilvl w:val="0"/>
          <w:numId w:val="21"/>
        </w:numPr>
        <w:spacing w:after="0"/>
        <w:ind w:left="1134" w:hanging="567"/>
        <w:jc w:val="both"/>
        <w:rPr>
          <w:rFonts w:ascii="Garamond" w:hAnsi="Garamond"/>
        </w:rPr>
      </w:pPr>
      <w:r w:rsidRPr="00381F61">
        <w:rPr>
          <w:rFonts w:ascii="Garamond" w:hAnsi="Garamond"/>
        </w:rPr>
        <w:t>Should single pensioners get more than each of a couple?</w:t>
      </w:r>
      <w:r w:rsidR="00D535CF" w:rsidRPr="00381F61">
        <w:rPr>
          <w:rFonts w:ascii="Garamond" w:hAnsi="Garamond"/>
        </w:rPr>
        <w:t xml:space="preserve">  How should the single person’s rate be set?</w:t>
      </w:r>
    </w:p>
    <w:p w14:paraId="0900728B" w14:textId="77777777" w:rsidR="00A42E25" w:rsidRPr="00381F61" w:rsidRDefault="00A42E25" w:rsidP="00E71CEB">
      <w:pPr>
        <w:pStyle w:val="BodyText"/>
        <w:spacing w:after="0"/>
        <w:ind w:left="1134" w:hanging="567"/>
        <w:jc w:val="both"/>
        <w:rPr>
          <w:rFonts w:ascii="Garamond" w:hAnsi="Garamond"/>
        </w:rPr>
      </w:pPr>
    </w:p>
    <w:p w14:paraId="0DDA021A" w14:textId="58AE5F0F" w:rsidR="008B730D" w:rsidRPr="00381F61" w:rsidRDefault="008B730D" w:rsidP="00E71CEB">
      <w:pPr>
        <w:pStyle w:val="BodyText"/>
        <w:numPr>
          <w:ilvl w:val="0"/>
          <w:numId w:val="21"/>
        </w:numPr>
        <w:spacing w:after="0"/>
        <w:ind w:left="1134" w:hanging="567"/>
        <w:jc w:val="both"/>
        <w:rPr>
          <w:rFonts w:ascii="Garamond" w:hAnsi="Garamond"/>
        </w:rPr>
      </w:pPr>
      <w:r w:rsidRPr="00381F61">
        <w:rPr>
          <w:rFonts w:ascii="Garamond" w:hAnsi="Garamond"/>
        </w:rPr>
        <w:t>Which overseas pensions should be deducted under section 70?</w:t>
      </w:r>
      <w:r w:rsidR="000214B7" w:rsidRPr="00381F61">
        <w:rPr>
          <w:rFonts w:ascii="Garamond" w:hAnsi="Garamond"/>
        </w:rPr>
        <w:t xml:space="preserve">  There is more on this in section </w:t>
      </w:r>
      <w:r w:rsidR="000856CF" w:rsidRPr="00381F61">
        <w:rPr>
          <w:rFonts w:ascii="Garamond" w:hAnsi="Garamond"/>
        </w:rPr>
        <w:t>8</w:t>
      </w:r>
      <w:r w:rsidR="000214B7" w:rsidRPr="00381F61">
        <w:rPr>
          <w:rFonts w:ascii="Garamond" w:hAnsi="Garamond"/>
        </w:rPr>
        <w:t xml:space="preserve"> below (Overseas’ pensions and section 70 deductions).</w:t>
      </w:r>
    </w:p>
    <w:p w14:paraId="646C2970" w14:textId="77777777" w:rsidR="00A42E25" w:rsidRPr="00381F61" w:rsidRDefault="00A42E25" w:rsidP="00E71CEB">
      <w:pPr>
        <w:pStyle w:val="BodyText"/>
        <w:spacing w:after="0"/>
        <w:ind w:left="1134" w:hanging="567"/>
        <w:jc w:val="both"/>
        <w:rPr>
          <w:rFonts w:ascii="Garamond" w:hAnsi="Garamond"/>
        </w:rPr>
      </w:pPr>
    </w:p>
    <w:p w14:paraId="7F8F4641" w14:textId="61063D6B" w:rsidR="008B730D" w:rsidRPr="00381F61" w:rsidRDefault="008B730D" w:rsidP="00E71CEB">
      <w:pPr>
        <w:pStyle w:val="BodyText"/>
        <w:numPr>
          <w:ilvl w:val="0"/>
          <w:numId w:val="21"/>
        </w:numPr>
        <w:spacing w:after="0"/>
        <w:ind w:left="1134" w:hanging="567"/>
        <w:jc w:val="both"/>
        <w:rPr>
          <w:rFonts w:ascii="Garamond" w:hAnsi="Garamond"/>
        </w:rPr>
      </w:pPr>
      <w:r w:rsidRPr="00381F61">
        <w:rPr>
          <w:rFonts w:ascii="Garamond" w:hAnsi="Garamond"/>
        </w:rPr>
        <w:t>Should ACC recipients lose their NZS</w:t>
      </w:r>
      <w:r w:rsidR="001532E1" w:rsidRPr="00381F61">
        <w:rPr>
          <w:rFonts w:ascii="Garamond" w:hAnsi="Garamond"/>
        </w:rPr>
        <w:t xml:space="preserve"> after two years</w:t>
      </w:r>
      <w:r w:rsidRPr="00381F61">
        <w:rPr>
          <w:rFonts w:ascii="Garamond" w:hAnsi="Garamond"/>
        </w:rPr>
        <w:t>?</w:t>
      </w:r>
    </w:p>
    <w:p w14:paraId="26A90621" w14:textId="77777777" w:rsidR="00A42E25" w:rsidRPr="00381F61" w:rsidRDefault="00A42E25" w:rsidP="00E71CEB">
      <w:pPr>
        <w:pStyle w:val="BodyText"/>
        <w:spacing w:after="0"/>
        <w:ind w:left="1134" w:hanging="567"/>
        <w:jc w:val="both"/>
        <w:rPr>
          <w:rFonts w:ascii="Garamond" w:hAnsi="Garamond"/>
        </w:rPr>
      </w:pPr>
    </w:p>
    <w:p w14:paraId="36872F43" w14:textId="77777777" w:rsidR="008B730D" w:rsidRPr="00381F61" w:rsidRDefault="008B730D" w:rsidP="00E71CEB">
      <w:pPr>
        <w:pStyle w:val="BodyText"/>
        <w:numPr>
          <w:ilvl w:val="0"/>
          <w:numId w:val="21"/>
        </w:numPr>
        <w:spacing w:after="0"/>
        <w:ind w:left="1134" w:hanging="567"/>
        <w:jc w:val="both"/>
        <w:rPr>
          <w:rFonts w:ascii="Garamond" w:hAnsi="Garamond"/>
        </w:rPr>
      </w:pPr>
      <w:r w:rsidRPr="00381F61">
        <w:rPr>
          <w:rFonts w:ascii="Garamond" w:hAnsi="Garamond"/>
        </w:rPr>
        <w:t>Should there be ‘approved’ absences overseas for the residence test?</w:t>
      </w:r>
    </w:p>
    <w:p w14:paraId="2F56F4D0" w14:textId="77777777" w:rsidR="00A42E25" w:rsidRPr="00381F61" w:rsidRDefault="00A42E25" w:rsidP="00E71CEB">
      <w:pPr>
        <w:pStyle w:val="BodyText"/>
        <w:spacing w:after="0"/>
        <w:ind w:left="1134" w:hanging="567"/>
        <w:jc w:val="both"/>
        <w:rPr>
          <w:rFonts w:ascii="Garamond" w:hAnsi="Garamond"/>
        </w:rPr>
      </w:pPr>
    </w:p>
    <w:p w14:paraId="7B2CFCB8" w14:textId="77777777" w:rsidR="008B730D" w:rsidRPr="00381F61" w:rsidRDefault="008B730D" w:rsidP="00E71CEB">
      <w:pPr>
        <w:pStyle w:val="BodyText"/>
        <w:numPr>
          <w:ilvl w:val="0"/>
          <w:numId w:val="21"/>
        </w:numPr>
        <w:spacing w:after="0"/>
        <w:ind w:left="1134" w:hanging="567"/>
        <w:jc w:val="both"/>
        <w:rPr>
          <w:rFonts w:ascii="Garamond" w:hAnsi="Garamond"/>
        </w:rPr>
      </w:pPr>
      <w:r w:rsidRPr="00381F61">
        <w:rPr>
          <w:rFonts w:ascii="Garamond" w:hAnsi="Garamond"/>
        </w:rPr>
        <w:t>How much should the ‘hospital rate’ be?</w:t>
      </w:r>
    </w:p>
    <w:p w14:paraId="6D1C1C42" w14:textId="77777777" w:rsidR="00A42E25" w:rsidRPr="00381F61" w:rsidRDefault="00A42E25" w:rsidP="00E71CEB">
      <w:pPr>
        <w:pStyle w:val="BodyText"/>
        <w:spacing w:after="0"/>
        <w:ind w:left="1134" w:hanging="567"/>
        <w:jc w:val="both"/>
        <w:rPr>
          <w:rFonts w:ascii="Garamond" w:hAnsi="Garamond"/>
        </w:rPr>
      </w:pPr>
    </w:p>
    <w:p w14:paraId="07E827D1" w14:textId="77777777" w:rsidR="008B730D" w:rsidRPr="00381F61" w:rsidRDefault="008B730D" w:rsidP="00E71CEB">
      <w:pPr>
        <w:pStyle w:val="BodyText"/>
        <w:numPr>
          <w:ilvl w:val="0"/>
          <w:numId w:val="21"/>
        </w:numPr>
        <w:spacing w:after="0"/>
        <w:ind w:left="1134" w:hanging="567"/>
        <w:jc w:val="both"/>
        <w:rPr>
          <w:rFonts w:ascii="Garamond" w:hAnsi="Garamond"/>
        </w:rPr>
      </w:pPr>
      <w:r w:rsidRPr="00381F61">
        <w:rPr>
          <w:rFonts w:ascii="Garamond" w:hAnsi="Garamond"/>
        </w:rPr>
        <w:lastRenderedPageBreak/>
        <w:t>Should overseas residents be entitled to any NZS?  Should that be tax-free?</w:t>
      </w:r>
    </w:p>
    <w:p w14:paraId="26F7D219" w14:textId="77777777" w:rsidR="00A42E25" w:rsidRPr="00381F61" w:rsidRDefault="00A42E25" w:rsidP="00E71CEB">
      <w:pPr>
        <w:pStyle w:val="BodyText"/>
        <w:spacing w:after="0"/>
        <w:ind w:left="1134" w:hanging="567"/>
        <w:jc w:val="both"/>
        <w:rPr>
          <w:rFonts w:ascii="Garamond" w:hAnsi="Garamond"/>
        </w:rPr>
      </w:pPr>
    </w:p>
    <w:p w14:paraId="704C31E6" w14:textId="348195FF" w:rsidR="008B730D" w:rsidRPr="00381F61" w:rsidRDefault="008B730D" w:rsidP="00E71CEB">
      <w:pPr>
        <w:pStyle w:val="BodyText"/>
        <w:numPr>
          <w:ilvl w:val="0"/>
          <w:numId w:val="21"/>
        </w:numPr>
        <w:spacing w:after="0"/>
        <w:ind w:left="1134" w:hanging="567"/>
        <w:jc w:val="both"/>
        <w:rPr>
          <w:rFonts w:ascii="Garamond" w:hAnsi="Garamond"/>
        </w:rPr>
      </w:pPr>
      <w:r w:rsidRPr="00381F61">
        <w:rPr>
          <w:rFonts w:ascii="Garamond" w:hAnsi="Garamond"/>
        </w:rPr>
        <w:t>How</w:t>
      </w:r>
      <w:r w:rsidR="00B90665" w:rsidRPr="00381F61">
        <w:rPr>
          <w:rFonts w:ascii="Garamond" w:hAnsi="Garamond"/>
        </w:rPr>
        <w:t xml:space="preserve"> should all this be review</w:t>
      </w:r>
      <w:r w:rsidR="00083A72" w:rsidRPr="00381F61">
        <w:rPr>
          <w:rFonts w:ascii="Garamond" w:hAnsi="Garamond"/>
        </w:rPr>
        <w:t>ed?  We think the present three-</w:t>
      </w:r>
      <w:r w:rsidR="00B90665" w:rsidRPr="00381F61">
        <w:rPr>
          <w:rFonts w:ascii="Garamond" w:hAnsi="Garamond"/>
        </w:rPr>
        <w:t>yearly review isn’t working – there is more on this in section 2</w:t>
      </w:r>
      <w:r w:rsidR="000856CF" w:rsidRPr="00381F61">
        <w:rPr>
          <w:rFonts w:ascii="Garamond" w:hAnsi="Garamond"/>
        </w:rPr>
        <w:t>1</w:t>
      </w:r>
      <w:r w:rsidR="00B90665" w:rsidRPr="00381F61">
        <w:rPr>
          <w:rFonts w:ascii="Garamond" w:hAnsi="Garamond"/>
        </w:rPr>
        <w:t xml:space="preserve"> </w:t>
      </w:r>
      <w:r w:rsidR="007838C1" w:rsidRPr="00381F61">
        <w:rPr>
          <w:rFonts w:ascii="Garamond" w:hAnsi="Garamond"/>
        </w:rPr>
        <w:t xml:space="preserve">below </w:t>
      </w:r>
      <w:r w:rsidR="00065E35" w:rsidRPr="00381F61">
        <w:rPr>
          <w:rFonts w:ascii="Garamond" w:hAnsi="Garamond"/>
        </w:rPr>
        <w:t>(The review process)</w:t>
      </w:r>
      <w:r w:rsidRPr="00381F61">
        <w:rPr>
          <w:rFonts w:ascii="Garamond" w:hAnsi="Garamond"/>
        </w:rPr>
        <w:t>.</w:t>
      </w:r>
    </w:p>
    <w:p w14:paraId="2276B424" w14:textId="77777777" w:rsidR="00A42E25" w:rsidRPr="00381F61" w:rsidRDefault="00A42E25" w:rsidP="00E71CEB">
      <w:pPr>
        <w:pStyle w:val="BodyText"/>
        <w:spacing w:after="0"/>
        <w:ind w:left="1134" w:hanging="567"/>
        <w:jc w:val="both"/>
        <w:rPr>
          <w:rFonts w:ascii="Garamond" w:hAnsi="Garamond"/>
        </w:rPr>
      </w:pPr>
    </w:p>
    <w:p w14:paraId="61A90B24" w14:textId="6C07A440" w:rsidR="008B730D" w:rsidRPr="00381F61" w:rsidRDefault="008B730D" w:rsidP="00E71CEB">
      <w:pPr>
        <w:pStyle w:val="BodyText"/>
        <w:numPr>
          <w:ilvl w:val="0"/>
          <w:numId w:val="21"/>
        </w:numPr>
        <w:spacing w:after="0"/>
        <w:ind w:left="1134" w:hanging="567"/>
        <w:jc w:val="both"/>
        <w:rPr>
          <w:rFonts w:ascii="Garamond" w:hAnsi="Garamond"/>
        </w:rPr>
      </w:pPr>
      <w:r w:rsidRPr="00381F61">
        <w:rPr>
          <w:rFonts w:ascii="Garamond" w:hAnsi="Garamond"/>
        </w:rPr>
        <w:t>Then we need to agree the transition between current and future benefits (if changed).</w:t>
      </w:r>
    </w:p>
    <w:p w14:paraId="1A740483" w14:textId="77777777" w:rsidR="00392F95" w:rsidRPr="00381F61" w:rsidRDefault="00392F95" w:rsidP="007675DE">
      <w:pPr>
        <w:pStyle w:val="BodyText"/>
        <w:spacing w:after="0"/>
        <w:jc w:val="both"/>
        <w:rPr>
          <w:rFonts w:ascii="Garamond" w:hAnsi="Garamond"/>
        </w:rPr>
      </w:pPr>
    </w:p>
    <w:p w14:paraId="1F650D94" w14:textId="7AEFD2DD" w:rsidR="00392F95" w:rsidRPr="00381F61" w:rsidRDefault="00392F95" w:rsidP="007675DE">
      <w:pPr>
        <w:pStyle w:val="BodyText"/>
        <w:spacing w:after="0"/>
        <w:jc w:val="both"/>
        <w:rPr>
          <w:rFonts w:ascii="Garamond" w:hAnsi="Garamond"/>
        </w:rPr>
      </w:pPr>
      <w:r w:rsidRPr="00381F61">
        <w:rPr>
          <w:rFonts w:ascii="Garamond" w:hAnsi="Garamond"/>
        </w:rPr>
        <w:t xml:space="preserve">Discussion of any reform should begin with agreement on the principles before the detail of any reform is examined. </w:t>
      </w:r>
    </w:p>
    <w:p w14:paraId="1ACF0EB7" w14:textId="147439C8" w:rsidR="00A97583" w:rsidRPr="00381F61" w:rsidRDefault="00A97583" w:rsidP="00E71CEB">
      <w:pPr>
        <w:jc w:val="both"/>
        <w:rPr>
          <w:rFonts w:ascii="Garamond" w:hAnsi="Garamond"/>
        </w:rPr>
      </w:pPr>
      <w:r w:rsidRPr="00381F61">
        <w:rPr>
          <w:rFonts w:ascii="Garamond" w:hAnsi="Garamond"/>
        </w:rPr>
        <w:br w:type="page"/>
      </w:r>
    </w:p>
    <w:p w14:paraId="4B5F52F5" w14:textId="6A641F6A" w:rsidR="00A97583" w:rsidRPr="00381F61" w:rsidRDefault="00F519BC" w:rsidP="00E71CEB">
      <w:pPr>
        <w:jc w:val="both"/>
        <w:rPr>
          <w:rFonts w:ascii="Garamond" w:hAnsi="Garamond"/>
          <w:b/>
        </w:rPr>
      </w:pPr>
      <w:r w:rsidRPr="00381F61">
        <w:rPr>
          <w:rFonts w:ascii="Garamond" w:hAnsi="Garamond"/>
          <w:b/>
        </w:rPr>
        <w:lastRenderedPageBreak/>
        <w:t>7</w:t>
      </w:r>
      <w:r w:rsidR="003F3C99" w:rsidRPr="00381F61">
        <w:rPr>
          <w:rFonts w:ascii="Garamond" w:hAnsi="Garamond"/>
          <w:b/>
        </w:rPr>
        <w:t>.</w:t>
      </w:r>
      <w:r w:rsidR="003F3C99" w:rsidRPr="00381F61">
        <w:rPr>
          <w:rFonts w:ascii="Garamond" w:hAnsi="Garamond"/>
          <w:b/>
        </w:rPr>
        <w:tab/>
      </w:r>
      <w:r w:rsidR="0058000F" w:rsidRPr="00381F61">
        <w:rPr>
          <w:rFonts w:ascii="Garamond" w:hAnsi="Garamond"/>
          <w:b/>
        </w:rPr>
        <w:t>The place of the New Zealand Superannuation Fund</w:t>
      </w:r>
      <w:r w:rsidR="004D3A3C" w:rsidRPr="00381F61">
        <w:rPr>
          <w:rFonts w:ascii="Garamond" w:hAnsi="Garamond"/>
          <w:b/>
        </w:rPr>
        <w:t>.</w:t>
      </w:r>
    </w:p>
    <w:p w14:paraId="265AD534" w14:textId="77777777" w:rsidR="003F3C99" w:rsidRPr="00381F61" w:rsidRDefault="003F3C99" w:rsidP="00E71CEB">
      <w:pPr>
        <w:pStyle w:val="FootnoteText"/>
        <w:jc w:val="both"/>
        <w:rPr>
          <w:rFonts w:ascii="Garamond" w:hAnsi="Garamond"/>
        </w:rPr>
      </w:pPr>
    </w:p>
    <w:p w14:paraId="371A64D3" w14:textId="77777777" w:rsidR="00245202" w:rsidRPr="00381F61" w:rsidRDefault="004206C9" w:rsidP="00E71CEB">
      <w:pPr>
        <w:pStyle w:val="FootnoteText"/>
        <w:jc w:val="both"/>
        <w:rPr>
          <w:rFonts w:ascii="Garamond" w:hAnsi="Garamond"/>
        </w:rPr>
      </w:pPr>
      <w:r w:rsidRPr="00381F61">
        <w:rPr>
          <w:rFonts w:ascii="Garamond" w:hAnsi="Garamond"/>
        </w:rPr>
        <w:t>The government has resumed contributions to the New Zealand Superannuation Fund (NZSF).  Over the years 2019-2035, it anticipates contributing a total of $24.45 billion</w:t>
      </w:r>
      <w:r w:rsidRPr="00381F61">
        <w:rPr>
          <w:rStyle w:val="FootnoteReference"/>
          <w:rFonts w:ascii="Garamond" w:hAnsi="Garamond"/>
        </w:rPr>
        <w:footnoteReference w:id="76"/>
      </w:r>
      <w:r w:rsidRPr="00381F61">
        <w:rPr>
          <w:rFonts w:ascii="Garamond" w:hAnsi="Garamond"/>
        </w:rPr>
        <w:t xml:space="preserve">.  </w:t>
      </w:r>
    </w:p>
    <w:p w14:paraId="6D454ABB" w14:textId="77777777" w:rsidR="00245202" w:rsidRPr="00381F61" w:rsidRDefault="00245202" w:rsidP="00E71CEB">
      <w:pPr>
        <w:pStyle w:val="FootnoteText"/>
        <w:jc w:val="both"/>
        <w:rPr>
          <w:rFonts w:ascii="Garamond" w:hAnsi="Garamond"/>
          <w:sz w:val="8"/>
          <w:szCs w:val="8"/>
        </w:rPr>
      </w:pPr>
    </w:p>
    <w:p w14:paraId="0BB14220" w14:textId="77777777" w:rsidR="00245202" w:rsidRPr="00381F61" w:rsidRDefault="00245202" w:rsidP="00245202">
      <w:pPr>
        <w:ind w:left="426"/>
        <w:jc w:val="both"/>
        <w:rPr>
          <w:rFonts w:ascii="Garamond" w:hAnsi="Garamond" w:cs="Arial"/>
          <w:color w:val="000000"/>
          <w:sz w:val="22"/>
          <w:szCs w:val="22"/>
          <w:shd w:val="clear" w:color="auto" w:fill="FFFFFF"/>
        </w:rPr>
      </w:pPr>
      <w:r w:rsidRPr="00381F61">
        <w:rPr>
          <w:rFonts w:ascii="Garamond" w:hAnsi="Garamond" w:cs="Arial"/>
          <w:color w:val="000000"/>
          <w:sz w:val="22"/>
          <w:szCs w:val="22"/>
          <w:shd w:val="clear" w:color="auto" w:fill="FFFFFF"/>
        </w:rPr>
        <w:t xml:space="preserve">“These are important intergenerational investments, which look out beyond 30 years and beyond the electoral cycle.  By resuming Government contributions to the super fund, we are helping to protect the Government’s ability to keep the super age at 65 and showing that we care about future generations. The super fund—the Cullen fund—is a great legacy to New Zealand.” </w:t>
      </w:r>
    </w:p>
    <w:p w14:paraId="350BA05E" w14:textId="020EC53C" w:rsidR="00245202" w:rsidRPr="00381F61" w:rsidRDefault="00245202" w:rsidP="00701CA1">
      <w:pPr>
        <w:ind w:left="426"/>
        <w:jc w:val="both"/>
        <w:rPr>
          <w:rFonts w:ascii="Garamond" w:hAnsi="Garamond"/>
          <w:sz w:val="22"/>
          <w:szCs w:val="22"/>
        </w:rPr>
      </w:pPr>
      <w:r w:rsidRPr="00381F61">
        <w:rPr>
          <w:rFonts w:ascii="Garamond" w:hAnsi="Garamond" w:cs="Arial"/>
          <w:color w:val="000000"/>
          <w:sz w:val="22"/>
          <w:szCs w:val="22"/>
          <w:shd w:val="clear" w:color="auto" w:fill="FFFFFF"/>
        </w:rPr>
        <w:t>Grant Robertson, Minister of Finance, Parliamentary Questions, 31 October 2018.</w:t>
      </w:r>
    </w:p>
    <w:p w14:paraId="36E98F6E" w14:textId="77777777" w:rsidR="00245202" w:rsidRPr="00381F61" w:rsidRDefault="00245202" w:rsidP="00E71CEB">
      <w:pPr>
        <w:pStyle w:val="FootnoteText"/>
        <w:jc w:val="both"/>
        <w:rPr>
          <w:rFonts w:ascii="Garamond" w:hAnsi="Garamond"/>
        </w:rPr>
      </w:pPr>
    </w:p>
    <w:p w14:paraId="5790BBC7" w14:textId="1650DAE0" w:rsidR="004206C9" w:rsidRPr="00381F61" w:rsidRDefault="004206C9" w:rsidP="00E71CEB">
      <w:pPr>
        <w:pStyle w:val="FootnoteText"/>
        <w:jc w:val="both"/>
        <w:rPr>
          <w:rFonts w:ascii="Garamond" w:hAnsi="Garamond"/>
        </w:rPr>
      </w:pPr>
      <w:r w:rsidRPr="00381F61">
        <w:rPr>
          <w:rFonts w:ascii="Garamond" w:hAnsi="Garamond"/>
        </w:rPr>
        <w:t>Most seem to agree that this is appropriate.  For example:</w:t>
      </w:r>
    </w:p>
    <w:p w14:paraId="6B54ABC5" w14:textId="6EA9D48E" w:rsidR="00245202" w:rsidRPr="00381F61" w:rsidRDefault="003F3C99" w:rsidP="004206C9">
      <w:pPr>
        <w:pStyle w:val="FootnoteText"/>
        <w:numPr>
          <w:ilvl w:val="0"/>
          <w:numId w:val="46"/>
        </w:numPr>
        <w:jc w:val="both"/>
        <w:rPr>
          <w:rFonts w:ascii="Garamond" w:hAnsi="Garamond"/>
        </w:rPr>
      </w:pPr>
      <w:r w:rsidRPr="00381F61">
        <w:rPr>
          <w:rFonts w:ascii="Garamond" w:hAnsi="Garamond"/>
        </w:rPr>
        <w:t>The Retirement Commissioner</w:t>
      </w:r>
      <w:r w:rsidR="0095453E" w:rsidRPr="00381F61">
        <w:rPr>
          <w:rFonts w:ascii="Garamond" w:hAnsi="Garamond"/>
        </w:rPr>
        <w:t xml:space="preserve"> </w:t>
      </w:r>
      <w:r w:rsidRPr="00381F61">
        <w:rPr>
          <w:rFonts w:ascii="Garamond" w:hAnsi="Garamond"/>
        </w:rPr>
        <w:t>sa</w:t>
      </w:r>
      <w:r w:rsidR="004206C9" w:rsidRPr="00381F61">
        <w:rPr>
          <w:rFonts w:ascii="Garamond" w:hAnsi="Garamond"/>
        </w:rPr>
        <w:t>id</w:t>
      </w:r>
      <w:r w:rsidRPr="00381F61">
        <w:rPr>
          <w:rFonts w:ascii="Garamond" w:hAnsi="Garamond"/>
        </w:rPr>
        <w:t xml:space="preserve"> that the NZSF “…helps contribute to the long term affordability of [New Zealand Superannuation]…”</w:t>
      </w:r>
      <w:r w:rsidR="006836DC" w:rsidRPr="00381F61">
        <w:rPr>
          <w:rStyle w:val="FootnoteReference"/>
          <w:rFonts w:ascii="Garamond" w:hAnsi="Garamond"/>
        </w:rPr>
        <w:footnoteReference w:id="77"/>
      </w:r>
    </w:p>
    <w:p w14:paraId="222A7D78" w14:textId="2655B5E4" w:rsidR="003F3C99" w:rsidRPr="00381F61" w:rsidRDefault="00FF263D" w:rsidP="00701CA1">
      <w:pPr>
        <w:pStyle w:val="FootnoteText"/>
        <w:numPr>
          <w:ilvl w:val="0"/>
          <w:numId w:val="46"/>
        </w:numPr>
        <w:jc w:val="both"/>
        <w:rPr>
          <w:rFonts w:ascii="Garamond" w:hAnsi="Garamond"/>
        </w:rPr>
      </w:pPr>
      <w:r w:rsidRPr="00381F61">
        <w:rPr>
          <w:rFonts w:ascii="Garamond" w:hAnsi="Garamond"/>
        </w:rPr>
        <w:t xml:space="preserve">The </w:t>
      </w:r>
      <w:r w:rsidR="00245202" w:rsidRPr="00381F61">
        <w:rPr>
          <w:rFonts w:ascii="Garamond" w:hAnsi="Garamond"/>
        </w:rPr>
        <w:t xml:space="preserve">last </w:t>
      </w:r>
      <w:r w:rsidRPr="00381F61">
        <w:rPr>
          <w:rFonts w:ascii="Garamond" w:hAnsi="Garamond"/>
        </w:rPr>
        <w:t>government agree</w:t>
      </w:r>
      <w:r w:rsidR="00245202" w:rsidRPr="00381F61">
        <w:rPr>
          <w:rFonts w:ascii="Garamond" w:hAnsi="Garamond"/>
        </w:rPr>
        <w:t>d,</w:t>
      </w:r>
      <w:r w:rsidRPr="00381F61">
        <w:rPr>
          <w:rFonts w:ascii="Garamond" w:hAnsi="Garamond"/>
        </w:rPr>
        <w:t xml:space="preserve"> the only issue being when contributions should resume</w:t>
      </w:r>
      <w:r w:rsidR="00BE6BA7" w:rsidRPr="00381F61">
        <w:rPr>
          <w:rFonts w:ascii="Garamond" w:hAnsi="Garamond"/>
        </w:rPr>
        <w:t>.</w:t>
      </w:r>
    </w:p>
    <w:p w14:paraId="531C3331" w14:textId="77777777" w:rsidR="003F3C99" w:rsidRPr="00381F61" w:rsidRDefault="003F3C99" w:rsidP="00E71CEB">
      <w:pPr>
        <w:pStyle w:val="FootnoteText"/>
        <w:jc w:val="both"/>
        <w:rPr>
          <w:rFonts w:ascii="Garamond" w:hAnsi="Garamond"/>
        </w:rPr>
      </w:pPr>
    </w:p>
    <w:p w14:paraId="7BE4CD64" w14:textId="40D08F00" w:rsidR="003F3C99" w:rsidRPr="00381F61" w:rsidRDefault="003F3C99" w:rsidP="00E71CEB">
      <w:pPr>
        <w:pStyle w:val="FootnoteText"/>
        <w:jc w:val="both"/>
        <w:rPr>
          <w:rFonts w:ascii="Garamond" w:hAnsi="Garamond"/>
        </w:rPr>
      </w:pPr>
      <w:r w:rsidRPr="00381F61">
        <w:rPr>
          <w:rFonts w:ascii="Garamond" w:hAnsi="Garamond"/>
        </w:rPr>
        <w:t xml:space="preserve">The NZSF was set up in 2001 to, in the words of then Finance Minister, Michael Cullen, “…smooth the future increase in the cost </w:t>
      </w:r>
      <w:r w:rsidR="004A5CF7" w:rsidRPr="00381F61">
        <w:rPr>
          <w:rFonts w:ascii="Garamond" w:hAnsi="Garamond"/>
        </w:rPr>
        <w:t>of superannuation over time</w:t>
      </w:r>
      <w:r w:rsidRPr="00381F61">
        <w:rPr>
          <w:rFonts w:ascii="Garamond" w:hAnsi="Garamond"/>
        </w:rPr>
        <w:t>”</w:t>
      </w:r>
      <w:r w:rsidR="004A5CF7" w:rsidRPr="00381F61">
        <w:rPr>
          <w:rStyle w:val="FootnoteReference"/>
          <w:rFonts w:ascii="Garamond" w:hAnsi="Garamond"/>
        </w:rPr>
        <w:footnoteReference w:id="78"/>
      </w:r>
      <w:r w:rsidRPr="00381F61">
        <w:rPr>
          <w:rFonts w:ascii="Garamond" w:hAnsi="Garamond"/>
        </w:rPr>
        <w:t>.</w:t>
      </w:r>
    </w:p>
    <w:p w14:paraId="13A8796E" w14:textId="77777777" w:rsidR="003F3C99" w:rsidRPr="00381F61" w:rsidRDefault="003F3C99" w:rsidP="00E71CEB">
      <w:pPr>
        <w:pStyle w:val="FootnoteText"/>
        <w:jc w:val="both"/>
        <w:rPr>
          <w:rFonts w:ascii="Garamond" w:hAnsi="Garamond"/>
        </w:rPr>
      </w:pPr>
    </w:p>
    <w:p w14:paraId="41472D6E" w14:textId="2A4AF381" w:rsidR="003F3C99" w:rsidRPr="00381F61" w:rsidRDefault="00245202" w:rsidP="00E71CEB">
      <w:pPr>
        <w:pStyle w:val="FootnoteText"/>
        <w:jc w:val="both"/>
        <w:rPr>
          <w:rFonts w:ascii="Garamond" w:hAnsi="Garamond"/>
        </w:rPr>
      </w:pPr>
      <w:r w:rsidRPr="00381F61">
        <w:rPr>
          <w:rFonts w:ascii="Garamond" w:hAnsi="Garamond"/>
        </w:rPr>
        <w:t>However, t</w:t>
      </w:r>
      <w:r w:rsidR="003F3C99" w:rsidRPr="00381F61">
        <w:rPr>
          <w:rFonts w:ascii="Garamond" w:hAnsi="Garamond"/>
        </w:rPr>
        <w:t>he NZSF will not reduce the future cost of NZS by one dollar</w:t>
      </w:r>
      <w:r w:rsidR="00BE65AA" w:rsidRPr="00381F61">
        <w:rPr>
          <w:rFonts w:ascii="Garamond" w:hAnsi="Garamond"/>
        </w:rPr>
        <w:t xml:space="preserve"> – it may</w:t>
      </w:r>
      <w:r w:rsidR="00065E35" w:rsidRPr="00381F61">
        <w:rPr>
          <w:rFonts w:ascii="Garamond" w:hAnsi="Garamond"/>
        </w:rPr>
        <w:t xml:space="preserve"> </w:t>
      </w:r>
      <w:r w:rsidR="000137D4" w:rsidRPr="00381F61">
        <w:rPr>
          <w:rFonts w:ascii="Garamond" w:hAnsi="Garamond"/>
        </w:rPr>
        <w:t xml:space="preserve">very </w:t>
      </w:r>
      <w:r w:rsidR="00065E35" w:rsidRPr="00381F61">
        <w:rPr>
          <w:rFonts w:ascii="Garamond" w:hAnsi="Garamond"/>
          <w:i/>
        </w:rPr>
        <w:t>partially</w:t>
      </w:r>
      <w:r w:rsidR="00BE65AA" w:rsidRPr="00381F61">
        <w:rPr>
          <w:rFonts w:ascii="Garamond" w:hAnsi="Garamond"/>
        </w:rPr>
        <w:t xml:space="preserve"> ‘smooth’ </w:t>
      </w:r>
      <w:r w:rsidR="00204FD4" w:rsidRPr="00381F61">
        <w:rPr>
          <w:rFonts w:ascii="Garamond" w:hAnsi="Garamond"/>
        </w:rPr>
        <w:t xml:space="preserve">the incidence of </w:t>
      </w:r>
      <w:r w:rsidR="00BE6BA7" w:rsidRPr="00381F61">
        <w:rPr>
          <w:rFonts w:ascii="Garamond" w:hAnsi="Garamond"/>
        </w:rPr>
        <w:t xml:space="preserve">funding </w:t>
      </w:r>
      <w:r w:rsidR="00BE65AA" w:rsidRPr="00381F61">
        <w:rPr>
          <w:rFonts w:ascii="Garamond" w:hAnsi="Garamond"/>
        </w:rPr>
        <w:t>that cost but doesn’t change it</w:t>
      </w:r>
      <w:r w:rsidR="003F3C99" w:rsidRPr="00381F61">
        <w:rPr>
          <w:rFonts w:ascii="Garamond" w:hAnsi="Garamond"/>
        </w:rPr>
        <w:t>.  Re-starting the government’s</w:t>
      </w:r>
      <w:r w:rsidR="00BE65AA" w:rsidRPr="00381F61">
        <w:rPr>
          <w:rFonts w:ascii="Garamond" w:hAnsi="Garamond"/>
        </w:rPr>
        <w:t xml:space="preserve"> contributions won’t change the cost</w:t>
      </w:r>
      <w:r w:rsidR="003F3C99" w:rsidRPr="00381F61">
        <w:rPr>
          <w:rFonts w:ascii="Garamond" w:hAnsi="Garamond"/>
        </w:rPr>
        <w:t>; neither will a stellar nor a poor investment performance by the NZSF’s Guardians.</w:t>
      </w:r>
    </w:p>
    <w:p w14:paraId="62A69ED7" w14:textId="77777777" w:rsidR="003F3C99" w:rsidRPr="00381F61" w:rsidRDefault="003F3C99" w:rsidP="00E71CEB">
      <w:pPr>
        <w:pStyle w:val="FootnoteText"/>
        <w:jc w:val="both"/>
        <w:rPr>
          <w:rFonts w:ascii="Garamond" w:hAnsi="Garamond"/>
        </w:rPr>
      </w:pPr>
    </w:p>
    <w:p w14:paraId="2D287BB1" w14:textId="71C19B9A" w:rsidR="003F3C99" w:rsidRPr="00381F61" w:rsidRDefault="00487DE1" w:rsidP="00E71CEB">
      <w:pPr>
        <w:pStyle w:val="FootnoteText"/>
        <w:jc w:val="both"/>
        <w:rPr>
          <w:rFonts w:ascii="Garamond" w:hAnsi="Garamond"/>
        </w:rPr>
      </w:pPr>
      <w:r w:rsidRPr="00381F61">
        <w:rPr>
          <w:rFonts w:ascii="Garamond" w:hAnsi="Garamond"/>
        </w:rPr>
        <w:t xml:space="preserve">As stated in section </w:t>
      </w:r>
      <w:r w:rsidR="000856CF" w:rsidRPr="00381F61">
        <w:rPr>
          <w:rFonts w:ascii="Garamond" w:hAnsi="Garamond"/>
        </w:rPr>
        <w:t>4</w:t>
      </w:r>
      <w:r w:rsidR="00BE65AA" w:rsidRPr="00381F61">
        <w:rPr>
          <w:rFonts w:ascii="Garamond" w:hAnsi="Garamond"/>
        </w:rPr>
        <w:t xml:space="preserve"> (</w:t>
      </w:r>
      <w:r w:rsidR="007E0A26" w:rsidRPr="00381F61">
        <w:rPr>
          <w:rFonts w:ascii="Garamond" w:hAnsi="Garamond"/>
        </w:rPr>
        <w:t>How much will New Zealand Superannuation really cost?</w:t>
      </w:r>
      <w:r w:rsidR="00BE65AA" w:rsidRPr="00381F61">
        <w:rPr>
          <w:rFonts w:ascii="Garamond" w:hAnsi="Garamond"/>
        </w:rPr>
        <w:t>)</w:t>
      </w:r>
      <w:r w:rsidR="00E8386B" w:rsidRPr="00381F61">
        <w:rPr>
          <w:rFonts w:ascii="Garamond" w:hAnsi="Garamond"/>
        </w:rPr>
        <w:t>, t</w:t>
      </w:r>
      <w:r w:rsidR="00896773" w:rsidRPr="00381F61">
        <w:rPr>
          <w:rFonts w:ascii="Garamond" w:hAnsi="Garamond"/>
        </w:rPr>
        <w:t>he cost of any pension scheme, private or public,</w:t>
      </w:r>
      <w:r w:rsidR="003F3C99" w:rsidRPr="00381F61">
        <w:rPr>
          <w:rFonts w:ascii="Garamond" w:hAnsi="Garamond"/>
        </w:rPr>
        <w:t xml:space="preserve"> is the benefits actually paid by the scheme</w:t>
      </w:r>
      <w:r w:rsidR="00896773" w:rsidRPr="00381F61">
        <w:rPr>
          <w:rFonts w:ascii="Garamond" w:hAnsi="Garamond"/>
        </w:rPr>
        <w:t xml:space="preserve"> (plus administration costs)</w:t>
      </w:r>
      <w:r w:rsidR="003F3C99" w:rsidRPr="00381F61">
        <w:rPr>
          <w:rFonts w:ascii="Garamond" w:hAnsi="Garamond"/>
        </w:rPr>
        <w:t xml:space="preserve"> and that doesn’t </w:t>
      </w:r>
      <w:r w:rsidR="00BE65AA" w:rsidRPr="00381F61">
        <w:rPr>
          <w:rFonts w:ascii="Garamond" w:hAnsi="Garamond"/>
        </w:rPr>
        <w:t>have anything to do with how it i</w:t>
      </w:r>
      <w:r w:rsidR="003F3C99" w:rsidRPr="00381F61">
        <w:rPr>
          <w:rFonts w:ascii="Garamond" w:hAnsi="Garamond"/>
        </w:rPr>
        <w:t xml:space="preserve">s paid for.  So, </w:t>
      </w:r>
      <w:r w:rsidR="00245202" w:rsidRPr="00381F61">
        <w:rPr>
          <w:rFonts w:ascii="Garamond" w:hAnsi="Garamond"/>
        </w:rPr>
        <w:t>in the absence of a reduction in the</w:t>
      </w:r>
      <w:r w:rsidR="003F3C99" w:rsidRPr="00381F61">
        <w:rPr>
          <w:rFonts w:ascii="Garamond" w:hAnsi="Garamond"/>
        </w:rPr>
        <w:t xml:space="preserve"> NZS pension </w:t>
      </w:r>
      <w:r w:rsidR="00245202" w:rsidRPr="00381F61">
        <w:rPr>
          <w:rFonts w:ascii="Garamond" w:hAnsi="Garamond"/>
        </w:rPr>
        <w:t>itself</w:t>
      </w:r>
      <w:r w:rsidR="003F3C99" w:rsidRPr="00381F61">
        <w:rPr>
          <w:rFonts w:ascii="Garamond" w:hAnsi="Garamond"/>
        </w:rPr>
        <w:t>, having the NZSF doesn’t change the economic implications of an ageing population.  On current setti</w:t>
      </w:r>
      <w:r w:rsidR="007711EE" w:rsidRPr="00381F61">
        <w:rPr>
          <w:rFonts w:ascii="Garamond" w:hAnsi="Garamond"/>
        </w:rPr>
        <w:t>ngs, the T</w:t>
      </w:r>
      <w:r w:rsidR="005D01B5" w:rsidRPr="00381F61">
        <w:rPr>
          <w:rFonts w:ascii="Garamond" w:hAnsi="Garamond"/>
        </w:rPr>
        <w:t>reasury expects</w:t>
      </w:r>
      <w:r w:rsidR="003F3C99" w:rsidRPr="00381F61">
        <w:rPr>
          <w:rFonts w:ascii="Garamond" w:hAnsi="Garamond"/>
        </w:rPr>
        <w:t xml:space="preserve"> the cost of NZS to grow from a net 4.</w:t>
      </w:r>
      <w:r w:rsidR="001448FF" w:rsidRPr="00381F61">
        <w:rPr>
          <w:rFonts w:ascii="Garamond" w:hAnsi="Garamond"/>
        </w:rPr>
        <w:t>1</w:t>
      </w:r>
      <w:r w:rsidR="003F3C99" w:rsidRPr="00381F61">
        <w:rPr>
          <w:rFonts w:ascii="Garamond" w:hAnsi="Garamond"/>
        </w:rPr>
        <w:t xml:space="preserve">% today to a net </w:t>
      </w:r>
      <w:r w:rsidR="00245202" w:rsidRPr="00381F61">
        <w:rPr>
          <w:rFonts w:ascii="Garamond" w:hAnsi="Garamond"/>
        </w:rPr>
        <w:t>6.7</w:t>
      </w:r>
      <w:r w:rsidR="00A310AF" w:rsidRPr="00381F61">
        <w:rPr>
          <w:rFonts w:ascii="Garamond" w:hAnsi="Garamond"/>
        </w:rPr>
        <w:t>5</w:t>
      </w:r>
      <w:r w:rsidR="003F3C99" w:rsidRPr="00381F61">
        <w:rPr>
          <w:rFonts w:ascii="Garamond" w:hAnsi="Garamond"/>
        </w:rPr>
        <w:t>% by 2060.  The NZSF does not affect those numbers.</w:t>
      </w:r>
    </w:p>
    <w:p w14:paraId="051E0A20" w14:textId="77777777" w:rsidR="003F3C99" w:rsidRPr="00381F61" w:rsidRDefault="003F3C99" w:rsidP="00E71CEB">
      <w:pPr>
        <w:pStyle w:val="FootnoteText"/>
        <w:jc w:val="both"/>
        <w:rPr>
          <w:rFonts w:ascii="Garamond" w:hAnsi="Garamond"/>
        </w:rPr>
      </w:pPr>
    </w:p>
    <w:p w14:paraId="6C77126A" w14:textId="16D724EE" w:rsidR="003F3C99" w:rsidRPr="00381F61" w:rsidRDefault="00245202" w:rsidP="00E71CEB">
      <w:pPr>
        <w:pStyle w:val="FootnoteText"/>
        <w:jc w:val="both"/>
        <w:rPr>
          <w:rFonts w:ascii="Garamond" w:hAnsi="Garamond"/>
        </w:rPr>
      </w:pPr>
      <w:r w:rsidRPr="00381F61">
        <w:rPr>
          <w:rFonts w:ascii="Garamond" w:hAnsi="Garamond"/>
        </w:rPr>
        <w:t>T</w:t>
      </w:r>
      <w:r w:rsidR="003F3C99" w:rsidRPr="00381F61">
        <w:rPr>
          <w:rFonts w:ascii="Garamond" w:hAnsi="Garamond"/>
        </w:rPr>
        <w:t xml:space="preserve">he </w:t>
      </w:r>
      <w:r w:rsidRPr="00381F61">
        <w:rPr>
          <w:rFonts w:ascii="Garamond" w:hAnsi="Garamond"/>
        </w:rPr>
        <w:t xml:space="preserve">last </w:t>
      </w:r>
      <w:r w:rsidR="0039514E" w:rsidRPr="00381F61">
        <w:rPr>
          <w:rFonts w:ascii="Garamond" w:hAnsi="Garamond"/>
        </w:rPr>
        <w:t xml:space="preserve">government </w:t>
      </w:r>
      <w:r w:rsidRPr="00381F61">
        <w:rPr>
          <w:rFonts w:ascii="Garamond" w:hAnsi="Garamond"/>
        </w:rPr>
        <w:t>wanted</w:t>
      </w:r>
      <w:r w:rsidR="003F3C99" w:rsidRPr="00381F61">
        <w:rPr>
          <w:rFonts w:ascii="Garamond" w:hAnsi="Garamond"/>
        </w:rPr>
        <w:t xml:space="preserve"> to reduce the </w:t>
      </w:r>
      <w:r w:rsidR="000C12CC" w:rsidRPr="00381F61">
        <w:rPr>
          <w:rFonts w:ascii="Garamond" w:hAnsi="Garamond"/>
        </w:rPr>
        <w:t xml:space="preserve">future </w:t>
      </w:r>
      <w:r w:rsidR="003F3C99" w:rsidRPr="00381F61">
        <w:rPr>
          <w:rFonts w:ascii="Garamond" w:hAnsi="Garamond"/>
        </w:rPr>
        <w:t>value of NZS by shifting the pension age from 65 to 67 betw</w:t>
      </w:r>
      <w:r w:rsidR="002A3CC3" w:rsidRPr="00381F61">
        <w:rPr>
          <w:rFonts w:ascii="Garamond" w:hAnsi="Garamond"/>
        </w:rPr>
        <w:t xml:space="preserve">een 2037 and 2040; also by increasing the residence period from 10 to 20 years.  </w:t>
      </w:r>
      <w:r w:rsidRPr="00381F61">
        <w:rPr>
          <w:rFonts w:ascii="Garamond" w:hAnsi="Garamond"/>
        </w:rPr>
        <w:t>It</w:t>
      </w:r>
      <w:r w:rsidR="002A3CC3" w:rsidRPr="00381F61">
        <w:rPr>
          <w:rFonts w:ascii="Garamond" w:hAnsi="Garamond"/>
        </w:rPr>
        <w:t xml:space="preserve"> estimate</w:t>
      </w:r>
      <w:r w:rsidRPr="00381F61">
        <w:rPr>
          <w:rFonts w:ascii="Garamond" w:hAnsi="Garamond"/>
        </w:rPr>
        <w:t>d</w:t>
      </w:r>
      <w:r w:rsidR="002A3CC3" w:rsidRPr="00381F61">
        <w:rPr>
          <w:rFonts w:ascii="Garamond" w:hAnsi="Garamond"/>
        </w:rPr>
        <w:t xml:space="preserve"> that</w:t>
      </w:r>
      <w:r w:rsidR="003F3C99" w:rsidRPr="00381F61">
        <w:rPr>
          <w:rFonts w:ascii="Garamond" w:hAnsi="Garamond"/>
        </w:rPr>
        <w:t xml:space="preserve"> would cut the cost of NZS by about 10%</w:t>
      </w:r>
      <w:r w:rsidR="002A3CC3" w:rsidRPr="00381F61">
        <w:rPr>
          <w:rStyle w:val="FootnoteReference"/>
          <w:rFonts w:ascii="Garamond" w:hAnsi="Garamond"/>
        </w:rPr>
        <w:footnoteReference w:id="79"/>
      </w:r>
      <w:r w:rsidR="003F3C99" w:rsidRPr="00381F61">
        <w:rPr>
          <w:rFonts w:ascii="Garamond" w:hAnsi="Garamond"/>
        </w:rPr>
        <w:t xml:space="preserve"> but, again, the presence or absence of the NZSF </w:t>
      </w:r>
      <w:r w:rsidRPr="00381F61">
        <w:rPr>
          <w:rFonts w:ascii="Garamond" w:hAnsi="Garamond"/>
        </w:rPr>
        <w:t xml:space="preserve">wouldn’t have </w:t>
      </w:r>
      <w:r w:rsidR="003F3C99" w:rsidRPr="00381F61">
        <w:rPr>
          <w:rFonts w:ascii="Garamond" w:hAnsi="Garamond"/>
        </w:rPr>
        <w:t>change</w:t>
      </w:r>
      <w:r w:rsidRPr="00381F61">
        <w:rPr>
          <w:rFonts w:ascii="Garamond" w:hAnsi="Garamond"/>
        </w:rPr>
        <w:t>d</w:t>
      </w:r>
      <w:r w:rsidR="003F3C99" w:rsidRPr="00381F61">
        <w:rPr>
          <w:rFonts w:ascii="Garamond" w:hAnsi="Garamond"/>
        </w:rPr>
        <w:t xml:space="preserve"> that number.</w:t>
      </w:r>
    </w:p>
    <w:p w14:paraId="2F0A4D77" w14:textId="77777777" w:rsidR="003F3C99" w:rsidRPr="00381F61" w:rsidRDefault="003F3C99" w:rsidP="00E71CEB">
      <w:pPr>
        <w:pStyle w:val="FootnoteText"/>
        <w:jc w:val="both"/>
        <w:rPr>
          <w:rFonts w:ascii="Garamond" w:hAnsi="Garamond"/>
        </w:rPr>
      </w:pPr>
    </w:p>
    <w:p w14:paraId="551030F1" w14:textId="7AF0B990" w:rsidR="00445E88" w:rsidRPr="00381F61" w:rsidRDefault="003F3C99" w:rsidP="00E71CEB">
      <w:pPr>
        <w:pStyle w:val="FootnoteText"/>
        <w:jc w:val="both"/>
        <w:rPr>
          <w:rFonts w:ascii="Garamond" w:hAnsi="Garamond"/>
        </w:rPr>
      </w:pPr>
      <w:r w:rsidRPr="00381F61">
        <w:rPr>
          <w:rFonts w:ascii="Garamond" w:hAnsi="Garamond"/>
        </w:rPr>
        <w:t xml:space="preserve">The Treasury’s </w:t>
      </w:r>
      <w:r w:rsidR="00A62DEA" w:rsidRPr="00381F61">
        <w:rPr>
          <w:rFonts w:ascii="Garamond" w:hAnsi="Garamond"/>
          <w:i/>
        </w:rPr>
        <w:t>New Zealand Superannuation</w:t>
      </w:r>
      <w:r w:rsidRPr="00381F61">
        <w:rPr>
          <w:rFonts w:ascii="Garamond" w:hAnsi="Garamond"/>
          <w:i/>
        </w:rPr>
        <w:t xml:space="preserve"> Contribution Rate Model</w:t>
      </w:r>
      <w:r w:rsidR="00A62DEA" w:rsidRPr="00381F61">
        <w:rPr>
          <w:rFonts w:ascii="Garamond" w:hAnsi="Garamond"/>
          <w:i/>
        </w:rPr>
        <w:t xml:space="preserve"> HYEFU 2018</w:t>
      </w:r>
      <w:r w:rsidR="00206392" w:rsidRPr="00381F61">
        <w:rPr>
          <w:rStyle w:val="FootnoteReference"/>
          <w:rFonts w:ascii="Garamond" w:hAnsi="Garamond"/>
        </w:rPr>
        <w:footnoteReference w:id="80"/>
      </w:r>
      <w:r w:rsidRPr="00381F61">
        <w:rPr>
          <w:rFonts w:ascii="Garamond" w:hAnsi="Garamond"/>
        </w:rPr>
        <w:t xml:space="preserve"> assumes that the government</w:t>
      </w:r>
      <w:r w:rsidR="00A62DEA" w:rsidRPr="00381F61">
        <w:rPr>
          <w:rFonts w:ascii="Garamond" w:hAnsi="Garamond"/>
        </w:rPr>
        <w:t>’s</w:t>
      </w:r>
      <w:r w:rsidRPr="00381F61">
        <w:rPr>
          <w:rFonts w:ascii="Garamond" w:hAnsi="Garamond"/>
        </w:rPr>
        <w:t xml:space="preserve"> contributions</w:t>
      </w:r>
      <w:r w:rsidR="00847C90" w:rsidRPr="00381F61">
        <w:rPr>
          <w:rFonts w:ascii="Garamond" w:hAnsi="Garamond"/>
        </w:rPr>
        <w:t xml:space="preserve"> to the NZSF</w:t>
      </w:r>
      <w:r w:rsidRPr="00381F61">
        <w:rPr>
          <w:rFonts w:ascii="Garamond" w:hAnsi="Garamond"/>
        </w:rPr>
        <w:t xml:space="preserve"> </w:t>
      </w:r>
      <w:r w:rsidR="00A62DEA" w:rsidRPr="00381F61">
        <w:rPr>
          <w:rFonts w:ascii="Garamond" w:hAnsi="Garamond"/>
        </w:rPr>
        <w:t>will increase from $500 million in 2018 to about $2.5 billion by 2022</w:t>
      </w:r>
      <w:r w:rsidRPr="00381F61">
        <w:rPr>
          <w:rFonts w:ascii="Garamond" w:hAnsi="Garamond"/>
        </w:rPr>
        <w:t xml:space="preserve"> (</w:t>
      </w:r>
      <w:r w:rsidR="00A62DEA" w:rsidRPr="00381F61">
        <w:rPr>
          <w:rFonts w:ascii="Garamond" w:hAnsi="Garamond"/>
        </w:rPr>
        <w:t>about 0.7% of 2022 GDP)</w:t>
      </w:r>
      <w:r w:rsidRPr="00381F61">
        <w:rPr>
          <w:rFonts w:ascii="Garamond" w:hAnsi="Garamond"/>
        </w:rPr>
        <w:t>; that the annual contribution will reduce over the years and will stop in 2035</w:t>
      </w:r>
      <w:r w:rsidR="00E01D26" w:rsidRPr="00381F61">
        <w:rPr>
          <w:rFonts w:ascii="Garamond" w:hAnsi="Garamond"/>
        </w:rPr>
        <w:t xml:space="preserve"> after a further $2</w:t>
      </w:r>
      <w:r w:rsidR="00A62DEA" w:rsidRPr="00381F61">
        <w:rPr>
          <w:rFonts w:ascii="Garamond" w:hAnsi="Garamond"/>
        </w:rPr>
        <w:t>4.5</w:t>
      </w:r>
      <w:r w:rsidR="00E01D26" w:rsidRPr="00381F61">
        <w:rPr>
          <w:rFonts w:ascii="Garamond" w:hAnsi="Garamond"/>
        </w:rPr>
        <w:t xml:space="preserve"> b</w:t>
      </w:r>
      <w:r w:rsidR="000A4089" w:rsidRPr="00381F61">
        <w:rPr>
          <w:rFonts w:ascii="Garamond" w:hAnsi="Garamond"/>
        </w:rPr>
        <w:t>illio</w:t>
      </w:r>
      <w:r w:rsidR="00E01D26" w:rsidRPr="00381F61">
        <w:rPr>
          <w:rFonts w:ascii="Garamond" w:hAnsi="Garamond"/>
        </w:rPr>
        <w:t>n has been contributed</w:t>
      </w:r>
      <w:r w:rsidRPr="00381F61">
        <w:rPr>
          <w:rFonts w:ascii="Garamond" w:hAnsi="Garamond"/>
        </w:rPr>
        <w:t xml:space="preserve">.  </w:t>
      </w:r>
      <w:r w:rsidR="00445E88" w:rsidRPr="00381F61">
        <w:rPr>
          <w:rFonts w:ascii="Garamond" w:hAnsi="Garamond"/>
        </w:rPr>
        <w:t>That means taxes will need to be $2</w:t>
      </w:r>
      <w:r w:rsidR="00A62DEA" w:rsidRPr="00381F61">
        <w:rPr>
          <w:rFonts w:ascii="Garamond" w:hAnsi="Garamond"/>
        </w:rPr>
        <w:t>4.5</w:t>
      </w:r>
      <w:r w:rsidR="00445E88" w:rsidRPr="00381F61">
        <w:rPr>
          <w:rFonts w:ascii="Garamond" w:hAnsi="Garamond"/>
        </w:rPr>
        <w:t xml:space="preserve"> billion higher than other</w:t>
      </w:r>
      <w:r w:rsidR="00BB29FE" w:rsidRPr="00381F61">
        <w:rPr>
          <w:rFonts w:ascii="Garamond" w:hAnsi="Garamond"/>
        </w:rPr>
        <w:t xml:space="preserve">wise needed over the </w:t>
      </w:r>
      <w:r w:rsidR="00A62DEA" w:rsidRPr="00381F61">
        <w:rPr>
          <w:rFonts w:ascii="Garamond" w:hAnsi="Garamond"/>
        </w:rPr>
        <w:t>next 16 years</w:t>
      </w:r>
      <w:r w:rsidR="00445E88" w:rsidRPr="00381F61">
        <w:rPr>
          <w:rFonts w:ascii="Garamond" w:hAnsi="Garamond"/>
        </w:rPr>
        <w:t>.</w:t>
      </w:r>
    </w:p>
    <w:p w14:paraId="51EB2881" w14:textId="77777777" w:rsidR="00445E88" w:rsidRPr="00381F61" w:rsidRDefault="00445E88" w:rsidP="00E71CEB">
      <w:pPr>
        <w:pStyle w:val="FootnoteText"/>
        <w:jc w:val="both"/>
        <w:rPr>
          <w:rFonts w:ascii="Garamond" w:hAnsi="Garamond"/>
        </w:rPr>
      </w:pPr>
    </w:p>
    <w:p w14:paraId="394AA9DE" w14:textId="39969D8E" w:rsidR="003F3C99" w:rsidRPr="00381F61" w:rsidRDefault="003F3C99" w:rsidP="00E71CEB">
      <w:pPr>
        <w:pStyle w:val="FootnoteText"/>
        <w:jc w:val="both"/>
        <w:rPr>
          <w:rFonts w:ascii="Garamond" w:hAnsi="Garamond"/>
        </w:rPr>
      </w:pPr>
      <w:r w:rsidRPr="00381F61">
        <w:rPr>
          <w:rFonts w:ascii="Garamond" w:hAnsi="Garamond"/>
        </w:rPr>
        <w:t>When the drawdowns start in 203</w:t>
      </w:r>
      <w:r w:rsidR="00A62DEA" w:rsidRPr="00381F61">
        <w:rPr>
          <w:rFonts w:ascii="Garamond" w:hAnsi="Garamond"/>
        </w:rPr>
        <w:t>5</w:t>
      </w:r>
      <w:r w:rsidRPr="00381F61">
        <w:rPr>
          <w:rFonts w:ascii="Garamond" w:hAnsi="Garamond"/>
        </w:rPr>
        <w:t xml:space="preserve">, the </w:t>
      </w:r>
      <w:r w:rsidR="00766C77" w:rsidRPr="00381F61">
        <w:rPr>
          <w:rFonts w:ascii="Garamond" w:hAnsi="Garamond"/>
        </w:rPr>
        <w:t xml:space="preserve">total </w:t>
      </w:r>
      <w:r w:rsidRPr="00381F61">
        <w:rPr>
          <w:rFonts w:ascii="Garamond" w:hAnsi="Garamond"/>
        </w:rPr>
        <w:t>amount in the NZSF, in tomorrow’s</w:t>
      </w:r>
      <w:r w:rsidR="00766C77" w:rsidRPr="00381F61">
        <w:rPr>
          <w:rFonts w:ascii="Garamond" w:hAnsi="Garamond"/>
        </w:rPr>
        <w:t xml:space="preserve"> money, will be about $15</w:t>
      </w:r>
      <w:r w:rsidR="004C0F6D" w:rsidRPr="00381F61">
        <w:rPr>
          <w:rFonts w:ascii="Garamond" w:hAnsi="Garamond"/>
        </w:rPr>
        <w:t>3</w:t>
      </w:r>
      <w:r w:rsidR="00766C77" w:rsidRPr="00381F61">
        <w:rPr>
          <w:rFonts w:ascii="Garamond" w:hAnsi="Garamond"/>
        </w:rPr>
        <w:t xml:space="preserve"> b</w:t>
      </w:r>
      <w:r w:rsidR="000A4089" w:rsidRPr="00381F61">
        <w:rPr>
          <w:rFonts w:ascii="Garamond" w:hAnsi="Garamond"/>
        </w:rPr>
        <w:t>illio</w:t>
      </w:r>
      <w:r w:rsidR="00766C77" w:rsidRPr="00381F61">
        <w:rPr>
          <w:rFonts w:ascii="Garamond" w:hAnsi="Garamond"/>
        </w:rPr>
        <w:t xml:space="preserve">n, the equivalent of </w:t>
      </w:r>
      <w:r w:rsidRPr="00381F61">
        <w:rPr>
          <w:rFonts w:ascii="Garamond" w:hAnsi="Garamond"/>
        </w:rPr>
        <w:t>25.</w:t>
      </w:r>
      <w:r w:rsidR="004C0F6D" w:rsidRPr="00381F61">
        <w:rPr>
          <w:rFonts w:ascii="Garamond" w:hAnsi="Garamond"/>
        </w:rPr>
        <w:t>6</w:t>
      </w:r>
      <w:r w:rsidRPr="00381F61">
        <w:rPr>
          <w:rFonts w:ascii="Garamond" w:hAnsi="Garamond"/>
        </w:rPr>
        <w:t>% of GDP in 203</w:t>
      </w:r>
      <w:r w:rsidR="004C0F6D" w:rsidRPr="00381F61">
        <w:rPr>
          <w:rFonts w:ascii="Garamond" w:hAnsi="Garamond"/>
        </w:rPr>
        <w:t>5</w:t>
      </w:r>
      <w:r w:rsidRPr="00381F61">
        <w:rPr>
          <w:rFonts w:ascii="Garamond" w:hAnsi="Garamond"/>
        </w:rPr>
        <w:t xml:space="preserve"> </w:t>
      </w:r>
      <w:r w:rsidR="004C0F6D" w:rsidRPr="00381F61">
        <w:rPr>
          <w:rFonts w:ascii="Garamond" w:hAnsi="Garamond"/>
        </w:rPr>
        <w:t>compared with</w:t>
      </w:r>
      <w:r w:rsidRPr="00381F61">
        <w:rPr>
          <w:rFonts w:ascii="Garamond" w:hAnsi="Garamond"/>
        </w:rPr>
        <w:t xml:space="preserve"> today’s </w:t>
      </w:r>
      <w:r w:rsidR="004C0F6D" w:rsidRPr="00381F61">
        <w:rPr>
          <w:rFonts w:ascii="Garamond" w:hAnsi="Garamond"/>
        </w:rPr>
        <w:t>14.4%</w:t>
      </w:r>
      <w:r w:rsidRPr="00381F61">
        <w:rPr>
          <w:rFonts w:ascii="Garamond" w:hAnsi="Garamond"/>
        </w:rPr>
        <w:t>.</w:t>
      </w:r>
    </w:p>
    <w:p w14:paraId="0063891C" w14:textId="77777777" w:rsidR="003F3C99" w:rsidRPr="00381F61" w:rsidRDefault="003F3C99" w:rsidP="00E71CEB">
      <w:pPr>
        <w:pStyle w:val="FootnoteText"/>
        <w:jc w:val="both"/>
        <w:rPr>
          <w:rFonts w:ascii="Garamond" w:hAnsi="Garamond"/>
        </w:rPr>
      </w:pPr>
    </w:p>
    <w:p w14:paraId="058FBA63" w14:textId="69266FB4" w:rsidR="003F3C99" w:rsidRPr="00381F61" w:rsidRDefault="003F3C99" w:rsidP="00E71CEB">
      <w:pPr>
        <w:pStyle w:val="FootnoteText"/>
        <w:jc w:val="both"/>
        <w:rPr>
          <w:rFonts w:ascii="Garamond" w:hAnsi="Garamond"/>
        </w:rPr>
      </w:pPr>
      <w:r w:rsidRPr="00381F61">
        <w:rPr>
          <w:rFonts w:ascii="Garamond" w:hAnsi="Garamond"/>
        </w:rPr>
        <w:t xml:space="preserve">According to the </w:t>
      </w:r>
      <w:r w:rsidRPr="00381F61">
        <w:rPr>
          <w:rFonts w:ascii="Garamond" w:hAnsi="Garamond"/>
          <w:i/>
        </w:rPr>
        <w:t>Model</w:t>
      </w:r>
      <w:r w:rsidRPr="00381F61">
        <w:rPr>
          <w:rFonts w:ascii="Garamond" w:hAnsi="Garamond"/>
        </w:rPr>
        <w:t xml:space="preserve">, the maximum drawdown from the NZSF over the coming 100 years will be </w:t>
      </w:r>
      <w:r w:rsidR="004C0F6D" w:rsidRPr="00381F61">
        <w:rPr>
          <w:rFonts w:ascii="Garamond" w:hAnsi="Garamond"/>
        </w:rPr>
        <w:t xml:space="preserve">about </w:t>
      </w:r>
      <w:r w:rsidRPr="00381F61">
        <w:rPr>
          <w:rFonts w:ascii="Garamond" w:hAnsi="Garamond"/>
        </w:rPr>
        <w:t>1% of GDP or 12.</w:t>
      </w:r>
      <w:r w:rsidR="004C0F6D" w:rsidRPr="00381F61">
        <w:rPr>
          <w:rFonts w:ascii="Garamond" w:hAnsi="Garamond"/>
        </w:rPr>
        <w:t>9</w:t>
      </w:r>
      <w:r w:rsidRPr="00381F61">
        <w:rPr>
          <w:rFonts w:ascii="Garamond" w:hAnsi="Garamond"/>
        </w:rPr>
        <w:t>% of the net cost of NZS in 207</w:t>
      </w:r>
      <w:r w:rsidR="004C0F6D" w:rsidRPr="00381F61">
        <w:rPr>
          <w:rFonts w:ascii="Garamond" w:hAnsi="Garamond"/>
        </w:rPr>
        <w:t>8</w:t>
      </w:r>
      <w:r w:rsidR="00766C77" w:rsidRPr="00381F61">
        <w:rPr>
          <w:rFonts w:ascii="Garamond" w:hAnsi="Garamond"/>
        </w:rPr>
        <w:t xml:space="preserve"> and 20</w:t>
      </w:r>
      <w:r w:rsidR="004C0F6D" w:rsidRPr="00381F61">
        <w:rPr>
          <w:rFonts w:ascii="Garamond" w:hAnsi="Garamond"/>
        </w:rPr>
        <w:t>79</w:t>
      </w:r>
      <w:r w:rsidRPr="00381F61">
        <w:rPr>
          <w:rFonts w:ascii="Garamond" w:hAnsi="Garamond"/>
        </w:rPr>
        <w:t>.  The simple average of 80 years’ d</w:t>
      </w:r>
      <w:r w:rsidR="00766C77" w:rsidRPr="00381F61">
        <w:rPr>
          <w:rFonts w:ascii="Garamond" w:hAnsi="Garamond"/>
        </w:rPr>
        <w:t xml:space="preserve">rawdowns in the </w:t>
      </w:r>
      <w:r w:rsidR="000A4089" w:rsidRPr="00381F61">
        <w:rPr>
          <w:rFonts w:ascii="Garamond" w:hAnsi="Garamond"/>
          <w:i/>
        </w:rPr>
        <w:t>Model</w:t>
      </w:r>
      <w:r w:rsidR="00766C77" w:rsidRPr="00381F61">
        <w:rPr>
          <w:rFonts w:ascii="Garamond" w:hAnsi="Garamond"/>
        </w:rPr>
        <w:t xml:space="preserve"> (203</w:t>
      </w:r>
      <w:r w:rsidR="004C0F6D" w:rsidRPr="00381F61">
        <w:rPr>
          <w:rFonts w:ascii="Garamond" w:hAnsi="Garamond"/>
        </w:rPr>
        <w:t>5</w:t>
      </w:r>
      <w:r w:rsidR="00766C77" w:rsidRPr="00381F61">
        <w:rPr>
          <w:rFonts w:ascii="Garamond" w:hAnsi="Garamond"/>
        </w:rPr>
        <w:t>-2116</w:t>
      </w:r>
      <w:r w:rsidR="00FA36CA" w:rsidRPr="00381F61">
        <w:rPr>
          <w:rFonts w:ascii="Garamond" w:hAnsi="Garamond"/>
        </w:rPr>
        <w:t>) is 0.66</w:t>
      </w:r>
      <w:r w:rsidR="000215A4" w:rsidRPr="00381F61">
        <w:rPr>
          <w:rFonts w:ascii="Garamond" w:hAnsi="Garamond"/>
        </w:rPr>
        <w:t xml:space="preserve">% of GDP a year or roughly </w:t>
      </w:r>
      <w:r w:rsidR="008C46AA" w:rsidRPr="00381F61">
        <w:rPr>
          <w:rFonts w:ascii="Garamond" w:hAnsi="Garamond"/>
        </w:rPr>
        <w:t>8.</w:t>
      </w:r>
      <w:r w:rsidR="000215A4" w:rsidRPr="00381F61">
        <w:rPr>
          <w:rFonts w:ascii="Garamond" w:hAnsi="Garamond"/>
        </w:rPr>
        <w:t>9</w:t>
      </w:r>
      <w:r w:rsidRPr="00381F61">
        <w:rPr>
          <w:rFonts w:ascii="Garamond" w:hAnsi="Garamond"/>
        </w:rPr>
        <w:t>% of the average net co</w:t>
      </w:r>
      <w:r w:rsidR="004D17C4" w:rsidRPr="00381F61">
        <w:rPr>
          <w:rFonts w:ascii="Garamond" w:hAnsi="Garamond"/>
        </w:rPr>
        <w:t>n</w:t>
      </w:r>
      <w:r w:rsidRPr="00381F61">
        <w:rPr>
          <w:rFonts w:ascii="Garamond" w:hAnsi="Garamond"/>
        </w:rPr>
        <w:t>temporary cost of NZS across the same period.</w:t>
      </w:r>
    </w:p>
    <w:p w14:paraId="75EE18D1" w14:textId="77777777" w:rsidR="003F3C99" w:rsidRPr="00381F61" w:rsidRDefault="003F3C99" w:rsidP="00E71CEB">
      <w:pPr>
        <w:pStyle w:val="FootnoteText"/>
        <w:jc w:val="both"/>
        <w:rPr>
          <w:rFonts w:ascii="Garamond" w:hAnsi="Garamond"/>
        </w:rPr>
      </w:pPr>
    </w:p>
    <w:p w14:paraId="4A3B029F" w14:textId="47BBAEFC" w:rsidR="003F3C99" w:rsidRPr="00381F61" w:rsidRDefault="003F3C99" w:rsidP="00E71CEB">
      <w:pPr>
        <w:pStyle w:val="FootnoteText"/>
        <w:jc w:val="both"/>
        <w:rPr>
          <w:rFonts w:ascii="Garamond" w:hAnsi="Garamond"/>
        </w:rPr>
      </w:pPr>
      <w:r w:rsidRPr="00381F61">
        <w:rPr>
          <w:rFonts w:ascii="Garamond" w:hAnsi="Garamond"/>
        </w:rPr>
        <w:t>Most assume that the NZSF was intended to smooth the costs associated with retiring baby boomers</w:t>
      </w:r>
      <w:r w:rsidR="00BE6BA7" w:rsidRPr="00381F61">
        <w:rPr>
          <w:rFonts w:ascii="Garamond" w:hAnsi="Garamond"/>
        </w:rPr>
        <w:t>,</w:t>
      </w:r>
      <w:r w:rsidRPr="00381F61">
        <w:rPr>
          <w:rFonts w:ascii="Garamond" w:hAnsi="Garamond"/>
        </w:rPr>
        <w:t xml:space="preserve"> but it is actually a ‘perpetuity’ fund.  The Treasury’s </w:t>
      </w:r>
      <w:r w:rsidRPr="00381F61">
        <w:rPr>
          <w:rFonts w:ascii="Garamond" w:hAnsi="Garamond"/>
          <w:i/>
        </w:rPr>
        <w:t>Model</w:t>
      </w:r>
      <w:r w:rsidRPr="00381F61">
        <w:rPr>
          <w:rFonts w:ascii="Garamond" w:hAnsi="Garamond"/>
        </w:rPr>
        <w:t xml:space="preserve"> shows that there will be more in the NZSF in real terms </w:t>
      </w:r>
      <w:r w:rsidR="008C46AA" w:rsidRPr="00381F61">
        <w:rPr>
          <w:rFonts w:ascii="Garamond" w:hAnsi="Garamond"/>
        </w:rPr>
        <w:t xml:space="preserve">in 2116 </w:t>
      </w:r>
      <w:r w:rsidRPr="00381F61">
        <w:rPr>
          <w:rFonts w:ascii="Garamond" w:hAnsi="Garamond"/>
        </w:rPr>
        <w:t>than there is today (3</w:t>
      </w:r>
      <w:r w:rsidR="008C46AA" w:rsidRPr="00381F61">
        <w:rPr>
          <w:rFonts w:ascii="Garamond" w:hAnsi="Garamond"/>
        </w:rPr>
        <w:t>0.75</w:t>
      </w:r>
      <w:r w:rsidRPr="00381F61">
        <w:rPr>
          <w:rFonts w:ascii="Garamond" w:hAnsi="Garamond"/>
        </w:rPr>
        <w:t xml:space="preserve">% of 2116 GDP compared with </w:t>
      </w:r>
      <w:r w:rsidR="008C46AA" w:rsidRPr="00381F61">
        <w:rPr>
          <w:rFonts w:ascii="Garamond" w:hAnsi="Garamond"/>
        </w:rPr>
        <w:t>14.4</w:t>
      </w:r>
      <w:r w:rsidRPr="00381F61">
        <w:rPr>
          <w:rFonts w:ascii="Garamond" w:hAnsi="Garamond"/>
        </w:rPr>
        <w:t>% today).  So why precisely do we need such a fund?  It will apparently still be with us long after the last of the baby boomers</w:t>
      </w:r>
      <w:r w:rsidR="002938C9" w:rsidRPr="00381F61">
        <w:rPr>
          <w:rFonts w:ascii="Garamond" w:hAnsi="Garamond"/>
        </w:rPr>
        <w:t xml:space="preserve"> and their</w:t>
      </w:r>
      <w:r w:rsidRPr="00381F61">
        <w:rPr>
          <w:rFonts w:ascii="Garamond" w:hAnsi="Garamond"/>
        </w:rPr>
        <w:t xml:space="preserve"> children has died.</w:t>
      </w:r>
    </w:p>
    <w:p w14:paraId="54E068A6" w14:textId="77777777" w:rsidR="003F3C99" w:rsidRPr="00381F61" w:rsidRDefault="003F3C99" w:rsidP="00E71CEB">
      <w:pPr>
        <w:pStyle w:val="FootnoteText"/>
        <w:jc w:val="both"/>
        <w:rPr>
          <w:rFonts w:ascii="Garamond" w:hAnsi="Garamond"/>
        </w:rPr>
      </w:pPr>
    </w:p>
    <w:p w14:paraId="401B8ECF" w14:textId="06FD8563" w:rsidR="003F3C99" w:rsidRPr="00381F61" w:rsidRDefault="003F3C99" w:rsidP="00E71CEB">
      <w:pPr>
        <w:pStyle w:val="FootnoteText"/>
        <w:jc w:val="both"/>
        <w:rPr>
          <w:rFonts w:ascii="Garamond" w:hAnsi="Garamond"/>
        </w:rPr>
      </w:pPr>
      <w:r w:rsidRPr="00381F61">
        <w:rPr>
          <w:rFonts w:ascii="Garamond" w:hAnsi="Garamond"/>
        </w:rPr>
        <w:t>The most that can be said about the NZSF is that it slightly changes the</w:t>
      </w:r>
      <w:r w:rsidR="001D7680" w:rsidRPr="00381F61">
        <w:rPr>
          <w:rFonts w:ascii="Garamond" w:hAnsi="Garamond"/>
        </w:rPr>
        <w:t xml:space="preserve"> incidence of the cost </w:t>
      </w:r>
      <w:r w:rsidR="00BE6BA7" w:rsidRPr="00381F61">
        <w:rPr>
          <w:rFonts w:ascii="Garamond" w:hAnsi="Garamond"/>
        </w:rPr>
        <w:t xml:space="preserve">met from current taxation </w:t>
      </w:r>
      <w:r w:rsidR="001D7680" w:rsidRPr="00381F61">
        <w:rPr>
          <w:rFonts w:ascii="Garamond" w:hAnsi="Garamond"/>
        </w:rPr>
        <w:t xml:space="preserve">of NZS but </w:t>
      </w:r>
      <w:r w:rsidRPr="00381F61">
        <w:rPr>
          <w:rFonts w:ascii="Garamond" w:hAnsi="Garamond"/>
        </w:rPr>
        <w:t xml:space="preserve">NZS will cost the same.  </w:t>
      </w:r>
      <w:r w:rsidR="001D7680" w:rsidRPr="00381F61">
        <w:rPr>
          <w:rFonts w:ascii="Garamond" w:hAnsi="Garamond"/>
        </w:rPr>
        <w:t>However,</w:t>
      </w:r>
      <w:r w:rsidRPr="00381F61">
        <w:rPr>
          <w:rFonts w:ascii="Garamond" w:hAnsi="Garamond"/>
        </w:rPr>
        <w:t xml:space="preserve"> instead of asking tomorrow’s taxpayers to foot the full bill, today’s taxpayers are paying twice – once for today’s NZS and then extra to put in the NZSF.  The Treasury’s </w:t>
      </w:r>
      <w:r w:rsidR="000A4089" w:rsidRPr="00381F61">
        <w:rPr>
          <w:rFonts w:ascii="Garamond" w:hAnsi="Garamond"/>
          <w:i/>
        </w:rPr>
        <w:t>Model</w:t>
      </w:r>
      <w:r w:rsidRPr="00381F61">
        <w:rPr>
          <w:rFonts w:ascii="Garamond" w:hAnsi="Garamond"/>
        </w:rPr>
        <w:t xml:space="preserve"> suggests that </w:t>
      </w:r>
      <w:r w:rsidR="000E19AD" w:rsidRPr="00381F61">
        <w:rPr>
          <w:rFonts w:ascii="Garamond" w:hAnsi="Garamond"/>
        </w:rPr>
        <w:t>today’s taxpayers</w:t>
      </w:r>
      <w:r w:rsidRPr="00381F61">
        <w:rPr>
          <w:rFonts w:ascii="Garamond" w:hAnsi="Garamond"/>
        </w:rPr>
        <w:t xml:space="preserve"> will pay $</w:t>
      </w:r>
      <w:r w:rsidR="008C46AA" w:rsidRPr="00381F61">
        <w:rPr>
          <w:rFonts w:ascii="Garamond" w:hAnsi="Garamond"/>
        </w:rPr>
        <w:t>2.5</w:t>
      </w:r>
      <w:r w:rsidRPr="00381F61">
        <w:rPr>
          <w:rFonts w:ascii="Garamond" w:hAnsi="Garamond"/>
        </w:rPr>
        <w:t xml:space="preserve"> b</w:t>
      </w:r>
      <w:r w:rsidR="000A4089" w:rsidRPr="00381F61">
        <w:rPr>
          <w:rFonts w:ascii="Garamond" w:hAnsi="Garamond"/>
        </w:rPr>
        <w:t>illio</w:t>
      </w:r>
      <w:r w:rsidRPr="00381F61">
        <w:rPr>
          <w:rFonts w:ascii="Garamond" w:hAnsi="Garamond"/>
        </w:rPr>
        <w:t>n more in 202</w:t>
      </w:r>
      <w:r w:rsidR="008C46AA" w:rsidRPr="00381F61">
        <w:rPr>
          <w:rFonts w:ascii="Garamond" w:hAnsi="Garamond"/>
        </w:rPr>
        <w:t>2</w:t>
      </w:r>
      <w:r w:rsidRPr="00381F61">
        <w:rPr>
          <w:rFonts w:ascii="Garamond" w:hAnsi="Garamond"/>
        </w:rPr>
        <w:t xml:space="preserve"> (making 202</w:t>
      </w:r>
      <w:r w:rsidR="008C46AA" w:rsidRPr="00381F61">
        <w:rPr>
          <w:rFonts w:ascii="Garamond" w:hAnsi="Garamond"/>
        </w:rPr>
        <w:t>2</w:t>
      </w:r>
      <w:r w:rsidRPr="00381F61">
        <w:rPr>
          <w:rFonts w:ascii="Garamond" w:hAnsi="Garamond"/>
        </w:rPr>
        <w:t xml:space="preserve"> taxes $</w:t>
      </w:r>
      <w:r w:rsidR="008C46AA" w:rsidRPr="00381F61">
        <w:rPr>
          <w:rFonts w:ascii="Garamond" w:hAnsi="Garamond"/>
        </w:rPr>
        <w:t>90</w:t>
      </w:r>
      <w:r w:rsidRPr="00381F61">
        <w:rPr>
          <w:rFonts w:ascii="Garamond" w:hAnsi="Garamond"/>
        </w:rPr>
        <w:t xml:space="preserve"> b</w:t>
      </w:r>
      <w:r w:rsidR="000A4089" w:rsidRPr="00381F61">
        <w:rPr>
          <w:rFonts w:ascii="Garamond" w:hAnsi="Garamond"/>
        </w:rPr>
        <w:t>illio</w:t>
      </w:r>
      <w:r w:rsidRPr="00381F61">
        <w:rPr>
          <w:rFonts w:ascii="Garamond" w:hAnsi="Garamond"/>
        </w:rPr>
        <w:t>n</w:t>
      </w:r>
      <w:r w:rsidR="002433F7" w:rsidRPr="00381F61">
        <w:rPr>
          <w:rStyle w:val="FootnoteReference"/>
          <w:rFonts w:ascii="Garamond" w:hAnsi="Garamond"/>
        </w:rPr>
        <w:footnoteReference w:id="81"/>
      </w:r>
      <w:r w:rsidRPr="00381F61">
        <w:rPr>
          <w:rFonts w:ascii="Garamond" w:hAnsi="Garamond"/>
        </w:rPr>
        <w:t xml:space="preserve"> rather than $8</w:t>
      </w:r>
      <w:r w:rsidR="002433F7" w:rsidRPr="00381F61">
        <w:rPr>
          <w:rFonts w:ascii="Garamond" w:hAnsi="Garamond"/>
        </w:rPr>
        <w:t>7.5</w:t>
      </w:r>
      <w:r w:rsidRPr="00381F61">
        <w:rPr>
          <w:rFonts w:ascii="Garamond" w:hAnsi="Garamond"/>
        </w:rPr>
        <w:t xml:space="preserve"> b</w:t>
      </w:r>
      <w:r w:rsidR="000A4089" w:rsidRPr="00381F61">
        <w:rPr>
          <w:rFonts w:ascii="Garamond" w:hAnsi="Garamond"/>
        </w:rPr>
        <w:t>illion</w:t>
      </w:r>
      <w:r w:rsidRPr="00381F61">
        <w:rPr>
          <w:rFonts w:ascii="Garamond" w:hAnsi="Garamond"/>
        </w:rPr>
        <w:t>) just so that taxes from 203</w:t>
      </w:r>
      <w:r w:rsidR="002433F7" w:rsidRPr="00381F61">
        <w:rPr>
          <w:rFonts w:ascii="Garamond" w:hAnsi="Garamond"/>
        </w:rPr>
        <w:t>5</w:t>
      </w:r>
      <w:r w:rsidRPr="00381F61">
        <w:rPr>
          <w:rFonts w:ascii="Garamond" w:hAnsi="Garamond"/>
        </w:rPr>
        <w:t xml:space="preserve"> onward will </w:t>
      </w:r>
      <w:r w:rsidR="00EB68C9" w:rsidRPr="00381F61">
        <w:rPr>
          <w:rFonts w:ascii="Garamond" w:hAnsi="Garamond"/>
        </w:rPr>
        <w:t xml:space="preserve">probably </w:t>
      </w:r>
      <w:r w:rsidRPr="00381F61">
        <w:rPr>
          <w:rFonts w:ascii="Garamond" w:hAnsi="Garamond"/>
        </w:rPr>
        <w:t>be slightly less for tomorrow’s taxpayers.</w:t>
      </w:r>
    </w:p>
    <w:p w14:paraId="7C426141" w14:textId="77777777" w:rsidR="003F3C99" w:rsidRPr="00381F61" w:rsidRDefault="003F3C99" w:rsidP="00E71CEB">
      <w:pPr>
        <w:pStyle w:val="FootnoteText"/>
        <w:jc w:val="both"/>
        <w:rPr>
          <w:rFonts w:ascii="Garamond" w:hAnsi="Garamond"/>
        </w:rPr>
      </w:pPr>
    </w:p>
    <w:p w14:paraId="1999F473" w14:textId="77777777" w:rsidR="003F3C99" w:rsidRPr="00381F61" w:rsidRDefault="003F3C99" w:rsidP="00E71CEB">
      <w:pPr>
        <w:pStyle w:val="FootnoteText"/>
        <w:jc w:val="both"/>
        <w:rPr>
          <w:rFonts w:ascii="Garamond" w:hAnsi="Garamond"/>
        </w:rPr>
      </w:pPr>
      <w:r w:rsidRPr="00381F61">
        <w:rPr>
          <w:rFonts w:ascii="Garamond" w:hAnsi="Garamond"/>
        </w:rPr>
        <w:t>There is a lot wrong with the idea of partially pre-funding NZS - here are the main problems:</w:t>
      </w:r>
    </w:p>
    <w:p w14:paraId="20DF4257" w14:textId="77777777" w:rsidR="00D24A47" w:rsidRPr="00381F61" w:rsidRDefault="00D24A47" w:rsidP="00E71CEB">
      <w:pPr>
        <w:pStyle w:val="FootnoteText"/>
        <w:jc w:val="both"/>
        <w:rPr>
          <w:rFonts w:ascii="Garamond" w:hAnsi="Garamond"/>
        </w:rPr>
      </w:pPr>
    </w:p>
    <w:p w14:paraId="5620E577" w14:textId="77777777" w:rsidR="00D24A47" w:rsidRPr="00381F61" w:rsidRDefault="00D24A47" w:rsidP="00392F95">
      <w:pPr>
        <w:pStyle w:val="FootnoteText"/>
        <w:numPr>
          <w:ilvl w:val="0"/>
          <w:numId w:val="19"/>
        </w:numPr>
        <w:ind w:left="709" w:hanging="425"/>
        <w:jc w:val="both"/>
        <w:rPr>
          <w:rFonts w:ascii="Garamond" w:hAnsi="Garamond"/>
        </w:rPr>
      </w:pPr>
      <w:r w:rsidRPr="00381F61">
        <w:rPr>
          <w:rFonts w:ascii="Garamond" w:hAnsi="Garamond"/>
          <w:b/>
        </w:rPr>
        <w:t>Constrains tomorrow’s decision-makers:</w:t>
      </w:r>
      <w:r w:rsidRPr="00381F61">
        <w:rPr>
          <w:rFonts w:ascii="Garamond" w:hAnsi="Garamond"/>
        </w:rPr>
        <w:t xml:space="preserve"> </w:t>
      </w:r>
      <w:r w:rsidR="003F3C99" w:rsidRPr="00381F61">
        <w:rPr>
          <w:rFonts w:ascii="Garamond" w:hAnsi="Garamond"/>
        </w:rPr>
        <w:t>If we think NZS will be too expensive for tomorrow’s taxpayers without the NZSF then it should be their decision to cut benefits, not ours to constrain change (‘we baby boomers paid more taxes to protect our pension’).  Adding the NZSF could be seen as an attempt by us to limit their ability to reduce future NZS pensions.</w:t>
      </w:r>
    </w:p>
    <w:p w14:paraId="4AF95756" w14:textId="77777777" w:rsidR="00D24A47" w:rsidRPr="00381F61" w:rsidRDefault="00D24A47" w:rsidP="00392F95">
      <w:pPr>
        <w:pStyle w:val="FootnoteText"/>
        <w:ind w:left="709" w:hanging="425"/>
        <w:jc w:val="both"/>
        <w:rPr>
          <w:rFonts w:ascii="Garamond" w:hAnsi="Garamond"/>
        </w:rPr>
      </w:pPr>
    </w:p>
    <w:p w14:paraId="1E435B98" w14:textId="0E8241B7" w:rsidR="00D24A47" w:rsidRPr="00381F61" w:rsidRDefault="00D24A47" w:rsidP="00392F95">
      <w:pPr>
        <w:pStyle w:val="FootnoteText"/>
        <w:numPr>
          <w:ilvl w:val="0"/>
          <w:numId w:val="19"/>
        </w:numPr>
        <w:ind w:left="709" w:hanging="425"/>
        <w:jc w:val="both"/>
        <w:rPr>
          <w:rFonts w:ascii="Garamond" w:hAnsi="Garamond"/>
        </w:rPr>
      </w:pPr>
      <w:r w:rsidRPr="00381F61">
        <w:rPr>
          <w:rFonts w:ascii="Garamond" w:hAnsi="Garamond"/>
          <w:b/>
        </w:rPr>
        <w:t xml:space="preserve">100% leveraged: </w:t>
      </w:r>
      <w:r w:rsidR="00170518" w:rsidRPr="00381F61">
        <w:rPr>
          <w:rFonts w:ascii="Garamond" w:hAnsi="Garamond"/>
        </w:rPr>
        <w:t>Although the contributions to the NZSF came</w:t>
      </w:r>
      <w:r w:rsidR="00007D15" w:rsidRPr="00381F61">
        <w:rPr>
          <w:rFonts w:ascii="Garamond" w:hAnsi="Garamond"/>
        </w:rPr>
        <w:t xml:space="preserve"> from higher taxes over the 2003-20</w:t>
      </w:r>
      <w:r w:rsidR="002433F7" w:rsidRPr="00381F61">
        <w:rPr>
          <w:rFonts w:ascii="Garamond" w:hAnsi="Garamond"/>
        </w:rPr>
        <w:t>34</w:t>
      </w:r>
      <w:r w:rsidR="00170518" w:rsidRPr="00381F61">
        <w:rPr>
          <w:rFonts w:ascii="Garamond" w:hAnsi="Garamond"/>
        </w:rPr>
        <w:t xml:space="preserve"> period (not directly borrowed for the purpose) when we look at the money held in the NZSF</w:t>
      </w:r>
      <w:r w:rsidR="003C1ADF" w:rsidRPr="00381F61">
        <w:rPr>
          <w:rFonts w:ascii="Garamond" w:hAnsi="Garamond"/>
        </w:rPr>
        <w:t xml:space="preserve"> from year to year</w:t>
      </w:r>
      <w:r w:rsidR="00170518" w:rsidRPr="00381F61">
        <w:rPr>
          <w:rFonts w:ascii="Garamond" w:hAnsi="Garamond"/>
        </w:rPr>
        <w:t xml:space="preserve">, the argument changes.  </w:t>
      </w:r>
      <w:r w:rsidR="003F3C99" w:rsidRPr="00381F61">
        <w:rPr>
          <w:rFonts w:ascii="Garamond" w:hAnsi="Garamond"/>
        </w:rPr>
        <w:t xml:space="preserve">Investing in the presence of debt is exactly the same as borrowing to invest.  </w:t>
      </w:r>
      <w:r w:rsidR="00170518" w:rsidRPr="00381F61">
        <w:rPr>
          <w:rFonts w:ascii="Garamond" w:hAnsi="Garamond"/>
        </w:rPr>
        <w:t>In 201</w:t>
      </w:r>
      <w:r w:rsidR="002433F7" w:rsidRPr="00381F61">
        <w:rPr>
          <w:rFonts w:ascii="Garamond" w:hAnsi="Garamond"/>
        </w:rPr>
        <w:t>9</w:t>
      </w:r>
      <w:r w:rsidR="00170518" w:rsidRPr="00381F61">
        <w:rPr>
          <w:rFonts w:ascii="Garamond" w:hAnsi="Garamond"/>
        </w:rPr>
        <w:t xml:space="preserve">, the government should treat every dollar in the NZSF as effectively a dollar borrowed.  That’s because, at any time, it could sell those assets and repay debt.  </w:t>
      </w:r>
      <w:r w:rsidR="003F3C99" w:rsidRPr="00381F61">
        <w:rPr>
          <w:rFonts w:ascii="Garamond" w:hAnsi="Garamond"/>
        </w:rPr>
        <w:t>The government has effectivel</w:t>
      </w:r>
      <w:r w:rsidR="00373C00" w:rsidRPr="00381F61">
        <w:rPr>
          <w:rFonts w:ascii="Garamond" w:hAnsi="Garamond"/>
        </w:rPr>
        <w:t>y raised a mortgage of about $</w:t>
      </w:r>
      <w:r w:rsidR="000C12CC" w:rsidRPr="00381F61">
        <w:rPr>
          <w:rFonts w:ascii="Garamond" w:hAnsi="Garamond"/>
        </w:rPr>
        <w:t>42.9</w:t>
      </w:r>
      <w:r w:rsidR="003F3C99" w:rsidRPr="00381F61">
        <w:rPr>
          <w:rFonts w:ascii="Garamond" w:hAnsi="Garamond"/>
        </w:rPr>
        <w:t xml:space="preserve"> b</w:t>
      </w:r>
      <w:r w:rsidR="000A4089" w:rsidRPr="00381F61">
        <w:rPr>
          <w:rFonts w:ascii="Garamond" w:hAnsi="Garamond"/>
        </w:rPr>
        <w:t>illio</w:t>
      </w:r>
      <w:r w:rsidR="003F3C99" w:rsidRPr="00381F61">
        <w:rPr>
          <w:rFonts w:ascii="Garamond" w:hAnsi="Garamond"/>
        </w:rPr>
        <w:t>n (</w:t>
      </w:r>
      <w:r w:rsidR="000C12CC" w:rsidRPr="00381F61">
        <w:rPr>
          <w:rFonts w:ascii="Garamond" w:hAnsi="Garamond"/>
        </w:rPr>
        <w:t xml:space="preserve">April </w:t>
      </w:r>
      <w:r w:rsidR="002433F7" w:rsidRPr="00381F61">
        <w:rPr>
          <w:rFonts w:ascii="Garamond" w:hAnsi="Garamond"/>
        </w:rPr>
        <w:t>2019</w:t>
      </w:r>
      <w:r w:rsidR="003F3C99" w:rsidRPr="00381F61">
        <w:rPr>
          <w:rFonts w:ascii="Garamond" w:hAnsi="Garamond"/>
        </w:rPr>
        <w:t xml:space="preserve">) on New Zealand’s </w:t>
      </w:r>
      <w:r w:rsidR="006E2F35" w:rsidRPr="00381F61">
        <w:rPr>
          <w:rFonts w:ascii="Garamond" w:hAnsi="Garamond"/>
        </w:rPr>
        <w:t xml:space="preserve">total </w:t>
      </w:r>
      <w:r w:rsidR="003F3C99" w:rsidRPr="00381F61">
        <w:rPr>
          <w:rFonts w:ascii="Garamond" w:hAnsi="Garamond"/>
        </w:rPr>
        <w:t xml:space="preserve">assets </w:t>
      </w:r>
      <w:r w:rsidR="00414FD2" w:rsidRPr="00381F61">
        <w:rPr>
          <w:rFonts w:ascii="Garamond" w:hAnsi="Garamond"/>
        </w:rPr>
        <w:t xml:space="preserve">(including the NZSF’s assets) </w:t>
      </w:r>
      <w:r w:rsidR="003F3C99" w:rsidRPr="00381F61">
        <w:rPr>
          <w:rFonts w:ascii="Garamond" w:hAnsi="Garamond"/>
        </w:rPr>
        <w:t>to invest in financial markets.</w:t>
      </w:r>
      <w:r w:rsidR="00170518" w:rsidRPr="00381F61">
        <w:rPr>
          <w:rFonts w:ascii="Garamond" w:hAnsi="Garamond"/>
        </w:rPr>
        <w:t xml:space="preserve">  The return on the NZSF’s assets must at least equal the most expensive $</w:t>
      </w:r>
      <w:r w:rsidR="000C12CC" w:rsidRPr="00381F61">
        <w:rPr>
          <w:rFonts w:ascii="Garamond" w:hAnsi="Garamond"/>
        </w:rPr>
        <w:t>42.9</w:t>
      </w:r>
      <w:r w:rsidR="00170518" w:rsidRPr="00381F61">
        <w:rPr>
          <w:rFonts w:ascii="Garamond" w:hAnsi="Garamond"/>
        </w:rPr>
        <w:t xml:space="preserve"> b</w:t>
      </w:r>
      <w:r w:rsidR="000A4089" w:rsidRPr="00381F61">
        <w:rPr>
          <w:rFonts w:ascii="Garamond" w:hAnsi="Garamond"/>
        </w:rPr>
        <w:t>illio</w:t>
      </w:r>
      <w:r w:rsidR="00170518" w:rsidRPr="00381F61">
        <w:rPr>
          <w:rFonts w:ascii="Garamond" w:hAnsi="Garamond"/>
        </w:rPr>
        <w:t xml:space="preserve">n of the government’s borrowings </w:t>
      </w:r>
      <w:r w:rsidR="00491DDA" w:rsidRPr="00381F61">
        <w:rPr>
          <w:rFonts w:ascii="Garamond" w:hAnsi="Garamond"/>
        </w:rPr>
        <w:t>(the ‘hurdle rate’)</w:t>
      </w:r>
      <w:r w:rsidR="006941E8" w:rsidRPr="00381F61">
        <w:rPr>
          <w:rFonts w:ascii="Garamond" w:hAnsi="Garamond"/>
        </w:rPr>
        <w:t>,</w:t>
      </w:r>
      <w:r w:rsidR="00491DDA" w:rsidRPr="00381F61">
        <w:rPr>
          <w:rFonts w:ascii="Garamond" w:hAnsi="Garamond"/>
        </w:rPr>
        <w:t xml:space="preserve"> </w:t>
      </w:r>
      <w:r w:rsidR="006941E8" w:rsidRPr="00381F61">
        <w:rPr>
          <w:rFonts w:ascii="Garamond" w:hAnsi="Garamond"/>
        </w:rPr>
        <w:t xml:space="preserve">plus the costs of running the NZSF, </w:t>
      </w:r>
      <w:r w:rsidR="00170518" w:rsidRPr="00381F61">
        <w:rPr>
          <w:rFonts w:ascii="Garamond" w:hAnsi="Garamond"/>
        </w:rPr>
        <w:t>before there is any net gain to holding those assets rather than repaying the debt.</w:t>
      </w:r>
    </w:p>
    <w:p w14:paraId="1F20ED5A" w14:textId="77777777" w:rsidR="00D24A47" w:rsidRPr="00381F61" w:rsidRDefault="00D24A47" w:rsidP="00392F95">
      <w:pPr>
        <w:pStyle w:val="FootnoteText"/>
        <w:ind w:left="709" w:hanging="425"/>
        <w:jc w:val="both"/>
        <w:rPr>
          <w:rFonts w:ascii="Garamond" w:hAnsi="Garamond"/>
        </w:rPr>
      </w:pPr>
    </w:p>
    <w:p w14:paraId="28EDC02E" w14:textId="77777777" w:rsidR="001448FF" w:rsidRPr="00381F61" w:rsidRDefault="00D24A47" w:rsidP="00392F95">
      <w:pPr>
        <w:pStyle w:val="FootnoteText"/>
        <w:numPr>
          <w:ilvl w:val="0"/>
          <w:numId w:val="19"/>
        </w:numPr>
        <w:ind w:left="709" w:hanging="425"/>
        <w:jc w:val="both"/>
        <w:rPr>
          <w:rFonts w:ascii="Garamond" w:hAnsi="Garamond"/>
        </w:rPr>
      </w:pPr>
      <w:r w:rsidRPr="00381F61">
        <w:rPr>
          <w:rFonts w:ascii="Garamond" w:hAnsi="Garamond"/>
          <w:b/>
        </w:rPr>
        <w:lastRenderedPageBreak/>
        <w:t>Leverage magnifies risk:</w:t>
      </w:r>
      <w:r w:rsidRPr="00381F61">
        <w:rPr>
          <w:rFonts w:ascii="Garamond" w:hAnsi="Garamond"/>
        </w:rPr>
        <w:t xml:space="preserve"> </w:t>
      </w:r>
      <w:r w:rsidR="003F3C99" w:rsidRPr="00381F61">
        <w:rPr>
          <w:rFonts w:ascii="Garamond" w:hAnsi="Garamond"/>
        </w:rPr>
        <w:t>The investment risk is very high with a 100%-leveraged portfolio.  Leverage magnifies both good and bad results.  This is a financial risk that the government doesn’t have to take and shouldn’t.</w:t>
      </w:r>
      <w:r w:rsidR="00BC6FBC" w:rsidRPr="00381F61">
        <w:rPr>
          <w:rFonts w:ascii="Garamond" w:hAnsi="Garamond"/>
        </w:rPr>
        <w:t xml:space="preserve">  Unless the NZSF achieves a return that, over the long term is at l</w:t>
      </w:r>
      <w:r w:rsidR="00491DDA" w:rsidRPr="00381F61">
        <w:rPr>
          <w:rFonts w:ascii="Garamond" w:hAnsi="Garamond"/>
        </w:rPr>
        <w:t>east equal to the ‘hurdle rate’</w:t>
      </w:r>
      <w:r w:rsidR="00BC6FBC" w:rsidRPr="00381F61">
        <w:rPr>
          <w:rFonts w:ascii="Garamond" w:hAnsi="Garamond"/>
        </w:rPr>
        <w:t xml:space="preserve"> then the presence of the NZSF will make NZS more expensive than its pu</w:t>
      </w:r>
      <w:r w:rsidR="00971619" w:rsidRPr="00381F61">
        <w:rPr>
          <w:rFonts w:ascii="Garamond" w:hAnsi="Garamond"/>
        </w:rPr>
        <w:t>re pay-as-you-go alternative.</w:t>
      </w:r>
    </w:p>
    <w:p w14:paraId="43F2611A" w14:textId="77777777" w:rsidR="001448FF" w:rsidRPr="00381F61" w:rsidRDefault="001448FF" w:rsidP="00891E0F">
      <w:pPr>
        <w:pStyle w:val="ListParagraph"/>
        <w:rPr>
          <w:rFonts w:ascii="Garamond" w:hAnsi="Garamond"/>
          <w:sz w:val="8"/>
          <w:szCs w:val="8"/>
        </w:rPr>
      </w:pPr>
    </w:p>
    <w:p w14:paraId="6C9B9C3A" w14:textId="361FBFA8" w:rsidR="003F3C99" w:rsidRPr="00381F61" w:rsidRDefault="00971619" w:rsidP="00891E0F">
      <w:pPr>
        <w:pStyle w:val="FootnoteText"/>
        <w:ind w:left="709"/>
        <w:jc w:val="both"/>
        <w:rPr>
          <w:rFonts w:ascii="Garamond" w:hAnsi="Garamond"/>
        </w:rPr>
      </w:pPr>
      <w:r w:rsidRPr="00381F61">
        <w:rPr>
          <w:rFonts w:ascii="Garamond" w:hAnsi="Garamond"/>
        </w:rPr>
        <w:t>However, j</w:t>
      </w:r>
      <w:r w:rsidR="00BC6FBC" w:rsidRPr="00381F61">
        <w:rPr>
          <w:rFonts w:ascii="Garamond" w:hAnsi="Garamond"/>
        </w:rPr>
        <w:t>ust achieving that hurdle rate is not enough.  The risks associated with a 100%</w:t>
      </w:r>
      <w:r w:rsidR="00A92D9A" w:rsidRPr="00381F61">
        <w:rPr>
          <w:rFonts w:ascii="Garamond" w:hAnsi="Garamond"/>
        </w:rPr>
        <w:t>-</w:t>
      </w:r>
      <w:r w:rsidR="00BC6FBC" w:rsidRPr="00381F61">
        <w:rPr>
          <w:rFonts w:ascii="Garamond" w:hAnsi="Garamond"/>
        </w:rPr>
        <w:t xml:space="preserve">leveraged portfolio also need </w:t>
      </w:r>
      <w:r w:rsidR="006E40B9" w:rsidRPr="00381F61">
        <w:rPr>
          <w:rFonts w:ascii="Garamond" w:hAnsi="Garamond"/>
        </w:rPr>
        <w:t xml:space="preserve">to </w:t>
      </w:r>
      <w:r w:rsidR="00A14224" w:rsidRPr="00381F61">
        <w:rPr>
          <w:rFonts w:ascii="Garamond" w:hAnsi="Garamond"/>
        </w:rPr>
        <w:t>be paid for</w:t>
      </w:r>
      <w:r w:rsidR="00BC6FBC" w:rsidRPr="00381F61">
        <w:rPr>
          <w:rFonts w:ascii="Garamond" w:hAnsi="Garamond"/>
        </w:rPr>
        <w:t>.  In other words, the ‘hurdle rate’ should be risk-adjusted</w:t>
      </w:r>
      <w:r w:rsidR="00246946" w:rsidRPr="00381F61">
        <w:rPr>
          <w:rStyle w:val="FootnoteReference"/>
          <w:rFonts w:ascii="Garamond" w:hAnsi="Garamond"/>
        </w:rPr>
        <w:footnoteReference w:id="82"/>
      </w:r>
      <w:r w:rsidR="00BC6FBC" w:rsidRPr="00381F61">
        <w:rPr>
          <w:rFonts w:ascii="Garamond" w:hAnsi="Garamond"/>
        </w:rPr>
        <w:t>.</w:t>
      </w:r>
      <w:r w:rsidR="0045575F" w:rsidRPr="00381F61">
        <w:rPr>
          <w:rFonts w:ascii="Garamond" w:hAnsi="Garamond"/>
        </w:rPr>
        <w:t xml:space="preserve">  While the NZSF may have its own internal measures of success, the government should separately calculate a risk-adjusted hurdle rate and publish that</w:t>
      </w:r>
      <w:r w:rsidR="007C5842" w:rsidRPr="00381F61">
        <w:rPr>
          <w:rFonts w:ascii="Garamond" w:hAnsi="Garamond"/>
        </w:rPr>
        <w:t xml:space="preserve"> on a regular basis</w:t>
      </w:r>
      <w:r w:rsidR="0045575F" w:rsidRPr="00381F61">
        <w:rPr>
          <w:rFonts w:ascii="Garamond" w:hAnsi="Garamond"/>
        </w:rPr>
        <w:t xml:space="preserve"> to justify, or not, the </w:t>
      </w:r>
      <w:r w:rsidR="006E40B9" w:rsidRPr="00381F61">
        <w:rPr>
          <w:rFonts w:ascii="Garamond" w:hAnsi="Garamond"/>
        </w:rPr>
        <w:t xml:space="preserve">government’s </w:t>
      </w:r>
      <w:r w:rsidR="0045575F" w:rsidRPr="00381F61">
        <w:rPr>
          <w:rFonts w:ascii="Garamond" w:hAnsi="Garamond"/>
        </w:rPr>
        <w:t>policy decision to maintain the NZSF</w:t>
      </w:r>
      <w:r w:rsidR="00684DCF" w:rsidRPr="00381F61">
        <w:rPr>
          <w:rFonts w:ascii="Garamond" w:hAnsi="Garamond"/>
        </w:rPr>
        <w:t xml:space="preserve"> in the presence of debt</w:t>
      </w:r>
      <w:r w:rsidR="0045575F" w:rsidRPr="00381F61">
        <w:rPr>
          <w:rFonts w:ascii="Garamond" w:hAnsi="Garamond"/>
        </w:rPr>
        <w:t>.</w:t>
      </w:r>
      <w:r w:rsidR="00956FDB" w:rsidRPr="00381F61">
        <w:rPr>
          <w:rFonts w:ascii="Garamond" w:hAnsi="Garamond"/>
        </w:rPr>
        <w:t xml:space="preserve">  The NZSF should not </w:t>
      </w:r>
      <w:r w:rsidR="000C12CC" w:rsidRPr="00381F61">
        <w:rPr>
          <w:rFonts w:ascii="Garamond" w:hAnsi="Garamond"/>
        </w:rPr>
        <w:t xml:space="preserve">choose the measures for </w:t>
      </w:r>
      <w:r w:rsidR="00956FDB" w:rsidRPr="00381F61">
        <w:rPr>
          <w:rFonts w:ascii="Garamond" w:hAnsi="Garamond"/>
        </w:rPr>
        <w:t>that calculation because it does not run the risks associated with missing the hurdle rate.</w:t>
      </w:r>
    </w:p>
    <w:p w14:paraId="34CEC8D4" w14:textId="77777777" w:rsidR="00197F5F" w:rsidRPr="00381F61" w:rsidRDefault="00197F5F" w:rsidP="009B3E9B">
      <w:pPr>
        <w:pStyle w:val="FootnoteText"/>
        <w:ind w:left="709"/>
        <w:jc w:val="both"/>
        <w:rPr>
          <w:rFonts w:ascii="Garamond" w:hAnsi="Garamond"/>
          <w:sz w:val="8"/>
          <w:szCs w:val="8"/>
        </w:rPr>
      </w:pPr>
    </w:p>
    <w:p w14:paraId="2BB794F7" w14:textId="4A01198B" w:rsidR="00D24A47" w:rsidRPr="00381F61" w:rsidRDefault="002570DB" w:rsidP="009B3E9B">
      <w:pPr>
        <w:pStyle w:val="FootnoteText"/>
        <w:ind w:left="709"/>
        <w:jc w:val="both"/>
        <w:rPr>
          <w:rFonts w:ascii="Garamond" w:hAnsi="Garamond"/>
        </w:rPr>
      </w:pPr>
      <w:r w:rsidRPr="00381F61">
        <w:rPr>
          <w:rFonts w:ascii="Garamond" w:hAnsi="Garamond"/>
        </w:rPr>
        <w:t>Just looking at the ‘equity risk premium’ or ERP</w:t>
      </w:r>
      <w:r w:rsidR="004D3470" w:rsidRPr="00381F61">
        <w:rPr>
          <w:rFonts w:ascii="Garamond" w:hAnsi="Garamond"/>
        </w:rPr>
        <w:t xml:space="preserve"> </w:t>
      </w:r>
      <w:r w:rsidRPr="00381F61">
        <w:rPr>
          <w:rFonts w:ascii="Garamond" w:hAnsi="Garamond"/>
        </w:rPr>
        <w:t xml:space="preserve">and putting to one </w:t>
      </w:r>
      <w:r w:rsidR="004D3470" w:rsidRPr="00381F61">
        <w:rPr>
          <w:rFonts w:ascii="Garamond" w:hAnsi="Garamond"/>
        </w:rPr>
        <w:t>side the issue of 100% leverage</w:t>
      </w:r>
      <w:r w:rsidRPr="00381F61">
        <w:rPr>
          <w:rFonts w:ascii="Garamond" w:hAnsi="Garamond"/>
        </w:rPr>
        <w:t xml:space="preserve">, the government’s independent calculation of the ERP </w:t>
      </w:r>
      <w:r w:rsidR="007E7D74" w:rsidRPr="00381F61">
        <w:rPr>
          <w:rFonts w:ascii="Garamond" w:hAnsi="Garamond"/>
        </w:rPr>
        <w:t>would put that at between 4 to 7.5 percentage points above the 10-year bond rate</w:t>
      </w:r>
      <w:r w:rsidR="007C69F8" w:rsidRPr="00381F61">
        <w:rPr>
          <w:rStyle w:val="FootnoteReference"/>
          <w:rFonts w:ascii="Garamond" w:hAnsi="Garamond"/>
        </w:rPr>
        <w:footnoteReference w:id="83"/>
      </w:r>
      <w:r w:rsidR="007C69F8" w:rsidRPr="00381F61">
        <w:rPr>
          <w:rFonts w:ascii="Garamond" w:hAnsi="Garamond"/>
        </w:rPr>
        <w:t>.  The Tr</w:t>
      </w:r>
      <w:r w:rsidR="005B5D63" w:rsidRPr="00381F61">
        <w:rPr>
          <w:rFonts w:ascii="Garamond" w:hAnsi="Garamond"/>
        </w:rPr>
        <w:t>easury itself uses 4</w:t>
      </w:r>
      <w:r w:rsidR="007C69F8" w:rsidRPr="00381F61">
        <w:rPr>
          <w:rFonts w:ascii="Garamond" w:hAnsi="Garamond"/>
        </w:rPr>
        <w:t>% in its assessment of the projected capital returns from the New Zealand Superannuation Fund</w:t>
      </w:r>
      <w:r w:rsidR="007C69F8" w:rsidRPr="00381F61">
        <w:rPr>
          <w:rStyle w:val="FootnoteReference"/>
          <w:rFonts w:ascii="Garamond" w:hAnsi="Garamond"/>
        </w:rPr>
        <w:footnoteReference w:id="84"/>
      </w:r>
      <w:r w:rsidR="007C69F8" w:rsidRPr="00381F61">
        <w:rPr>
          <w:rFonts w:ascii="Garamond" w:hAnsi="Garamond"/>
        </w:rPr>
        <w:t>.</w:t>
      </w:r>
      <w:r w:rsidR="004D3470" w:rsidRPr="00381F61">
        <w:rPr>
          <w:rFonts w:ascii="Garamond" w:hAnsi="Garamond"/>
        </w:rPr>
        <w:t xml:space="preserve">  Most alternative measures would be higher than the NZSF’s own internal measures</w:t>
      </w:r>
      <w:r w:rsidR="003E0DE4" w:rsidRPr="00381F61">
        <w:rPr>
          <w:rStyle w:val="FootnoteReference"/>
          <w:rFonts w:ascii="Garamond" w:hAnsi="Garamond"/>
        </w:rPr>
        <w:footnoteReference w:id="85"/>
      </w:r>
      <w:r w:rsidR="004D3470" w:rsidRPr="00381F61">
        <w:rPr>
          <w:rFonts w:ascii="Garamond" w:hAnsi="Garamond"/>
        </w:rPr>
        <w:t>.</w:t>
      </w:r>
    </w:p>
    <w:p w14:paraId="51FC9288" w14:textId="77777777" w:rsidR="004D3470" w:rsidRPr="00381F61" w:rsidRDefault="004D3470" w:rsidP="00392F95">
      <w:pPr>
        <w:pStyle w:val="FootnoteText"/>
        <w:ind w:left="709" w:hanging="425"/>
        <w:jc w:val="both"/>
        <w:rPr>
          <w:rFonts w:ascii="Garamond" w:hAnsi="Garamond"/>
        </w:rPr>
      </w:pPr>
    </w:p>
    <w:p w14:paraId="6A45A6C1" w14:textId="49EA5735" w:rsidR="00EA0DD8" w:rsidRPr="00381F61" w:rsidRDefault="00D24A47" w:rsidP="00392F95">
      <w:pPr>
        <w:pStyle w:val="FootnoteText"/>
        <w:numPr>
          <w:ilvl w:val="0"/>
          <w:numId w:val="19"/>
        </w:numPr>
        <w:ind w:left="709" w:hanging="425"/>
        <w:jc w:val="both"/>
        <w:rPr>
          <w:rFonts w:ascii="Garamond" w:hAnsi="Garamond"/>
        </w:rPr>
      </w:pPr>
      <w:r w:rsidRPr="00381F61">
        <w:rPr>
          <w:rFonts w:ascii="Garamond" w:hAnsi="Garamond"/>
          <w:b/>
        </w:rPr>
        <w:t xml:space="preserve">Cookie jar economics: </w:t>
      </w:r>
      <w:r w:rsidR="003F3C99" w:rsidRPr="00381F61">
        <w:rPr>
          <w:rFonts w:ascii="Garamond" w:hAnsi="Garamond"/>
        </w:rPr>
        <w:t xml:space="preserve">The NZSF is a </w:t>
      </w:r>
      <w:r w:rsidR="00857879" w:rsidRPr="00381F61">
        <w:rPr>
          <w:rFonts w:ascii="Garamond" w:hAnsi="Garamond"/>
        </w:rPr>
        <w:t>good</w:t>
      </w:r>
      <w:r w:rsidR="003F3C99" w:rsidRPr="00381F61">
        <w:rPr>
          <w:rFonts w:ascii="Garamond" w:hAnsi="Garamond"/>
        </w:rPr>
        <w:t xml:space="preserve"> example of ‘cookie jar economics’ – if we tuck this money into a jar labelled </w:t>
      </w:r>
      <w:r w:rsidR="006B70D8" w:rsidRPr="00381F61">
        <w:rPr>
          <w:rFonts w:ascii="Garamond" w:hAnsi="Garamond"/>
        </w:rPr>
        <w:t>‘</w:t>
      </w:r>
      <w:r w:rsidR="003F3C99" w:rsidRPr="00381F61">
        <w:rPr>
          <w:rFonts w:ascii="Garamond" w:hAnsi="Garamond"/>
        </w:rPr>
        <w:t>superannuation</w:t>
      </w:r>
      <w:r w:rsidR="006B70D8" w:rsidRPr="00381F61">
        <w:rPr>
          <w:rFonts w:ascii="Garamond" w:hAnsi="Garamond"/>
        </w:rPr>
        <w:t>’</w:t>
      </w:r>
      <w:r w:rsidR="003F3C99" w:rsidRPr="00381F61">
        <w:rPr>
          <w:rFonts w:ascii="Garamond" w:hAnsi="Garamond"/>
        </w:rPr>
        <w:t xml:space="preserve">, we can all save together for our collective retirement.  </w:t>
      </w:r>
      <w:r w:rsidRPr="00381F61">
        <w:rPr>
          <w:rFonts w:ascii="Garamond" w:hAnsi="Garamond"/>
        </w:rPr>
        <w:t>For th</w:t>
      </w:r>
      <w:r w:rsidR="00857879" w:rsidRPr="00381F61">
        <w:rPr>
          <w:rFonts w:ascii="Garamond" w:hAnsi="Garamond"/>
        </w:rPr>
        <w:t xml:space="preserve">e reasons explained in section </w:t>
      </w:r>
      <w:r w:rsidR="000856CF" w:rsidRPr="00381F61">
        <w:rPr>
          <w:rFonts w:ascii="Garamond" w:hAnsi="Garamond"/>
        </w:rPr>
        <w:t>4</w:t>
      </w:r>
      <w:r w:rsidR="00997612" w:rsidRPr="00381F61">
        <w:rPr>
          <w:rFonts w:ascii="Garamond" w:hAnsi="Garamond"/>
        </w:rPr>
        <w:t xml:space="preserve"> (</w:t>
      </w:r>
      <w:r w:rsidR="007E0A26" w:rsidRPr="00381F61">
        <w:rPr>
          <w:rFonts w:ascii="Garamond" w:hAnsi="Garamond"/>
        </w:rPr>
        <w:t>How much will New Zealand Superannuation really cost?</w:t>
      </w:r>
      <w:r w:rsidR="00997612" w:rsidRPr="00381F61">
        <w:rPr>
          <w:rFonts w:ascii="Garamond" w:hAnsi="Garamond"/>
        </w:rPr>
        <w:t>)</w:t>
      </w:r>
      <w:r w:rsidR="003F3C99" w:rsidRPr="00381F61">
        <w:rPr>
          <w:rFonts w:ascii="Garamond" w:hAnsi="Garamond"/>
        </w:rPr>
        <w:t>, it’s not possible for a country to defer consumption</w:t>
      </w:r>
      <w:r w:rsidR="00956FDB" w:rsidRPr="00381F61">
        <w:rPr>
          <w:rFonts w:ascii="Garamond" w:hAnsi="Garamond"/>
        </w:rPr>
        <w:t xml:space="preserve"> or ‘save’</w:t>
      </w:r>
      <w:r w:rsidR="003F3C99" w:rsidRPr="00381F61">
        <w:rPr>
          <w:rFonts w:ascii="Garamond" w:hAnsi="Garamond"/>
        </w:rPr>
        <w:t xml:space="preserve"> in this way.  The government’s consolidated audited accounts put all of its financial activities into one spot.  With th</w:t>
      </w:r>
      <w:r w:rsidR="00764D30" w:rsidRPr="00381F61">
        <w:rPr>
          <w:rFonts w:ascii="Garamond" w:hAnsi="Garamond"/>
        </w:rPr>
        <w:t xml:space="preserve">e NZSF, the government’s financial statements for the period ending </w:t>
      </w:r>
      <w:r w:rsidR="00CB63C2" w:rsidRPr="00381F61">
        <w:rPr>
          <w:rFonts w:ascii="Garamond" w:hAnsi="Garamond"/>
        </w:rPr>
        <w:t>28 February 2019</w:t>
      </w:r>
      <w:r w:rsidR="003F3C99" w:rsidRPr="00381F61">
        <w:rPr>
          <w:rFonts w:ascii="Garamond" w:hAnsi="Garamond"/>
        </w:rPr>
        <w:t xml:space="preserve"> </w:t>
      </w:r>
      <w:r w:rsidR="00764D30" w:rsidRPr="00381F61">
        <w:rPr>
          <w:rFonts w:ascii="Garamond" w:hAnsi="Garamond"/>
        </w:rPr>
        <w:t xml:space="preserve">(accessible </w:t>
      </w:r>
      <w:hyperlink r:id="rId38" w:history="1">
        <w:r w:rsidR="00764D30" w:rsidRPr="00381F61">
          <w:rPr>
            <w:rStyle w:val="Hyperlink"/>
            <w:rFonts w:ascii="Garamond" w:hAnsi="Garamond"/>
          </w:rPr>
          <w:t>here</w:t>
        </w:r>
      </w:hyperlink>
      <w:r w:rsidR="00764D30" w:rsidRPr="00381F61">
        <w:rPr>
          <w:rFonts w:ascii="Garamond" w:hAnsi="Garamond"/>
        </w:rPr>
        <w:t>) show</w:t>
      </w:r>
      <w:r w:rsidR="003F3C99" w:rsidRPr="00381F61">
        <w:rPr>
          <w:rFonts w:ascii="Garamond" w:hAnsi="Garamond"/>
        </w:rPr>
        <w:t xml:space="preserve"> that we</w:t>
      </w:r>
      <w:r w:rsidR="00857879" w:rsidRPr="00381F61">
        <w:rPr>
          <w:rFonts w:ascii="Garamond" w:hAnsi="Garamond"/>
        </w:rPr>
        <w:t xml:space="preserve"> taxpayers</w:t>
      </w:r>
      <w:r w:rsidR="003F3C99" w:rsidRPr="00381F61">
        <w:rPr>
          <w:rFonts w:ascii="Garamond" w:hAnsi="Garamond"/>
        </w:rPr>
        <w:t xml:space="preserve"> owe the rest of the world $</w:t>
      </w:r>
      <w:r w:rsidR="00CB63C2" w:rsidRPr="00381F61">
        <w:rPr>
          <w:rFonts w:ascii="Garamond" w:hAnsi="Garamond"/>
        </w:rPr>
        <w:t>115.8</w:t>
      </w:r>
      <w:r w:rsidR="003F3C99" w:rsidRPr="00381F61">
        <w:rPr>
          <w:rFonts w:ascii="Garamond" w:hAnsi="Garamond"/>
        </w:rPr>
        <w:t xml:space="preserve"> b</w:t>
      </w:r>
      <w:r w:rsidR="00CB63C2" w:rsidRPr="00381F61">
        <w:rPr>
          <w:rFonts w:ascii="Garamond" w:hAnsi="Garamond"/>
        </w:rPr>
        <w:t>illio</w:t>
      </w:r>
      <w:r w:rsidR="003F3C99" w:rsidRPr="00381F61">
        <w:rPr>
          <w:rFonts w:ascii="Garamond" w:hAnsi="Garamond"/>
        </w:rPr>
        <w:t>n.  Without the NZSF cook</w:t>
      </w:r>
      <w:r w:rsidR="00373C00" w:rsidRPr="00381F61">
        <w:rPr>
          <w:rFonts w:ascii="Garamond" w:hAnsi="Garamond"/>
        </w:rPr>
        <w:t xml:space="preserve">ie jar, that debt would be </w:t>
      </w:r>
      <w:r w:rsidR="00CB63C2" w:rsidRPr="00381F61">
        <w:rPr>
          <w:rFonts w:ascii="Garamond" w:hAnsi="Garamond"/>
        </w:rPr>
        <w:t>$74.6 billion</w:t>
      </w:r>
      <w:r w:rsidR="003F3C99" w:rsidRPr="00381F61">
        <w:rPr>
          <w:rFonts w:ascii="Garamond" w:hAnsi="Garamond"/>
        </w:rPr>
        <w:t>.  Having the cookie jar and higher debt does not improve New Zealanders’ future retirement income security which is normally the point of pre-funding.</w:t>
      </w:r>
    </w:p>
    <w:p w14:paraId="66A4DD99" w14:textId="77777777" w:rsidR="00EA0DD8" w:rsidRPr="00381F61" w:rsidRDefault="00EA0DD8" w:rsidP="00392F95">
      <w:pPr>
        <w:pStyle w:val="FootnoteText"/>
        <w:ind w:left="709" w:hanging="425"/>
        <w:jc w:val="both"/>
        <w:rPr>
          <w:rFonts w:ascii="Garamond" w:hAnsi="Garamond"/>
        </w:rPr>
      </w:pPr>
    </w:p>
    <w:p w14:paraId="71F7DE14" w14:textId="33CEC636" w:rsidR="00C660C4" w:rsidRPr="00381F61" w:rsidRDefault="00EA0DD8" w:rsidP="00392F95">
      <w:pPr>
        <w:pStyle w:val="FootnoteText"/>
        <w:numPr>
          <w:ilvl w:val="0"/>
          <w:numId w:val="19"/>
        </w:numPr>
        <w:ind w:left="709" w:hanging="425"/>
        <w:jc w:val="both"/>
        <w:rPr>
          <w:rFonts w:ascii="Garamond" w:hAnsi="Garamond"/>
        </w:rPr>
      </w:pPr>
      <w:r w:rsidRPr="00381F61">
        <w:rPr>
          <w:rFonts w:ascii="Garamond" w:hAnsi="Garamond"/>
          <w:b/>
        </w:rPr>
        <w:t>Total taxes higher</w:t>
      </w:r>
      <w:r w:rsidR="005C50F6" w:rsidRPr="00381F61">
        <w:rPr>
          <w:rFonts w:ascii="Garamond" w:hAnsi="Garamond"/>
          <w:b/>
        </w:rPr>
        <w:t xml:space="preserve"> over long-term</w:t>
      </w:r>
      <w:r w:rsidRPr="00381F61">
        <w:rPr>
          <w:rFonts w:ascii="Garamond" w:hAnsi="Garamond"/>
          <w:b/>
        </w:rPr>
        <w:t>:</w:t>
      </w:r>
      <w:r w:rsidRPr="00381F61">
        <w:rPr>
          <w:rFonts w:ascii="Garamond" w:hAnsi="Garamond"/>
        </w:rPr>
        <w:t xml:space="preserve"> </w:t>
      </w:r>
      <w:r w:rsidR="003F3C99" w:rsidRPr="00381F61">
        <w:rPr>
          <w:rFonts w:ascii="Garamond" w:hAnsi="Garamond"/>
        </w:rPr>
        <w:t>Long term, total taxes collected will probably be higher in the presence of the NZSF than if it had never started.  We know that governments since 200</w:t>
      </w:r>
      <w:r w:rsidR="00CB63C2" w:rsidRPr="00381F61">
        <w:rPr>
          <w:rFonts w:ascii="Garamond" w:hAnsi="Garamond"/>
        </w:rPr>
        <w:t>3</w:t>
      </w:r>
      <w:r w:rsidR="003F3C99" w:rsidRPr="00381F61">
        <w:rPr>
          <w:rFonts w:ascii="Garamond" w:hAnsi="Garamond"/>
        </w:rPr>
        <w:t xml:space="preserve"> have collected too much tax from us to pay for just NZS</w:t>
      </w:r>
      <w:r w:rsidR="00007D15" w:rsidRPr="00381F61">
        <w:rPr>
          <w:rFonts w:ascii="Garamond" w:hAnsi="Garamond"/>
        </w:rPr>
        <w:t xml:space="preserve">.  Those excess taxes </w:t>
      </w:r>
      <w:r w:rsidR="00CB63C2" w:rsidRPr="00381F61">
        <w:rPr>
          <w:rFonts w:ascii="Garamond" w:hAnsi="Garamond"/>
        </w:rPr>
        <w:t xml:space="preserve">were </w:t>
      </w:r>
      <w:r w:rsidR="00007D15" w:rsidRPr="00381F61">
        <w:rPr>
          <w:rFonts w:ascii="Garamond" w:hAnsi="Garamond"/>
        </w:rPr>
        <w:t>$14.88</w:t>
      </w:r>
      <w:r w:rsidR="003F3C99" w:rsidRPr="00381F61">
        <w:rPr>
          <w:rFonts w:ascii="Garamond" w:hAnsi="Garamond"/>
        </w:rPr>
        <w:t xml:space="preserve"> b</w:t>
      </w:r>
      <w:r w:rsidR="00D84826" w:rsidRPr="00381F61">
        <w:rPr>
          <w:rFonts w:ascii="Garamond" w:hAnsi="Garamond"/>
        </w:rPr>
        <w:t>illio</w:t>
      </w:r>
      <w:r w:rsidR="003F3C99" w:rsidRPr="00381F61">
        <w:rPr>
          <w:rFonts w:ascii="Garamond" w:hAnsi="Garamond"/>
        </w:rPr>
        <w:t>n</w:t>
      </w:r>
      <w:r w:rsidR="00CB63C2" w:rsidRPr="00381F61">
        <w:rPr>
          <w:rFonts w:ascii="Garamond" w:hAnsi="Garamond"/>
        </w:rPr>
        <w:t xml:space="preserve"> in 2017</w:t>
      </w:r>
      <w:r w:rsidR="00007D15" w:rsidRPr="00381F61">
        <w:rPr>
          <w:rStyle w:val="FootnoteReference"/>
          <w:rFonts w:ascii="Garamond" w:hAnsi="Garamond"/>
        </w:rPr>
        <w:footnoteReference w:id="86"/>
      </w:r>
      <w:r w:rsidR="003F3C99" w:rsidRPr="00381F61">
        <w:rPr>
          <w:rFonts w:ascii="Garamond" w:hAnsi="Garamond"/>
        </w:rPr>
        <w:t xml:space="preserve"> </w:t>
      </w:r>
      <w:r w:rsidR="00CB63C2" w:rsidRPr="00381F61">
        <w:rPr>
          <w:rFonts w:ascii="Garamond" w:hAnsi="Garamond"/>
        </w:rPr>
        <w:t xml:space="preserve">and now should have added the $500 million that this government contributed in 2018.  So, $15.38 billion </w:t>
      </w:r>
      <w:r w:rsidR="003F3C99" w:rsidRPr="00381F61">
        <w:rPr>
          <w:rFonts w:ascii="Garamond" w:hAnsi="Garamond"/>
        </w:rPr>
        <w:t>currently sit</w:t>
      </w:r>
      <w:r w:rsidR="00CB63C2" w:rsidRPr="00381F61">
        <w:rPr>
          <w:rFonts w:ascii="Garamond" w:hAnsi="Garamond"/>
        </w:rPr>
        <w:t>s</w:t>
      </w:r>
      <w:r w:rsidR="003F3C99" w:rsidRPr="00381F61">
        <w:rPr>
          <w:rFonts w:ascii="Garamond" w:hAnsi="Garamond"/>
        </w:rPr>
        <w:t xml:space="preserve"> in the NZSF together with investment income (less </w:t>
      </w:r>
      <w:r w:rsidR="00D16F35" w:rsidRPr="00381F61">
        <w:rPr>
          <w:rFonts w:ascii="Garamond" w:hAnsi="Garamond"/>
        </w:rPr>
        <w:t xml:space="preserve">tax and </w:t>
      </w:r>
      <w:r w:rsidR="003F3C99" w:rsidRPr="00381F61">
        <w:rPr>
          <w:rFonts w:ascii="Garamond" w:hAnsi="Garamond"/>
        </w:rPr>
        <w:t>expenses).</w:t>
      </w:r>
    </w:p>
    <w:p w14:paraId="6B548976" w14:textId="77777777" w:rsidR="00C660C4" w:rsidRPr="00381F61" w:rsidRDefault="00C660C4" w:rsidP="00392F95">
      <w:pPr>
        <w:pStyle w:val="FootnoteText"/>
        <w:ind w:left="709" w:hanging="425"/>
        <w:jc w:val="both"/>
        <w:rPr>
          <w:rFonts w:ascii="Garamond" w:hAnsi="Garamond"/>
          <w:sz w:val="8"/>
          <w:szCs w:val="8"/>
        </w:rPr>
      </w:pPr>
    </w:p>
    <w:p w14:paraId="33761C2F" w14:textId="174BA5B1" w:rsidR="003F3C99" w:rsidRPr="00381F61" w:rsidRDefault="00C036AD" w:rsidP="00392F95">
      <w:pPr>
        <w:pStyle w:val="FootnoteText"/>
        <w:ind w:left="709"/>
        <w:jc w:val="both"/>
        <w:rPr>
          <w:rFonts w:ascii="Garamond" w:hAnsi="Garamond"/>
        </w:rPr>
      </w:pPr>
      <w:r w:rsidRPr="00381F61">
        <w:rPr>
          <w:rFonts w:ascii="Garamond" w:hAnsi="Garamond"/>
        </w:rPr>
        <w:lastRenderedPageBreak/>
        <w:t>We need to anticipate</w:t>
      </w:r>
      <w:r w:rsidR="003F3C99" w:rsidRPr="00381F61">
        <w:rPr>
          <w:rFonts w:ascii="Garamond" w:hAnsi="Garamond"/>
        </w:rPr>
        <w:t xml:space="preserve"> what </w:t>
      </w:r>
      <w:r w:rsidRPr="00381F61">
        <w:rPr>
          <w:rFonts w:ascii="Garamond" w:hAnsi="Garamond"/>
        </w:rPr>
        <w:t>might</w:t>
      </w:r>
      <w:r w:rsidR="003F3C99" w:rsidRPr="00381F61">
        <w:rPr>
          <w:rFonts w:ascii="Garamond" w:hAnsi="Garamond"/>
        </w:rPr>
        <w:t xml:space="preserve"> happen when the capital drawdowns start.  The Treasury’s </w:t>
      </w:r>
      <w:r w:rsidR="00F24406" w:rsidRPr="00381F61">
        <w:rPr>
          <w:rFonts w:ascii="Garamond" w:hAnsi="Garamond"/>
          <w:i/>
        </w:rPr>
        <w:t>Model</w:t>
      </w:r>
      <w:r w:rsidR="003F3C99" w:rsidRPr="00381F61">
        <w:rPr>
          <w:rFonts w:ascii="Garamond" w:hAnsi="Garamond"/>
        </w:rPr>
        <w:t xml:space="preserve"> suggests that the first payment fr</w:t>
      </w:r>
      <w:r w:rsidR="00373C00" w:rsidRPr="00381F61">
        <w:rPr>
          <w:rFonts w:ascii="Garamond" w:hAnsi="Garamond"/>
        </w:rPr>
        <w:t>om the NZSF in 203</w:t>
      </w:r>
      <w:r w:rsidR="00CB63C2" w:rsidRPr="00381F61">
        <w:rPr>
          <w:rFonts w:ascii="Garamond" w:hAnsi="Garamond"/>
        </w:rPr>
        <w:t>5</w:t>
      </w:r>
      <w:r w:rsidR="00373C00" w:rsidRPr="00381F61">
        <w:rPr>
          <w:rFonts w:ascii="Garamond" w:hAnsi="Garamond"/>
        </w:rPr>
        <w:t xml:space="preserve"> will be $1</w:t>
      </w:r>
      <w:r w:rsidR="00CB63C2" w:rsidRPr="00381F61">
        <w:rPr>
          <w:rFonts w:ascii="Garamond" w:hAnsi="Garamond"/>
        </w:rPr>
        <w:t>79</w:t>
      </w:r>
      <w:r w:rsidR="003F3C99" w:rsidRPr="00381F61">
        <w:rPr>
          <w:rFonts w:ascii="Garamond" w:hAnsi="Garamond"/>
        </w:rPr>
        <w:t>m or just 0.0</w:t>
      </w:r>
      <w:r w:rsidR="00CB63C2" w:rsidRPr="00381F61">
        <w:rPr>
          <w:rFonts w:ascii="Garamond" w:hAnsi="Garamond"/>
        </w:rPr>
        <w:t>3</w:t>
      </w:r>
      <w:r w:rsidR="003F3C99" w:rsidRPr="00381F61">
        <w:rPr>
          <w:rFonts w:ascii="Garamond" w:hAnsi="Garamond"/>
        </w:rPr>
        <w:t>% of GDP in that year.  T</w:t>
      </w:r>
      <w:r w:rsidR="00373C00" w:rsidRPr="00381F61">
        <w:rPr>
          <w:rFonts w:ascii="Garamond" w:hAnsi="Garamond"/>
        </w:rPr>
        <w:t>hose drawdowns will average 0.66</w:t>
      </w:r>
      <w:r w:rsidR="003F3C99" w:rsidRPr="00381F61">
        <w:rPr>
          <w:rFonts w:ascii="Garamond" w:hAnsi="Garamond"/>
        </w:rPr>
        <w:t>% a year of nominal GDP in th</w:t>
      </w:r>
      <w:r w:rsidR="00373C00" w:rsidRPr="00381F61">
        <w:rPr>
          <w:rFonts w:ascii="Garamond" w:hAnsi="Garamond"/>
        </w:rPr>
        <w:t>e 8</w:t>
      </w:r>
      <w:r w:rsidR="00CB63C2" w:rsidRPr="00381F61">
        <w:rPr>
          <w:rFonts w:ascii="Garamond" w:hAnsi="Garamond"/>
        </w:rPr>
        <w:t>1</w:t>
      </w:r>
      <w:r w:rsidR="00373C00" w:rsidRPr="00381F61">
        <w:rPr>
          <w:rFonts w:ascii="Garamond" w:hAnsi="Garamond"/>
        </w:rPr>
        <w:t xml:space="preserve"> years between 203</w:t>
      </w:r>
      <w:r w:rsidR="00CB63C2" w:rsidRPr="00381F61">
        <w:rPr>
          <w:rFonts w:ascii="Garamond" w:hAnsi="Garamond"/>
        </w:rPr>
        <w:t>5</w:t>
      </w:r>
      <w:r w:rsidR="00373C00" w:rsidRPr="00381F61">
        <w:rPr>
          <w:rFonts w:ascii="Garamond" w:hAnsi="Garamond"/>
        </w:rPr>
        <w:t xml:space="preserve"> and 2116, the equivalent of about $1.</w:t>
      </w:r>
      <w:r w:rsidR="00CB63C2" w:rsidRPr="00381F61">
        <w:rPr>
          <w:rFonts w:ascii="Garamond" w:hAnsi="Garamond"/>
        </w:rPr>
        <w:t>98</w:t>
      </w:r>
      <w:r w:rsidR="00373C00" w:rsidRPr="00381F61">
        <w:rPr>
          <w:rFonts w:ascii="Garamond" w:hAnsi="Garamond"/>
        </w:rPr>
        <w:t> </w:t>
      </w:r>
      <w:r w:rsidR="003F3C99" w:rsidRPr="00381F61">
        <w:rPr>
          <w:rFonts w:ascii="Garamond" w:hAnsi="Garamond"/>
        </w:rPr>
        <w:t>b</w:t>
      </w:r>
      <w:r w:rsidR="00D84826" w:rsidRPr="00381F61">
        <w:rPr>
          <w:rFonts w:ascii="Garamond" w:hAnsi="Garamond"/>
        </w:rPr>
        <w:t>illio</w:t>
      </w:r>
      <w:r w:rsidR="003F3C99" w:rsidRPr="00381F61">
        <w:rPr>
          <w:rFonts w:ascii="Garamond" w:hAnsi="Garamond"/>
        </w:rPr>
        <w:t xml:space="preserve">n in today’s </w:t>
      </w:r>
      <w:r w:rsidR="00AF2B89" w:rsidRPr="00381F61">
        <w:rPr>
          <w:rFonts w:ascii="Garamond" w:hAnsi="Garamond"/>
        </w:rPr>
        <w:t>terms</w:t>
      </w:r>
      <w:r w:rsidR="003F3C99" w:rsidRPr="00381F61">
        <w:rPr>
          <w:rFonts w:ascii="Garamond" w:hAnsi="Garamond"/>
        </w:rPr>
        <w:t>.  For tomorrow’s governments, that will look like ‘free’ money.  Unless those governments make a conscious decision to reduce the overall tax take by the amount of the drawdowns, the economic underpinnings of the NZSF concept will disappear (higher taxes today for lower taxes tomorrow).</w:t>
      </w:r>
      <w:r w:rsidR="005C50F6" w:rsidRPr="00381F61">
        <w:rPr>
          <w:rFonts w:ascii="Garamond" w:hAnsi="Garamond"/>
        </w:rPr>
        <w:t xml:space="preserve">  Instead,</w:t>
      </w:r>
      <w:r w:rsidRPr="00381F61">
        <w:rPr>
          <w:rFonts w:ascii="Garamond" w:hAnsi="Garamond"/>
        </w:rPr>
        <w:t xml:space="preserve"> total taxes will be higher</w:t>
      </w:r>
      <w:r w:rsidR="005C50F6" w:rsidRPr="00381F61">
        <w:rPr>
          <w:rFonts w:ascii="Garamond" w:hAnsi="Garamond"/>
        </w:rPr>
        <w:t xml:space="preserve"> over the long run</w:t>
      </w:r>
      <w:r w:rsidRPr="00381F61">
        <w:rPr>
          <w:rFonts w:ascii="Garamond" w:hAnsi="Garamond"/>
        </w:rPr>
        <w:t xml:space="preserve"> in the presence of the NZSF.</w:t>
      </w:r>
    </w:p>
    <w:p w14:paraId="55240F57" w14:textId="77777777" w:rsidR="003F3C99" w:rsidRPr="00381F61" w:rsidRDefault="003F3C99" w:rsidP="00E71CEB">
      <w:pPr>
        <w:pStyle w:val="FootnoteText"/>
        <w:jc w:val="both"/>
        <w:rPr>
          <w:rFonts w:ascii="Garamond" w:hAnsi="Garamond"/>
        </w:rPr>
      </w:pPr>
    </w:p>
    <w:p w14:paraId="119AF214" w14:textId="544EB981" w:rsidR="008469AE" w:rsidRPr="00381F61" w:rsidRDefault="008469AE" w:rsidP="00E71CEB">
      <w:pPr>
        <w:pStyle w:val="FootnoteText"/>
        <w:jc w:val="both"/>
        <w:rPr>
          <w:rFonts w:ascii="Garamond" w:hAnsi="Garamond"/>
        </w:rPr>
      </w:pPr>
      <w:r w:rsidRPr="00381F61">
        <w:rPr>
          <w:rFonts w:ascii="Garamond" w:hAnsi="Garamond"/>
        </w:rPr>
        <w:t>There are ot</w:t>
      </w:r>
      <w:r w:rsidR="0045575F" w:rsidRPr="00381F61">
        <w:rPr>
          <w:rFonts w:ascii="Garamond" w:hAnsi="Garamond"/>
        </w:rPr>
        <w:t xml:space="preserve">her </w:t>
      </w:r>
      <w:r w:rsidRPr="00381F61">
        <w:rPr>
          <w:rFonts w:ascii="Garamond" w:hAnsi="Garamond"/>
        </w:rPr>
        <w:t>important, difficulties:</w:t>
      </w:r>
    </w:p>
    <w:p w14:paraId="62095C71" w14:textId="77777777" w:rsidR="0002272F" w:rsidRPr="00381F61" w:rsidRDefault="0002272F" w:rsidP="00E71CEB">
      <w:pPr>
        <w:pStyle w:val="FootnoteText"/>
        <w:jc w:val="both"/>
        <w:rPr>
          <w:rFonts w:ascii="Garamond" w:hAnsi="Garamond"/>
        </w:rPr>
      </w:pPr>
    </w:p>
    <w:p w14:paraId="0CD6D174" w14:textId="7306A8FC" w:rsidR="008469AE" w:rsidRPr="00381F61" w:rsidRDefault="00787708" w:rsidP="00E71CEB">
      <w:pPr>
        <w:pStyle w:val="FootnoteText"/>
        <w:numPr>
          <w:ilvl w:val="0"/>
          <w:numId w:val="26"/>
        </w:numPr>
        <w:jc w:val="both"/>
        <w:rPr>
          <w:rFonts w:ascii="Garamond" w:hAnsi="Garamond"/>
        </w:rPr>
      </w:pPr>
      <w:r w:rsidRPr="00381F61">
        <w:rPr>
          <w:rFonts w:ascii="Garamond" w:hAnsi="Garamond"/>
          <w:b/>
        </w:rPr>
        <w:t xml:space="preserve">Deadweight cost of tax: </w:t>
      </w:r>
      <w:r w:rsidR="008469AE" w:rsidRPr="00381F61">
        <w:rPr>
          <w:rFonts w:ascii="Garamond" w:hAnsi="Garamond"/>
        </w:rPr>
        <w:t>Collecting taxes is not costless to the economy.</w:t>
      </w:r>
      <w:r w:rsidR="00525385" w:rsidRPr="00381F61">
        <w:rPr>
          <w:rFonts w:ascii="Garamond" w:hAnsi="Garamond"/>
        </w:rPr>
        <w:t xml:space="preserve">  Higher taxes (including higher taxes than are currently ‘needed’) impose indirect costs, such as the ‘dead-weight costs’ on the economy.  People change their behaviour as a result of tax changes and that has a direct cost to the economy.</w:t>
      </w:r>
      <w:r w:rsidR="00642154" w:rsidRPr="00381F61">
        <w:rPr>
          <w:rFonts w:ascii="Garamond" w:hAnsi="Garamond"/>
        </w:rPr>
        <w:t xml:space="preserve">  Each extra dollar of tax has a measurable direct and indirect </w:t>
      </w:r>
      <w:r w:rsidR="00EC0114" w:rsidRPr="00381F61">
        <w:rPr>
          <w:rFonts w:ascii="Garamond" w:hAnsi="Garamond"/>
        </w:rPr>
        <w:t xml:space="preserve">cost of </w:t>
      </w:r>
      <w:r w:rsidR="00642154" w:rsidRPr="00381F61">
        <w:rPr>
          <w:rFonts w:ascii="Garamond" w:hAnsi="Garamond"/>
        </w:rPr>
        <w:t>collection</w:t>
      </w:r>
      <w:r w:rsidR="00EC0114" w:rsidRPr="00381F61">
        <w:rPr>
          <w:rFonts w:ascii="Garamond" w:hAnsi="Garamond"/>
        </w:rPr>
        <w:t xml:space="preserve"> to the economy</w:t>
      </w:r>
      <w:r w:rsidR="00EC0114" w:rsidRPr="00381F61">
        <w:rPr>
          <w:rStyle w:val="FootnoteReference"/>
          <w:rFonts w:ascii="Garamond" w:hAnsi="Garamond"/>
        </w:rPr>
        <w:footnoteReference w:id="87"/>
      </w:r>
      <w:r w:rsidR="00642154" w:rsidRPr="00381F61">
        <w:rPr>
          <w:rFonts w:ascii="Garamond" w:hAnsi="Garamond"/>
        </w:rPr>
        <w:t>.</w:t>
      </w:r>
      <w:r w:rsidR="00CF1749" w:rsidRPr="00381F61">
        <w:rPr>
          <w:rFonts w:ascii="Garamond" w:hAnsi="Garamond"/>
        </w:rPr>
        <w:t xml:space="preserve">  Those extra costs </w:t>
      </w:r>
      <w:r w:rsidR="00D84826" w:rsidRPr="00381F61">
        <w:rPr>
          <w:rFonts w:ascii="Garamond" w:hAnsi="Garamond"/>
        </w:rPr>
        <w:t xml:space="preserve">(amortised) </w:t>
      </w:r>
      <w:r w:rsidR="00CF1749" w:rsidRPr="00381F61">
        <w:rPr>
          <w:rFonts w:ascii="Garamond" w:hAnsi="Garamond"/>
        </w:rPr>
        <w:t>should be added to the hurdle rate discussed in (c) above.</w:t>
      </w:r>
    </w:p>
    <w:p w14:paraId="4C093122" w14:textId="77777777" w:rsidR="0002272F" w:rsidRPr="00381F61" w:rsidRDefault="0002272F" w:rsidP="00E71CEB">
      <w:pPr>
        <w:pStyle w:val="FootnoteText"/>
        <w:ind w:left="720"/>
        <w:jc w:val="both"/>
        <w:rPr>
          <w:rFonts w:ascii="Garamond" w:hAnsi="Garamond"/>
        </w:rPr>
      </w:pPr>
    </w:p>
    <w:p w14:paraId="64DB82A8" w14:textId="054D7DEF" w:rsidR="008469AE" w:rsidRPr="00381F61" w:rsidRDefault="00787708" w:rsidP="00E71CEB">
      <w:pPr>
        <w:pStyle w:val="FootnoteText"/>
        <w:numPr>
          <w:ilvl w:val="0"/>
          <w:numId w:val="26"/>
        </w:numPr>
        <w:jc w:val="both"/>
        <w:rPr>
          <w:rFonts w:ascii="Garamond" w:hAnsi="Garamond"/>
        </w:rPr>
      </w:pPr>
      <w:r w:rsidRPr="00381F61">
        <w:rPr>
          <w:rFonts w:ascii="Garamond" w:hAnsi="Garamond"/>
          <w:b/>
        </w:rPr>
        <w:t xml:space="preserve">No domestic investments; no bonds: </w:t>
      </w:r>
      <w:r w:rsidR="008469AE" w:rsidRPr="00381F61">
        <w:rPr>
          <w:rFonts w:ascii="Garamond" w:hAnsi="Garamond"/>
        </w:rPr>
        <w:t>Investing domestically makes no economic sense</w:t>
      </w:r>
      <w:r w:rsidR="005C50F6" w:rsidRPr="00381F61">
        <w:rPr>
          <w:rFonts w:ascii="Garamond" w:hAnsi="Garamond"/>
        </w:rPr>
        <w:t xml:space="preserve"> for the NZSF</w:t>
      </w:r>
      <w:r w:rsidR="00642154" w:rsidRPr="00381F61">
        <w:rPr>
          <w:rFonts w:ascii="Garamond" w:hAnsi="Garamond"/>
        </w:rPr>
        <w:t xml:space="preserve"> and not much investment sense</w:t>
      </w:r>
      <w:r w:rsidR="00DB7564" w:rsidRPr="00381F61">
        <w:rPr>
          <w:rFonts w:ascii="Garamond" w:hAnsi="Garamond"/>
        </w:rPr>
        <w:t xml:space="preserve"> unless it leads to genuine higher economic growth</w:t>
      </w:r>
      <w:r w:rsidR="00642154" w:rsidRPr="00381F61">
        <w:rPr>
          <w:rFonts w:ascii="Garamond" w:hAnsi="Garamond"/>
        </w:rPr>
        <w:t xml:space="preserve">.  If </w:t>
      </w:r>
      <w:r w:rsidR="0045575F" w:rsidRPr="00381F61">
        <w:rPr>
          <w:rFonts w:ascii="Garamond" w:hAnsi="Garamond"/>
        </w:rPr>
        <w:t>the NZSF</w:t>
      </w:r>
      <w:r w:rsidR="00642154" w:rsidRPr="00381F61">
        <w:rPr>
          <w:rFonts w:ascii="Garamond" w:hAnsi="Garamond"/>
        </w:rPr>
        <w:t xml:space="preserve"> were all invested locally, its performance would echo the country’s economic performance.  In an economic downturn, when everyone is tightening their belts, negative performances from the NZSF could put the security of NZS payments at risk</w:t>
      </w:r>
      <w:r w:rsidR="0045575F" w:rsidRPr="00381F61">
        <w:rPr>
          <w:rFonts w:ascii="Garamond" w:hAnsi="Garamond"/>
        </w:rPr>
        <w:t xml:space="preserve"> and magnify the impact of the downturn</w:t>
      </w:r>
      <w:r w:rsidR="00642154" w:rsidRPr="00381F61">
        <w:rPr>
          <w:rFonts w:ascii="Garamond" w:hAnsi="Garamond"/>
        </w:rPr>
        <w:t>.  The NZSF should effectively be an insurance fund that offers some economic protection against New Zealand’s poor performance</w:t>
      </w:r>
      <w:r w:rsidR="0045575F" w:rsidRPr="00381F61">
        <w:rPr>
          <w:rFonts w:ascii="Garamond" w:hAnsi="Garamond"/>
        </w:rPr>
        <w:t>, relative to the rest of the world</w:t>
      </w:r>
      <w:r w:rsidR="00642154" w:rsidRPr="00381F61">
        <w:rPr>
          <w:rFonts w:ascii="Garamond" w:hAnsi="Garamond"/>
        </w:rPr>
        <w:t>.</w:t>
      </w:r>
      <w:r w:rsidR="00BC6FBC" w:rsidRPr="00381F61">
        <w:rPr>
          <w:rFonts w:ascii="Garamond" w:hAnsi="Garamond"/>
        </w:rPr>
        <w:t xml:space="preserve">  This suggests that all investments should be overseas</w:t>
      </w:r>
      <w:r w:rsidR="00B462CE" w:rsidRPr="00381F61">
        <w:rPr>
          <w:rStyle w:val="FootnoteReference"/>
          <w:rFonts w:ascii="Garamond" w:hAnsi="Garamond"/>
        </w:rPr>
        <w:footnoteReference w:id="88"/>
      </w:r>
      <w:r w:rsidR="00BC6FBC" w:rsidRPr="00381F61">
        <w:rPr>
          <w:rFonts w:ascii="Garamond" w:hAnsi="Garamond"/>
        </w:rPr>
        <w:t xml:space="preserve"> and none should be invested in fixed interest securities</w:t>
      </w:r>
      <w:r w:rsidR="00D52FE2" w:rsidRPr="00381F61">
        <w:rPr>
          <w:rFonts w:ascii="Garamond" w:hAnsi="Garamond"/>
        </w:rPr>
        <w:t xml:space="preserve"> (because the money used for that investment is effectively all borrowed</w:t>
      </w:r>
      <w:r w:rsidR="00147811" w:rsidRPr="00381F61">
        <w:rPr>
          <w:rStyle w:val="FootnoteReference"/>
          <w:rFonts w:ascii="Garamond" w:hAnsi="Garamond"/>
        </w:rPr>
        <w:footnoteReference w:id="89"/>
      </w:r>
      <w:r w:rsidR="00D52FE2" w:rsidRPr="00381F61">
        <w:rPr>
          <w:rFonts w:ascii="Garamond" w:hAnsi="Garamond"/>
        </w:rPr>
        <w:t>)</w:t>
      </w:r>
      <w:r w:rsidR="00BC6FBC" w:rsidRPr="00381F61">
        <w:rPr>
          <w:rFonts w:ascii="Garamond" w:hAnsi="Garamond"/>
        </w:rPr>
        <w:t>.</w:t>
      </w:r>
      <w:r w:rsidR="001B578C" w:rsidRPr="00381F61">
        <w:rPr>
          <w:rFonts w:ascii="Garamond" w:hAnsi="Garamond"/>
        </w:rPr>
        <w:t xml:space="preserve">  At </w:t>
      </w:r>
      <w:r w:rsidR="00BA6CE5" w:rsidRPr="00381F61">
        <w:rPr>
          <w:rFonts w:ascii="Garamond" w:hAnsi="Garamond"/>
        </w:rPr>
        <w:t xml:space="preserve">30 </w:t>
      </w:r>
      <w:r w:rsidR="001C2022" w:rsidRPr="00381F61">
        <w:rPr>
          <w:rFonts w:ascii="Garamond" w:hAnsi="Garamond"/>
        </w:rPr>
        <w:t>June 2018</w:t>
      </w:r>
      <w:r w:rsidR="001B578C" w:rsidRPr="00381F61">
        <w:rPr>
          <w:rFonts w:ascii="Garamond" w:hAnsi="Garamond"/>
        </w:rPr>
        <w:t>, 1</w:t>
      </w:r>
      <w:r w:rsidR="001C2022" w:rsidRPr="00381F61">
        <w:rPr>
          <w:rFonts w:ascii="Garamond" w:hAnsi="Garamond"/>
        </w:rPr>
        <w:t>3.9</w:t>
      </w:r>
      <w:r w:rsidR="001B578C" w:rsidRPr="00381F61">
        <w:rPr>
          <w:rFonts w:ascii="Garamond" w:hAnsi="Garamond"/>
        </w:rPr>
        <w:t xml:space="preserve">% of the investments were in New Zealand </w:t>
      </w:r>
      <w:r w:rsidR="001C2022" w:rsidRPr="00381F61">
        <w:rPr>
          <w:rFonts w:ascii="Garamond" w:hAnsi="Garamond"/>
        </w:rPr>
        <w:t xml:space="preserve">(see </w:t>
      </w:r>
      <w:hyperlink r:id="rId39" w:history="1">
        <w:r w:rsidR="001C2022" w:rsidRPr="00381F61">
          <w:rPr>
            <w:rStyle w:val="Hyperlink"/>
            <w:rFonts w:ascii="Garamond" w:hAnsi="Garamond"/>
          </w:rPr>
          <w:t>here</w:t>
        </w:r>
      </w:hyperlink>
      <w:r w:rsidR="001C2022" w:rsidRPr="00381F61">
        <w:rPr>
          <w:rStyle w:val="Hyperlink"/>
          <w:rFonts w:ascii="Garamond" w:hAnsi="Garamond"/>
          <w:color w:val="000000" w:themeColor="text1"/>
          <w:u w:val="none"/>
        </w:rPr>
        <w:t xml:space="preserve"> at page 42</w:t>
      </w:r>
      <w:r w:rsidR="001C2022" w:rsidRPr="00381F61">
        <w:rPr>
          <w:rFonts w:ascii="Garamond" w:hAnsi="Garamond"/>
        </w:rPr>
        <w:t xml:space="preserve">) </w:t>
      </w:r>
      <w:r w:rsidR="001B578C" w:rsidRPr="00381F61">
        <w:rPr>
          <w:rFonts w:ascii="Garamond" w:hAnsi="Garamond"/>
        </w:rPr>
        <w:t xml:space="preserve">and </w:t>
      </w:r>
      <w:r w:rsidR="001C2022" w:rsidRPr="00381F61">
        <w:rPr>
          <w:rFonts w:ascii="Garamond" w:hAnsi="Garamond"/>
        </w:rPr>
        <w:t>20</w:t>
      </w:r>
      <w:r w:rsidR="001B578C" w:rsidRPr="00381F61">
        <w:rPr>
          <w:rFonts w:ascii="Garamond" w:hAnsi="Garamond"/>
        </w:rPr>
        <w:t xml:space="preserve">% in </w:t>
      </w:r>
      <w:r w:rsidR="001C2022" w:rsidRPr="00381F61">
        <w:rPr>
          <w:rFonts w:ascii="Garamond" w:hAnsi="Garamond"/>
        </w:rPr>
        <w:t xml:space="preserve">‘global </w:t>
      </w:r>
      <w:r w:rsidR="001B578C" w:rsidRPr="00381F61">
        <w:rPr>
          <w:rFonts w:ascii="Garamond" w:hAnsi="Garamond"/>
        </w:rPr>
        <w:t>fixed interest</w:t>
      </w:r>
      <w:r w:rsidR="001C2022" w:rsidRPr="00381F61">
        <w:rPr>
          <w:rFonts w:ascii="Garamond" w:hAnsi="Garamond"/>
        </w:rPr>
        <w:t>’ (</w:t>
      </w:r>
      <w:r w:rsidR="001C2022" w:rsidRPr="00381F61">
        <w:rPr>
          <w:rFonts w:ascii="Garamond" w:hAnsi="Garamond"/>
          <w:i/>
        </w:rPr>
        <w:t>ibid</w:t>
      </w:r>
      <w:r w:rsidR="001C2022" w:rsidRPr="00381F61">
        <w:rPr>
          <w:rFonts w:ascii="Garamond" w:hAnsi="Garamond"/>
        </w:rPr>
        <w:t xml:space="preserve"> at page 32)</w:t>
      </w:r>
      <w:r w:rsidR="001B578C" w:rsidRPr="00381F61">
        <w:rPr>
          <w:rFonts w:ascii="Garamond" w:hAnsi="Garamond"/>
        </w:rPr>
        <w:t>.</w:t>
      </w:r>
    </w:p>
    <w:p w14:paraId="61026C30" w14:textId="77777777" w:rsidR="0002272F" w:rsidRPr="00381F61" w:rsidRDefault="0002272F" w:rsidP="009A33FE">
      <w:pPr>
        <w:pStyle w:val="FootnoteText"/>
        <w:ind w:left="709"/>
        <w:jc w:val="both"/>
        <w:rPr>
          <w:rFonts w:ascii="Garamond" w:hAnsi="Garamond"/>
        </w:rPr>
      </w:pPr>
    </w:p>
    <w:p w14:paraId="5B54EFC0" w14:textId="4589BEE0" w:rsidR="008469AE" w:rsidRPr="00381F61" w:rsidRDefault="00787708" w:rsidP="00E71CEB">
      <w:pPr>
        <w:pStyle w:val="FootnoteText"/>
        <w:numPr>
          <w:ilvl w:val="0"/>
          <w:numId w:val="26"/>
        </w:numPr>
        <w:jc w:val="both"/>
        <w:rPr>
          <w:rFonts w:ascii="Garamond" w:hAnsi="Garamond"/>
        </w:rPr>
      </w:pPr>
      <w:r w:rsidRPr="00381F61">
        <w:rPr>
          <w:rFonts w:ascii="Garamond" w:hAnsi="Garamond"/>
          <w:b/>
        </w:rPr>
        <w:t xml:space="preserve">No useful economic impact: </w:t>
      </w:r>
      <w:r w:rsidR="00642154" w:rsidRPr="00381F61">
        <w:rPr>
          <w:rFonts w:ascii="Garamond" w:hAnsi="Garamond"/>
        </w:rPr>
        <w:t>T</w:t>
      </w:r>
      <w:r w:rsidR="004D61BC" w:rsidRPr="00381F61">
        <w:rPr>
          <w:rFonts w:ascii="Garamond" w:hAnsi="Garamond"/>
        </w:rPr>
        <w:t>he presence of the NZSF</w:t>
      </w:r>
      <w:r w:rsidR="00642154" w:rsidRPr="00381F61">
        <w:rPr>
          <w:rFonts w:ascii="Garamond" w:hAnsi="Garamond"/>
        </w:rPr>
        <w:t xml:space="preserve"> does not</w:t>
      </w:r>
      <w:r w:rsidR="004D61BC" w:rsidRPr="00381F61">
        <w:rPr>
          <w:rFonts w:ascii="Garamond" w:hAnsi="Garamond"/>
        </w:rPr>
        <w:t xml:space="preserve"> incre</w:t>
      </w:r>
      <w:r w:rsidR="00D46932" w:rsidRPr="00381F61">
        <w:rPr>
          <w:rFonts w:ascii="Garamond" w:hAnsi="Garamond"/>
        </w:rPr>
        <w:t>ase the capacity of the New Zeal</w:t>
      </w:r>
      <w:r w:rsidR="004D61BC" w:rsidRPr="00381F61">
        <w:rPr>
          <w:rFonts w:ascii="Garamond" w:hAnsi="Garamond"/>
        </w:rPr>
        <w:t>and economy to cope with larger numbers of ‘non-producers’</w:t>
      </w:r>
      <w:r w:rsidR="00D46932" w:rsidRPr="00381F61">
        <w:rPr>
          <w:rFonts w:ascii="Garamond" w:hAnsi="Garamond"/>
        </w:rPr>
        <w:t xml:space="preserve"> or to improve the affordability of tomorrow’s NZS</w:t>
      </w:r>
      <w:r w:rsidR="00642154" w:rsidRPr="00381F61">
        <w:rPr>
          <w:rFonts w:ascii="Garamond" w:hAnsi="Garamond"/>
        </w:rPr>
        <w:t>.</w:t>
      </w:r>
      <w:r w:rsidR="00D46932" w:rsidRPr="00381F61">
        <w:rPr>
          <w:rFonts w:ascii="Garamond" w:hAnsi="Garamond"/>
        </w:rPr>
        <w:t xml:space="preserve">  The presence of the NZSF can only be justified in this wider context (improving the sustainability of NZS) by increasing output, raising productivity or constraining the output of future workers (to make more consumption available to retirees and other non-workers</w:t>
      </w:r>
      <w:r w:rsidR="0034087E" w:rsidRPr="00381F61">
        <w:rPr>
          <w:rFonts w:ascii="Garamond" w:hAnsi="Garamond"/>
        </w:rPr>
        <w:t>)</w:t>
      </w:r>
      <w:r w:rsidR="00D46932" w:rsidRPr="00381F61">
        <w:rPr>
          <w:rFonts w:ascii="Garamond" w:hAnsi="Garamond"/>
        </w:rPr>
        <w:t>.</w:t>
      </w:r>
      <w:r w:rsidR="0034087E" w:rsidRPr="00381F61">
        <w:rPr>
          <w:rFonts w:ascii="Garamond" w:hAnsi="Garamond"/>
        </w:rPr>
        <w:t xml:space="preserve">  If it were entirely invested overseas</w:t>
      </w:r>
      <w:r w:rsidR="00B462CE" w:rsidRPr="00381F61">
        <w:rPr>
          <w:rFonts w:ascii="Garamond" w:hAnsi="Garamond"/>
        </w:rPr>
        <w:t>,</w:t>
      </w:r>
      <w:r w:rsidR="0034087E" w:rsidRPr="00381F61">
        <w:rPr>
          <w:rFonts w:ascii="Garamond" w:hAnsi="Garamond"/>
        </w:rPr>
        <w:t xml:space="preserve"> the NZSF cannot achieve any of those objectives.</w:t>
      </w:r>
    </w:p>
    <w:p w14:paraId="78E2A411" w14:textId="77777777" w:rsidR="0002272F" w:rsidRPr="00381F61" w:rsidRDefault="0002272F" w:rsidP="009A33FE">
      <w:pPr>
        <w:pStyle w:val="FootnoteText"/>
        <w:ind w:left="709"/>
        <w:jc w:val="both"/>
        <w:rPr>
          <w:rFonts w:ascii="Garamond" w:hAnsi="Garamond"/>
        </w:rPr>
      </w:pPr>
    </w:p>
    <w:p w14:paraId="73ADD014" w14:textId="5D502707" w:rsidR="00867896" w:rsidRPr="00381F61" w:rsidRDefault="00787708" w:rsidP="00E71CEB">
      <w:pPr>
        <w:pStyle w:val="FootnoteText"/>
        <w:numPr>
          <w:ilvl w:val="0"/>
          <w:numId w:val="26"/>
        </w:numPr>
        <w:jc w:val="both"/>
        <w:rPr>
          <w:rFonts w:ascii="Garamond" w:hAnsi="Garamond"/>
        </w:rPr>
      </w:pPr>
      <w:r w:rsidRPr="00381F61">
        <w:rPr>
          <w:rFonts w:ascii="Garamond" w:hAnsi="Garamond"/>
          <w:b/>
        </w:rPr>
        <w:t xml:space="preserve">Why pre-fund just pensions? </w:t>
      </w:r>
      <w:r w:rsidR="00867896" w:rsidRPr="00381F61">
        <w:rPr>
          <w:rFonts w:ascii="Garamond" w:hAnsi="Garamond"/>
        </w:rPr>
        <w:t xml:space="preserve">There are no particular grounds for pre-funding NZS as opposed to pre-funding other government programmes like health, infrastructure, policing </w:t>
      </w:r>
      <w:r w:rsidR="00867896" w:rsidRPr="00381F61">
        <w:rPr>
          <w:rFonts w:ascii="Garamond" w:hAnsi="Garamond"/>
        </w:rPr>
        <w:lastRenderedPageBreak/>
        <w:t>or the armed forces</w:t>
      </w:r>
      <w:r w:rsidR="00EF3C59" w:rsidRPr="00381F61">
        <w:rPr>
          <w:rStyle w:val="FootnoteReference"/>
          <w:rFonts w:ascii="Garamond" w:hAnsi="Garamond"/>
        </w:rPr>
        <w:footnoteReference w:id="90"/>
      </w:r>
      <w:r w:rsidR="00867896" w:rsidRPr="00381F61">
        <w:rPr>
          <w:rFonts w:ascii="Garamond" w:hAnsi="Garamond"/>
        </w:rPr>
        <w:t>.</w:t>
      </w:r>
      <w:r w:rsidR="00CF1749" w:rsidRPr="00381F61">
        <w:rPr>
          <w:rFonts w:ascii="Garamond" w:hAnsi="Garamond"/>
        </w:rPr>
        <w:t xml:space="preserve">  What particularly is it about the age pension</w:t>
      </w:r>
      <w:r w:rsidR="00562351" w:rsidRPr="00381F61">
        <w:rPr>
          <w:rFonts w:ascii="Garamond" w:hAnsi="Garamond"/>
        </w:rPr>
        <w:t xml:space="preserve"> </w:t>
      </w:r>
      <w:r w:rsidR="00CF1749" w:rsidRPr="00381F61">
        <w:rPr>
          <w:rFonts w:ascii="Garamond" w:hAnsi="Garamond"/>
        </w:rPr>
        <w:t>that deserves this special treatment?</w:t>
      </w:r>
    </w:p>
    <w:p w14:paraId="568A66AD" w14:textId="77777777" w:rsidR="0002272F" w:rsidRPr="00381F61" w:rsidRDefault="0002272F" w:rsidP="009A33FE">
      <w:pPr>
        <w:pStyle w:val="FootnoteText"/>
        <w:ind w:left="709"/>
        <w:jc w:val="both"/>
        <w:rPr>
          <w:rFonts w:ascii="Garamond" w:hAnsi="Garamond"/>
        </w:rPr>
      </w:pPr>
    </w:p>
    <w:p w14:paraId="5C03ECA0" w14:textId="506C70C4" w:rsidR="00525385" w:rsidRPr="00381F61" w:rsidRDefault="00787708" w:rsidP="00E71CEB">
      <w:pPr>
        <w:pStyle w:val="FootnoteText"/>
        <w:numPr>
          <w:ilvl w:val="0"/>
          <w:numId w:val="26"/>
        </w:numPr>
        <w:jc w:val="both"/>
        <w:rPr>
          <w:rFonts w:ascii="Garamond" w:hAnsi="Garamond"/>
        </w:rPr>
      </w:pPr>
      <w:r w:rsidRPr="00381F61">
        <w:rPr>
          <w:rFonts w:ascii="Garamond" w:hAnsi="Garamond"/>
          <w:b/>
        </w:rPr>
        <w:t xml:space="preserve">Behavioural impact: </w:t>
      </w:r>
      <w:r w:rsidR="00BC6FBC" w:rsidRPr="00381F61">
        <w:rPr>
          <w:rFonts w:ascii="Garamond" w:hAnsi="Garamond"/>
        </w:rPr>
        <w:t>New Zealanders may be negatively influenced in their own saving decisions by the presence of the NZSF.  Its presence might suggest that New Zealanders do not have to save for retirement for themselves</w:t>
      </w:r>
      <w:r w:rsidR="00782B44" w:rsidRPr="00381F61">
        <w:rPr>
          <w:rFonts w:ascii="Garamond" w:hAnsi="Garamond"/>
        </w:rPr>
        <w:t xml:space="preserve"> – the government is doing that for us all</w:t>
      </w:r>
    </w:p>
    <w:p w14:paraId="77FD230A" w14:textId="77777777" w:rsidR="0002272F" w:rsidRPr="00381F61" w:rsidRDefault="0002272F" w:rsidP="009A33FE">
      <w:pPr>
        <w:pStyle w:val="FootnoteText"/>
        <w:ind w:left="709"/>
        <w:jc w:val="both"/>
        <w:rPr>
          <w:rFonts w:ascii="Garamond" w:hAnsi="Garamond"/>
        </w:rPr>
      </w:pPr>
    </w:p>
    <w:p w14:paraId="5A4B4A79" w14:textId="1F8F485A" w:rsidR="00BC6FBC" w:rsidRPr="00381F61" w:rsidRDefault="00787708" w:rsidP="00E71CEB">
      <w:pPr>
        <w:pStyle w:val="FootnoteText"/>
        <w:numPr>
          <w:ilvl w:val="0"/>
          <w:numId w:val="26"/>
        </w:numPr>
        <w:jc w:val="both"/>
        <w:rPr>
          <w:rFonts w:ascii="Garamond" w:hAnsi="Garamond"/>
        </w:rPr>
      </w:pPr>
      <w:r w:rsidRPr="00381F61">
        <w:rPr>
          <w:rFonts w:ascii="Garamond" w:hAnsi="Garamond"/>
          <w:b/>
        </w:rPr>
        <w:t xml:space="preserve">Politicises sustainability: </w:t>
      </w:r>
      <w:r w:rsidR="00BC6FBC" w:rsidRPr="00381F61">
        <w:rPr>
          <w:rFonts w:ascii="Garamond" w:hAnsi="Garamond"/>
        </w:rPr>
        <w:t>The presence of the NZSF politicises the issue of the sustainability of NZS.</w:t>
      </w:r>
      <w:r w:rsidR="00246946" w:rsidRPr="00381F61">
        <w:rPr>
          <w:rFonts w:ascii="Garamond" w:hAnsi="Garamond"/>
        </w:rPr>
        <w:t xml:space="preserve">  Everyone thinks they have an investment answer to the future affordability of NZS</w:t>
      </w:r>
      <w:r w:rsidR="002B562A" w:rsidRPr="00381F61">
        <w:rPr>
          <w:rStyle w:val="FootnoteReference"/>
          <w:rFonts w:ascii="Garamond" w:hAnsi="Garamond"/>
        </w:rPr>
        <w:footnoteReference w:id="91"/>
      </w:r>
      <w:r w:rsidR="00246946" w:rsidRPr="00381F61">
        <w:rPr>
          <w:rFonts w:ascii="Garamond" w:hAnsi="Garamond"/>
        </w:rPr>
        <w:t>.</w:t>
      </w:r>
    </w:p>
    <w:p w14:paraId="282E0491" w14:textId="77777777" w:rsidR="008469AE" w:rsidRPr="00381F61" w:rsidRDefault="008469AE" w:rsidP="00E71CEB">
      <w:pPr>
        <w:pStyle w:val="FootnoteText"/>
        <w:jc w:val="both"/>
        <w:rPr>
          <w:rFonts w:ascii="Garamond" w:hAnsi="Garamond"/>
        </w:rPr>
      </w:pPr>
    </w:p>
    <w:p w14:paraId="6645560C" w14:textId="1B8E969E" w:rsidR="00E556D9" w:rsidRPr="00381F61" w:rsidRDefault="00E556D9" w:rsidP="00E71CEB">
      <w:pPr>
        <w:jc w:val="both"/>
        <w:rPr>
          <w:rFonts w:ascii="Garamond" w:hAnsi="Garamond"/>
          <w:color w:val="000000"/>
        </w:rPr>
      </w:pPr>
      <w:r w:rsidRPr="00381F61">
        <w:rPr>
          <w:rFonts w:ascii="Garamond" w:hAnsi="Garamond"/>
          <w:color w:val="000000"/>
        </w:rPr>
        <w:t>Tomorrow’s taxpayers will (and should) decide on the</w:t>
      </w:r>
      <w:r w:rsidR="00F24406" w:rsidRPr="00381F61">
        <w:rPr>
          <w:rFonts w:ascii="Garamond" w:hAnsi="Garamond"/>
          <w:color w:val="000000"/>
        </w:rPr>
        <w:t>ir</w:t>
      </w:r>
      <w:r w:rsidRPr="00381F61">
        <w:rPr>
          <w:rFonts w:ascii="Garamond" w:hAnsi="Garamond"/>
          <w:color w:val="000000"/>
        </w:rPr>
        <w:t xml:space="preserve"> government’s spending priorities </w:t>
      </w:r>
      <w:r w:rsidR="00F24406" w:rsidRPr="00381F61">
        <w:rPr>
          <w:rFonts w:ascii="Garamond" w:hAnsi="Garamond"/>
          <w:color w:val="000000"/>
        </w:rPr>
        <w:t>that</w:t>
      </w:r>
      <w:r w:rsidRPr="00381F61">
        <w:rPr>
          <w:rFonts w:ascii="Garamond" w:hAnsi="Garamond"/>
          <w:color w:val="000000"/>
        </w:rPr>
        <w:t xml:space="preserve"> will, as now, balance all the different claims against revenues, electoral appeal etc.  That will be the case for health, defence, policing, prisons, education and all of the government</w:t>
      </w:r>
      <w:r w:rsidR="00A91022" w:rsidRPr="00381F61">
        <w:rPr>
          <w:rFonts w:ascii="Garamond" w:hAnsi="Garamond"/>
          <w:color w:val="000000"/>
        </w:rPr>
        <w:t>’s</w:t>
      </w:r>
      <w:r w:rsidRPr="00381F61">
        <w:rPr>
          <w:rFonts w:ascii="Garamond" w:hAnsi="Garamond"/>
          <w:color w:val="000000"/>
        </w:rPr>
        <w:t xml:space="preserve"> ‘other’ activities.</w:t>
      </w:r>
    </w:p>
    <w:p w14:paraId="0D02F609" w14:textId="09827A85" w:rsidR="00E556D9" w:rsidRPr="00381F61" w:rsidRDefault="00E556D9" w:rsidP="00E71CEB">
      <w:pPr>
        <w:jc w:val="both"/>
        <w:rPr>
          <w:rFonts w:ascii="Garamond" w:hAnsi="Garamond"/>
          <w:color w:val="000000"/>
        </w:rPr>
      </w:pPr>
    </w:p>
    <w:p w14:paraId="45A56B6B" w14:textId="6DA30074" w:rsidR="00E556D9" w:rsidRPr="00381F61" w:rsidRDefault="00E556D9" w:rsidP="00E71CEB">
      <w:pPr>
        <w:jc w:val="both"/>
        <w:rPr>
          <w:rFonts w:ascii="Garamond" w:hAnsi="Garamond"/>
          <w:color w:val="000000"/>
        </w:rPr>
      </w:pPr>
      <w:r w:rsidRPr="00381F61">
        <w:rPr>
          <w:rFonts w:ascii="Garamond" w:hAnsi="Garamond"/>
          <w:color w:val="000000"/>
        </w:rPr>
        <w:t>And that should also be the case for pensions, both to the old and to the dependent young.</w:t>
      </w:r>
    </w:p>
    <w:p w14:paraId="6A8768B3" w14:textId="77777777" w:rsidR="00E556D9" w:rsidRPr="00381F61" w:rsidRDefault="00E556D9" w:rsidP="00E71CEB">
      <w:pPr>
        <w:jc w:val="both"/>
        <w:rPr>
          <w:rFonts w:ascii="Garamond" w:hAnsi="Garamond"/>
          <w:color w:val="000000"/>
        </w:rPr>
      </w:pPr>
    </w:p>
    <w:p w14:paraId="647F18DA" w14:textId="08E4E9C8" w:rsidR="00E556D9" w:rsidRPr="00381F61" w:rsidRDefault="00E556D9" w:rsidP="00E71CEB">
      <w:pPr>
        <w:jc w:val="both"/>
        <w:rPr>
          <w:rFonts w:ascii="Garamond" w:hAnsi="Garamond"/>
          <w:color w:val="000000"/>
        </w:rPr>
      </w:pPr>
      <w:r w:rsidRPr="00381F61">
        <w:rPr>
          <w:rFonts w:ascii="Garamond" w:hAnsi="Garamond"/>
          <w:color w:val="000000"/>
        </w:rPr>
        <w:t>Nothing that today’s taxpayers decide should interfere with that process in 2060 – and it wil</w:t>
      </w:r>
      <w:r w:rsidR="009A33FE" w:rsidRPr="00381F61">
        <w:rPr>
          <w:rFonts w:ascii="Garamond" w:hAnsi="Garamond"/>
          <w:color w:val="000000"/>
        </w:rPr>
        <w:t>l not</w:t>
      </w:r>
      <w:r w:rsidR="00787708" w:rsidRPr="00381F61">
        <w:rPr>
          <w:rFonts w:ascii="Garamond" w:hAnsi="Garamond"/>
          <w:color w:val="000000"/>
        </w:rPr>
        <w:t>, even in the presence of the NZSF</w:t>
      </w:r>
      <w:r w:rsidR="009A33FE" w:rsidRPr="00381F61">
        <w:rPr>
          <w:rFonts w:ascii="Garamond" w:hAnsi="Garamond"/>
          <w:color w:val="000000"/>
        </w:rPr>
        <w:t xml:space="preserve">. </w:t>
      </w:r>
      <w:r w:rsidRPr="00381F61">
        <w:rPr>
          <w:rFonts w:ascii="Garamond" w:hAnsi="Garamond"/>
          <w:color w:val="000000"/>
        </w:rPr>
        <w:t xml:space="preserve"> That is the essential pointlessness of the NZSF which, if it achieves anything at all, will only get in the way</w:t>
      </w:r>
      <w:r w:rsidR="00E1754F" w:rsidRPr="00381F61">
        <w:rPr>
          <w:rFonts w:ascii="Garamond" w:hAnsi="Garamond"/>
          <w:color w:val="000000"/>
        </w:rPr>
        <w:t xml:space="preserve"> of ‘sensible’, contemporary decisions</w:t>
      </w:r>
      <w:r w:rsidRPr="00381F61">
        <w:rPr>
          <w:rFonts w:ascii="Garamond" w:hAnsi="Garamond"/>
          <w:color w:val="000000"/>
        </w:rPr>
        <w:t>.</w:t>
      </w:r>
    </w:p>
    <w:p w14:paraId="1F69A2BD" w14:textId="77777777" w:rsidR="00C14320" w:rsidRPr="00381F61" w:rsidRDefault="00C14320" w:rsidP="00E71CEB">
      <w:pPr>
        <w:pStyle w:val="FootnoteText"/>
        <w:jc w:val="both"/>
        <w:rPr>
          <w:rFonts w:ascii="Garamond" w:hAnsi="Garamond"/>
        </w:rPr>
      </w:pPr>
    </w:p>
    <w:p w14:paraId="190149D4" w14:textId="77777777" w:rsidR="00CD479E" w:rsidRPr="00381F61" w:rsidRDefault="003F3C99" w:rsidP="00E71CEB">
      <w:pPr>
        <w:pStyle w:val="FootnoteText"/>
        <w:jc w:val="both"/>
        <w:rPr>
          <w:rFonts w:ascii="Garamond" w:hAnsi="Garamond"/>
        </w:rPr>
      </w:pPr>
      <w:r w:rsidRPr="00381F61">
        <w:rPr>
          <w:rFonts w:ascii="Garamond" w:hAnsi="Garamond"/>
        </w:rPr>
        <w:t>Some might ask ‘what about intergenerational equity?’  The baby boomers have benefited from all kinds of things (education, jobs, housing, growth etc.) why shouldn’t they help pay for their own state pension thr</w:t>
      </w:r>
      <w:r w:rsidR="00CD479E" w:rsidRPr="00381F61">
        <w:rPr>
          <w:rFonts w:ascii="Garamond" w:hAnsi="Garamond"/>
        </w:rPr>
        <w:t>ough the build-up of the NZSF?</w:t>
      </w:r>
    </w:p>
    <w:p w14:paraId="22490211" w14:textId="77777777" w:rsidR="00CD479E" w:rsidRPr="00381F61" w:rsidRDefault="00CD479E" w:rsidP="00E71CEB">
      <w:pPr>
        <w:pStyle w:val="FootnoteText"/>
        <w:jc w:val="both"/>
        <w:rPr>
          <w:rFonts w:ascii="Garamond" w:hAnsi="Garamond"/>
        </w:rPr>
      </w:pPr>
    </w:p>
    <w:p w14:paraId="636D5565" w14:textId="50E95AB9" w:rsidR="003F3C99" w:rsidRPr="00381F61" w:rsidRDefault="003F3C99" w:rsidP="00E71CEB">
      <w:pPr>
        <w:pStyle w:val="FootnoteText"/>
        <w:jc w:val="both"/>
        <w:rPr>
          <w:rFonts w:ascii="Garamond" w:hAnsi="Garamond"/>
        </w:rPr>
      </w:pPr>
      <w:r w:rsidRPr="00381F61">
        <w:rPr>
          <w:rFonts w:ascii="Garamond" w:hAnsi="Garamond"/>
        </w:rPr>
        <w:t>If there is anything in the</w:t>
      </w:r>
      <w:r w:rsidR="00F24406" w:rsidRPr="00381F61">
        <w:rPr>
          <w:rFonts w:ascii="Garamond" w:hAnsi="Garamond"/>
        </w:rPr>
        <w:t xml:space="preserve"> partial pre-funding</w:t>
      </w:r>
      <w:r w:rsidRPr="00381F61">
        <w:rPr>
          <w:rFonts w:ascii="Garamond" w:hAnsi="Garamond"/>
        </w:rPr>
        <w:t xml:space="preserve"> argument about intergenerational</w:t>
      </w:r>
      <w:r w:rsidR="00EA0DD8" w:rsidRPr="00381F61">
        <w:rPr>
          <w:rFonts w:ascii="Garamond" w:hAnsi="Garamond"/>
        </w:rPr>
        <w:t xml:space="preserve"> equity</w:t>
      </w:r>
      <w:r w:rsidRPr="00381F61">
        <w:rPr>
          <w:rFonts w:ascii="Garamond" w:hAnsi="Garamond"/>
        </w:rPr>
        <w:t>, that doesn’t apply to the NZSF.  It is an ‘in-perpetuity’ fund so the higher taxes paid by baby boomers in the years to 203</w:t>
      </w:r>
      <w:r w:rsidR="001C2022" w:rsidRPr="00381F61">
        <w:rPr>
          <w:rFonts w:ascii="Garamond" w:hAnsi="Garamond"/>
        </w:rPr>
        <w:t>4</w:t>
      </w:r>
      <w:r w:rsidRPr="00381F61">
        <w:rPr>
          <w:rFonts w:ascii="Garamond" w:hAnsi="Garamond"/>
        </w:rPr>
        <w:t xml:space="preserve"> will be still there for the grandchildren of the baby boomers.  </w:t>
      </w:r>
      <w:r w:rsidR="0034087E" w:rsidRPr="00381F61">
        <w:rPr>
          <w:rFonts w:ascii="Garamond" w:hAnsi="Garamond"/>
        </w:rPr>
        <w:t xml:space="preserve">As already mentioned, there will be more money in the NZSF, in real terms, </w:t>
      </w:r>
      <w:r w:rsidR="00F24406" w:rsidRPr="00381F61">
        <w:rPr>
          <w:rFonts w:ascii="Garamond" w:hAnsi="Garamond"/>
        </w:rPr>
        <w:t xml:space="preserve">in 100 years </w:t>
      </w:r>
      <w:r w:rsidR="0034087E" w:rsidRPr="00381F61">
        <w:rPr>
          <w:rFonts w:ascii="Garamond" w:hAnsi="Garamond"/>
        </w:rPr>
        <w:t xml:space="preserve">than there is today.  </w:t>
      </w:r>
      <w:r w:rsidRPr="00381F61">
        <w:rPr>
          <w:rFonts w:ascii="Garamond" w:hAnsi="Garamond"/>
        </w:rPr>
        <w:t>The NZSF has nothing to do with intergenerational equity.</w:t>
      </w:r>
    </w:p>
    <w:p w14:paraId="7471E6E5" w14:textId="77777777" w:rsidR="003F3C99" w:rsidRPr="00381F61" w:rsidRDefault="003F3C99" w:rsidP="00E71CEB">
      <w:pPr>
        <w:pStyle w:val="FootnoteText"/>
        <w:jc w:val="both"/>
        <w:rPr>
          <w:rFonts w:ascii="Garamond" w:hAnsi="Garamond"/>
        </w:rPr>
      </w:pPr>
    </w:p>
    <w:p w14:paraId="50B3CBE9" w14:textId="61159BC2" w:rsidR="003F3C99" w:rsidRPr="00381F61" w:rsidRDefault="00B87F36" w:rsidP="00E71CEB">
      <w:pPr>
        <w:pStyle w:val="FootnoteText"/>
        <w:jc w:val="both"/>
        <w:rPr>
          <w:rFonts w:ascii="Garamond" w:hAnsi="Garamond"/>
        </w:rPr>
      </w:pPr>
      <w:r w:rsidRPr="00381F61">
        <w:rPr>
          <w:rFonts w:ascii="Garamond" w:hAnsi="Garamond"/>
        </w:rPr>
        <w:t xml:space="preserve">If </w:t>
      </w:r>
      <w:r w:rsidR="00373C00" w:rsidRPr="00381F61">
        <w:rPr>
          <w:rFonts w:ascii="Garamond" w:hAnsi="Garamond"/>
        </w:rPr>
        <w:t>effectively borrowing $</w:t>
      </w:r>
      <w:r w:rsidR="000704EF" w:rsidRPr="00381F61">
        <w:rPr>
          <w:rFonts w:ascii="Garamond" w:hAnsi="Garamond"/>
        </w:rPr>
        <w:t>42.9</w:t>
      </w:r>
      <w:r w:rsidR="003F3C99" w:rsidRPr="00381F61">
        <w:rPr>
          <w:rFonts w:ascii="Garamond" w:hAnsi="Garamond"/>
        </w:rPr>
        <w:t xml:space="preserve"> b</w:t>
      </w:r>
      <w:r w:rsidR="00F24406" w:rsidRPr="00381F61">
        <w:rPr>
          <w:rFonts w:ascii="Garamond" w:hAnsi="Garamond"/>
        </w:rPr>
        <w:t>illio</w:t>
      </w:r>
      <w:r w:rsidR="003F3C99" w:rsidRPr="00381F61">
        <w:rPr>
          <w:rFonts w:ascii="Garamond" w:hAnsi="Garamond"/>
        </w:rPr>
        <w:t>n</w:t>
      </w:r>
      <w:r w:rsidR="00373C00" w:rsidRPr="00381F61">
        <w:rPr>
          <w:rFonts w:ascii="Garamond" w:hAnsi="Garamond"/>
        </w:rPr>
        <w:t xml:space="preserve"> (as of </w:t>
      </w:r>
      <w:r w:rsidR="000704EF" w:rsidRPr="00381F61">
        <w:rPr>
          <w:rFonts w:ascii="Garamond" w:hAnsi="Garamond"/>
        </w:rPr>
        <w:t>30 April</w:t>
      </w:r>
      <w:r w:rsidR="000A097C" w:rsidRPr="00381F61">
        <w:rPr>
          <w:rFonts w:ascii="Garamond" w:hAnsi="Garamond"/>
        </w:rPr>
        <w:t xml:space="preserve"> 2019</w:t>
      </w:r>
      <w:r w:rsidR="00373C00" w:rsidRPr="00381F61">
        <w:rPr>
          <w:rFonts w:ascii="Garamond" w:hAnsi="Garamond"/>
        </w:rPr>
        <w:t>)</w:t>
      </w:r>
      <w:r w:rsidRPr="00381F61">
        <w:rPr>
          <w:rFonts w:ascii="Garamond" w:hAnsi="Garamond"/>
        </w:rPr>
        <w:t xml:space="preserve"> to invest in financial markets</w:t>
      </w:r>
      <w:r w:rsidR="006E40B9" w:rsidRPr="00381F61">
        <w:rPr>
          <w:rFonts w:ascii="Garamond" w:hAnsi="Garamond"/>
        </w:rPr>
        <w:t xml:space="preserve"> makes any economic sense</w:t>
      </w:r>
      <w:r w:rsidRPr="00381F61">
        <w:rPr>
          <w:rFonts w:ascii="Garamond" w:hAnsi="Garamond"/>
        </w:rPr>
        <w:t xml:space="preserve"> then</w:t>
      </w:r>
      <w:r w:rsidR="003F3C99" w:rsidRPr="00381F61">
        <w:rPr>
          <w:rFonts w:ascii="Garamond" w:hAnsi="Garamond"/>
        </w:rPr>
        <w:t xml:space="preserve">, </w:t>
      </w:r>
      <w:r w:rsidR="006F7D96" w:rsidRPr="00381F61">
        <w:rPr>
          <w:rFonts w:ascii="Garamond" w:hAnsi="Garamond"/>
        </w:rPr>
        <w:t>rather than</w:t>
      </w:r>
      <w:r w:rsidR="003F3C99" w:rsidRPr="00381F61">
        <w:rPr>
          <w:rFonts w:ascii="Garamond" w:hAnsi="Garamond"/>
        </w:rPr>
        <w:t xml:space="preserve"> </w:t>
      </w:r>
      <w:r w:rsidR="000A097C" w:rsidRPr="00381F61">
        <w:rPr>
          <w:rFonts w:ascii="Garamond" w:hAnsi="Garamond"/>
        </w:rPr>
        <w:t xml:space="preserve">making </w:t>
      </w:r>
      <w:r w:rsidR="003F3C99" w:rsidRPr="00381F61">
        <w:rPr>
          <w:rFonts w:ascii="Garamond" w:hAnsi="Garamond"/>
        </w:rPr>
        <w:t>contributions, why doesn’t t</w:t>
      </w:r>
      <w:r w:rsidR="00373C00" w:rsidRPr="00381F61">
        <w:rPr>
          <w:rFonts w:ascii="Garamond" w:hAnsi="Garamond"/>
        </w:rPr>
        <w:t>he government borrow another $</w:t>
      </w:r>
      <w:r w:rsidR="000704EF" w:rsidRPr="00381F61">
        <w:rPr>
          <w:rFonts w:ascii="Garamond" w:hAnsi="Garamond"/>
        </w:rPr>
        <w:t>42.9</w:t>
      </w:r>
      <w:r w:rsidR="003F3C99" w:rsidRPr="00381F61">
        <w:rPr>
          <w:rFonts w:ascii="Garamond" w:hAnsi="Garamond"/>
        </w:rPr>
        <w:t xml:space="preserve"> b</w:t>
      </w:r>
      <w:r w:rsidR="00F24406" w:rsidRPr="00381F61">
        <w:rPr>
          <w:rFonts w:ascii="Garamond" w:hAnsi="Garamond"/>
        </w:rPr>
        <w:t>illio</w:t>
      </w:r>
      <w:r w:rsidR="003F3C99" w:rsidRPr="00381F61">
        <w:rPr>
          <w:rFonts w:ascii="Garamond" w:hAnsi="Garamond"/>
        </w:rPr>
        <w:t>n today?</w:t>
      </w:r>
      <w:r w:rsidR="0034087E" w:rsidRPr="00381F61">
        <w:rPr>
          <w:rFonts w:ascii="Garamond" w:hAnsi="Garamond"/>
        </w:rPr>
        <w:t xml:space="preserve">  We hope that’s a rhetorical question.</w:t>
      </w:r>
    </w:p>
    <w:p w14:paraId="1CA29911" w14:textId="77777777" w:rsidR="003F3C99" w:rsidRPr="00381F61" w:rsidRDefault="003F3C99" w:rsidP="00E71CEB">
      <w:pPr>
        <w:pStyle w:val="FootnoteText"/>
        <w:jc w:val="both"/>
        <w:rPr>
          <w:rFonts w:ascii="Garamond" w:hAnsi="Garamond"/>
        </w:rPr>
      </w:pPr>
    </w:p>
    <w:p w14:paraId="24D6D87A" w14:textId="15054EE0" w:rsidR="003F3C99" w:rsidRPr="00381F61" w:rsidRDefault="000A097C" w:rsidP="00E71CEB">
      <w:pPr>
        <w:pStyle w:val="FootnoteText"/>
        <w:jc w:val="both"/>
        <w:rPr>
          <w:rFonts w:ascii="Garamond" w:hAnsi="Garamond"/>
        </w:rPr>
      </w:pPr>
      <w:r w:rsidRPr="00381F61">
        <w:rPr>
          <w:rFonts w:ascii="Garamond" w:hAnsi="Garamond"/>
        </w:rPr>
        <w:t>W</w:t>
      </w:r>
      <w:r w:rsidR="00F24406" w:rsidRPr="00381F61">
        <w:rPr>
          <w:rFonts w:ascii="Garamond" w:hAnsi="Garamond"/>
        </w:rPr>
        <w:t xml:space="preserve">e think </w:t>
      </w:r>
      <w:r w:rsidR="003F3C99" w:rsidRPr="00381F61">
        <w:rPr>
          <w:rFonts w:ascii="Garamond" w:hAnsi="Garamond"/>
        </w:rPr>
        <w:t xml:space="preserve">the government should wind </w:t>
      </w:r>
      <w:r w:rsidRPr="00381F61">
        <w:rPr>
          <w:rFonts w:ascii="Garamond" w:hAnsi="Garamond"/>
        </w:rPr>
        <w:t xml:space="preserve">the NZSF </w:t>
      </w:r>
      <w:r w:rsidR="003F3C99" w:rsidRPr="00381F61">
        <w:rPr>
          <w:rFonts w:ascii="Garamond" w:hAnsi="Garamond"/>
        </w:rPr>
        <w:t>u</w:t>
      </w:r>
      <w:r w:rsidR="00373C00" w:rsidRPr="00381F61">
        <w:rPr>
          <w:rFonts w:ascii="Garamond" w:hAnsi="Garamond"/>
        </w:rPr>
        <w:t>p, sell the assets and repay $</w:t>
      </w:r>
      <w:r w:rsidR="000704EF" w:rsidRPr="00381F61">
        <w:rPr>
          <w:rFonts w:ascii="Garamond" w:hAnsi="Garamond"/>
        </w:rPr>
        <w:t>42.9</w:t>
      </w:r>
      <w:r w:rsidR="003F3C99" w:rsidRPr="00381F61">
        <w:rPr>
          <w:rFonts w:ascii="Garamond" w:hAnsi="Garamond"/>
        </w:rPr>
        <w:t xml:space="preserve"> b</w:t>
      </w:r>
      <w:r w:rsidR="00F24406" w:rsidRPr="00381F61">
        <w:rPr>
          <w:rFonts w:ascii="Garamond" w:hAnsi="Garamond"/>
        </w:rPr>
        <w:t>illio</w:t>
      </w:r>
      <w:r w:rsidR="003F3C99" w:rsidRPr="00381F61">
        <w:rPr>
          <w:rFonts w:ascii="Garamond" w:hAnsi="Garamond"/>
        </w:rPr>
        <w:t>n of its current $</w:t>
      </w:r>
      <w:r w:rsidRPr="00381F61">
        <w:rPr>
          <w:rFonts w:ascii="Garamond" w:hAnsi="Garamond"/>
        </w:rPr>
        <w:t>115.8</w:t>
      </w:r>
      <w:r w:rsidR="003F3C99" w:rsidRPr="00381F61">
        <w:rPr>
          <w:rFonts w:ascii="Garamond" w:hAnsi="Garamond"/>
        </w:rPr>
        <w:t xml:space="preserve"> b</w:t>
      </w:r>
      <w:r w:rsidR="00F24406" w:rsidRPr="00381F61">
        <w:rPr>
          <w:rFonts w:ascii="Garamond" w:hAnsi="Garamond"/>
        </w:rPr>
        <w:t>illio</w:t>
      </w:r>
      <w:r w:rsidR="003F3C99" w:rsidRPr="00381F61">
        <w:rPr>
          <w:rFonts w:ascii="Garamond" w:hAnsi="Garamond"/>
        </w:rPr>
        <w:t>n in debt</w:t>
      </w:r>
      <w:r w:rsidR="006F7D96" w:rsidRPr="00381F61">
        <w:rPr>
          <w:rFonts w:ascii="Garamond" w:hAnsi="Garamond"/>
        </w:rPr>
        <w:t xml:space="preserve"> (at </w:t>
      </w:r>
      <w:r w:rsidRPr="00381F61">
        <w:rPr>
          <w:rFonts w:ascii="Garamond" w:hAnsi="Garamond"/>
        </w:rPr>
        <w:t>28 February 2019</w:t>
      </w:r>
      <w:r w:rsidR="006F7D96" w:rsidRPr="00381F61">
        <w:rPr>
          <w:rFonts w:ascii="Garamond" w:hAnsi="Garamond"/>
        </w:rPr>
        <w:t>)</w:t>
      </w:r>
      <w:r w:rsidR="003F3C99" w:rsidRPr="00381F61">
        <w:rPr>
          <w:rFonts w:ascii="Garamond" w:hAnsi="Garamond"/>
        </w:rPr>
        <w:t xml:space="preserve">.  That </w:t>
      </w:r>
      <w:r w:rsidR="002F35FF" w:rsidRPr="00381F61">
        <w:rPr>
          <w:rFonts w:ascii="Garamond" w:hAnsi="Garamond"/>
        </w:rPr>
        <w:t>way, it will also save the $3</w:t>
      </w:r>
      <w:r w:rsidRPr="00381F61">
        <w:rPr>
          <w:rFonts w:ascii="Garamond" w:hAnsi="Garamond"/>
        </w:rPr>
        <w:t>4.6</w:t>
      </w:r>
      <w:r w:rsidR="003F3C99" w:rsidRPr="00381F61">
        <w:rPr>
          <w:rFonts w:ascii="Garamond" w:hAnsi="Garamond"/>
        </w:rPr>
        <w:t xml:space="preserve"> m</w:t>
      </w:r>
      <w:r w:rsidR="000A5328" w:rsidRPr="00381F61">
        <w:rPr>
          <w:rFonts w:ascii="Garamond" w:hAnsi="Garamond"/>
        </w:rPr>
        <w:t>illion</w:t>
      </w:r>
      <w:r w:rsidR="003F3C99" w:rsidRPr="00381F61">
        <w:rPr>
          <w:rFonts w:ascii="Garamond" w:hAnsi="Garamond"/>
        </w:rPr>
        <w:t xml:space="preserve"> </w:t>
      </w:r>
      <w:r w:rsidR="003F3C99" w:rsidRPr="00381F61">
        <w:rPr>
          <w:rFonts w:ascii="Garamond" w:hAnsi="Garamond"/>
        </w:rPr>
        <w:lastRenderedPageBreak/>
        <w:t>in salaries</w:t>
      </w:r>
      <w:r w:rsidR="002F35FF" w:rsidRPr="00381F61">
        <w:rPr>
          <w:rFonts w:ascii="Garamond" w:hAnsi="Garamond"/>
        </w:rPr>
        <w:t xml:space="preserve"> and bonuses that the NZSF’s 1</w:t>
      </w:r>
      <w:r w:rsidRPr="00381F61">
        <w:rPr>
          <w:rFonts w:ascii="Garamond" w:hAnsi="Garamond"/>
        </w:rPr>
        <w:t>30</w:t>
      </w:r>
      <w:r w:rsidR="003F3C99" w:rsidRPr="00381F61">
        <w:rPr>
          <w:rFonts w:ascii="Garamond" w:hAnsi="Garamond"/>
        </w:rPr>
        <w:t xml:space="preserve"> staff received </w:t>
      </w:r>
      <w:r w:rsidR="007C5842" w:rsidRPr="00381F61">
        <w:rPr>
          <w:rFonts w:ascii="Garamond" w:hAnsi="Garamond"/>
        </w:rPr>
        <w:t>in 201</w:t>
      </w:r>
      <w:r w:rsidRPr="00381F61">
        <w:rPr>
          <w:rFonts w:ascii="Garamond" w:hAnsi="Garamond"/>
        </w:rPr>
        <w:t>8</w:t>
      </w:r>
      <w:r w:rsidR="002F35FF" w:rsidRPr="00381F61">
        <w:rPr>
          <w:rStyle w:val="FootnoteReference"/>
          <w:rFonts w:ascii="Garamond" w:hAnsi="Garamond"/>
        </w:rPr>
        <w:footnoteReference w:id="92"/>
      </w:r>
      <w:r w:rsidR="007C5842" w:rsidRPr="00381F61">
        <w:rPr>
          <w:rFonts w:ascii="Garamond" w:hAnsi="Garamond"/>
        </w:rPr>
        <w:t xml:space="preserve">.  </w:t>
      </w:r>
      <w:r w:rsidR="007E1C13" w:rsidRPr="00381F61">
        <w:rPr>
          <w:rFonts w:ascii="Garamond" w:hAnsi="Garamond"/>
        </w:rPr>
        <w:t>T</w:t>
      </w:r>
      <w:r w:rsidR="003F3C99" w:rsidRPr="00381F61">
        <w:rPr>
          <w:rFonts w:ascii="Garamond" w:hAnsi="Garamond"/>
        </w:rPr>
        <w:t>hey</w:t>
      </w:r>
      <w:r w:rsidR="007E1C13" w:rsidRPr="00381F61">
        <w:rPr>
          <w:rFonts w:ascii="Garamond" w:hAnsi="Garamond"/>
        </w:rPr>
        <w:t xml:space="preserve"> may</w:t>
      </w:r>
      <w:r w:rsidR="003F3C99" w:rsidRPr="00381F61">
        <w:rPr>
          <w:rFonts w:ascii="Garamond" w:hAnsi="Garamond"/>
        </w:rPr>
        <w:t xml:space="preserve"> </w:t>
      </w:r>
      <w:r w:rsidR="00AE7921" w:rsidRPr="00381F61">
        <w:rPr>
          <w:rFonts w:ascii="Garamond" w:hAnsi="Garamond"/>
        </w:rPr>
        <w:t xml:space="preserve">have </w:t>
      </w:r>
      <w:r w:rsidR="003F3C99" w:rsidRPr="00381F61">
        <w:rPr>
          <w:rFonts w:ascii="Garamond" w:hAnsi="Garamond"/>
        </w:rPr>
        <w:t>deserved those</w:t>
      </w:r>
      <w:r w:rsidR="00B462CE" w:rsidRPr="00381F61">
        <w:rPr>
          <w:rFonts w:ascii="Garamond" w:hAnsi="Garamond"/>
        </w:rPr>
        <w:t>,</w:t>
      </w:r>
      <w:r w:rsidR="003F3C99" w:rsidRPr="00381F61">
        <w:rPr>
          <w:rFonts w:ascii="Garamond" w:hAnsi="Garamond"/>
        </w:rPr>
        <w:t xml:space="preserve"> but New Zealand </w:t>
      </w:r>
      <w:r w:rsidR="006E40B9" w:rsidRPr="00381F61">
        <w:rPr>
          <w:rFonts w:ascii="Garamond" w:hAnsi="Garamond"/>
        </w:rPr>
        <w:t xml:space="preserve">really </w:t>
      </w:r>
      <w:r w:rsidR="003F3C99" w:rsidRPr="00381F61">
        <w:rPr>
          <w:rFonts w:ascii="Garamond" w:hAnsi="Garamond"/>
        </w:rPr>
        <w:t>doesn’t need the NZSF.</w:t>
      </w:r>
    </w:p>
    <w:p w14:paraId="10AFE59D" w14:textId="77777777" w:rsidR="00373C00" w:rsidRPr="00381F61" w:rsidRDefault="00373C00" w:rsidP="00E71CEB">
      <w:pPr>
        <w:pStyle w:val="FootnoteText"/>
        <w:jc w:val="both"/>
        <w:rPr>
          <w:rFonts w:ascii="Garamond" w:hAnsi="Garamond"/>
        </w:rPr>
      </w:pPr>
    </w:p>
    <w:p w14:paraId="5F939100" w14:textId="1E96CE4D" w:rsidR="00F2146A" w:rsidRPr="00381F61" w:rsidRDefault="00373C00" w:rsidP="00E71CEB">
      <w:pPr>
        <w:pStyle w:val="FootnoteText"/>
        <w:jc w:val="both"/>
        <w:rPr>
          <w:rFonts w:ascii="Garamond" w:hAnsi="Garamond"/>
        </w:rPr>
      </w:pPr>
      <w:r w:rsidRPr="00381F61">
        <w:rPr>
          <w:rFonts w:ascii="Garamond" w:hAnsi="Garamond"/>
        </w:rPr>
        <w:t xml:space="preserve">We do not necessarily criticise the Guardians or the staff of the NZSF for the job they have done; we </w:t>
      </w:r>
      <w:r w:rsidR="000A5328" w:rsidRPr="00381F61">
        <w:rPr>
          <w:rFonts w:ascii="Garamond" w:hAnsi="Garamond"/>
        </w:rPr>
        <w:t xml:space="preserve">just </w:t>
      </w:r>
      <w:r w:rsidRPr="00381F61">
        <w:rPr>
          <w:rFonts w:ascii="Garamond" w:hAnsi="Garamond"/>
        </w:rPr>
        <w:t>suggest it’s a job they should not have been given</w:t>
      </w:r>
      <w:r w:rsidR="000A097C" w:rsidRPr="00381F61">
        <w:rPr>
          <w:rFonts w:ascii="Garamond" w:hAnsi="Garamond"/>
        </w:rPr>
        <w:t xml:space="preserve"> because it doesn’t need to be done.</w:t>
      </w:r>
    </w:p>
    <w:p w14:paraId="1AC0E901" w14:textId="77777777" w:rsidR="00373C00" w:rsidRPr="00381F61" w:rsidRDefault="00373C00" w:rsidP="00E71CEB">
      <w:pPr>
        <w:pStyle w:val="FootnoteText"/>
        <w:jc w:val="both"/>
        <w:rPr>
          <w:rFonts w:ascii="Garamond" w:hAnsi="Garamond"/>
        </w:rPr>
      </w:pPr>
    </w:p>
    <w:p w14:paraId="406B6FC8" w14:textId="77777777" w:rsidR="001E6A72" w:rsidRPr="00381F61" w:rsidRDefault="001E6A72" w:rsidP="001E6A72">
      <w:pPr>
        <w:jc w:val="both"/>
        <w:rPr>
          <w:rFonts w:ascii="Garamond" w:hAnsi="Garamond"/>
        </w:rPr>
      </w:pPr>
      <w:r w:rsidRPr="00381F61">
        <w:rPr>
          <w:rFonts w:ascii="Garamond" w:hAnsi="Garamond"/>
          <w:b/>
        </w:rPr>
        <w:t>Terms of reference for 2019 Review</w:t>
      </w:r>
    </w:p>
    <w:p w14:paraId="74AC1E60" w14:textId="77777777" w:rsidR="001E6A72" w:rsidRPr="00381F61" w:rsidRDefault="001E6A72" w:rsidP="001E6A72">
      <w:pPr>
        <w:jc w:val="both"/>
        <w:rPr>
          <w:rFonts w:ascii="Garamond" w:hAnsi="Garamond"/>
        </w:rPr>
      </w:pPr>
    </w:p>
    <w:p w14:paraId="2CEF6BAC" w14:textId="2D5BC8DE" w:rsidR="001E6A72" w:rsidRPr="00381F61" w:rsidRDefault="001E6A72" w:rsidP="001E6A72">
      <w:pPr>
        <w:jc w:val="both"/>
        <w:rPr>
          <w:rFonts w:ascii="Garamond" w:hAnsi="Garamond"/>
        </w:rPr>
      </w:pPr>
      <w:r w:rsidRPr="00381F61">
        <w:rPr>
          <w:rFonts w:ascii="Garamond" w:hAnsi="Garamond"/>
        </w:rPr>
        <w:t xml:space="preserve">There was no mention in the Terms of Reference for the Retirement Commissioner’s 2019 Review of the issues we have raised with respect to the </w:t>
      </w:r>
      <w:r w:rsidR="00C430B6" w:rsidRPr="00381F61">
        <w:rPr>
          <w:rFonts w:ascii="Garamond" w:hAnsi="Garamond"/>
        </w:rPr>
        <w:t>inability</w:t>
      </w:r>
      <w:r w:rsidRPr="00381F61">
        <w:rPr>
          <w:rFonts w:ascii="Garamond" w:hAnsi="Garamond"/>
        </w:rPr>
        <w:t xml:space="preserve"> of the NZSF </w:t>
      </w:r>
      <w:r w:rsidR="00C430B6" w:rsidRPr="00381F61">
        <w:rPr>
          <w:rFonts w:ascii="Garamond" w:hAnsi="Garamond"/>
        </w:rPr>
        <w:t>to</w:t>
      </w:r>
      <w:r w:rsidR="00C430B6" w:rsidRPr="00381F61">
        <w:rPr>
          <w:rFonts w:ascii="Garamond" w:hAnsi="Garamond" w:cs="Arial"/>
          <w:color w:val="000000"/>
          <w:shd w:val="clear" w:color="auto" w:fill="FFFFFF"/>
        </w:rPr>
        <w:t xml:space="preserve"> help “…protect the Government’s ability to keep the super age at 65 and showing that we care about future generations.” (Grant Robertson, Minister of Finance, 31October 2018).</w:t>
      </w:r>
    </w:p>
    <w:p w14:paraId="4E9EB73D" w14:textId="39E882AA" w:rsidR="001E6A72" w:rsidRPr="00381F61" w:rsidRDefault="001E6A72" w:rsidP="001E6A72">
      <w:pPr>
        <w:jc w:val="both"/>
        <w:rPr>
          <w:rFonts w:ascii="Garamond" w:hAnsi="Garamond"/>
        </w:rPr>
      </w:pPr>
    </w:p>
    <w:p w14:paraId="27E995FE" w14:textId="1A751ACB" w:rsidR="001E6A72" w:rsidRPr="00381F61" w:rsidRDefault="001E6A72" w:rsidP="001E6A72">
      <w:pPr>
        <w:jc w:val="both"/>
        <w:rPr>
          <w:rFonts w:ascii="Garamond" w:hAnsi="Garamond"/>
        </w:rPr>
      </w:pPr>
      <w:r w:rsidRPr="00381F61">
        <w:rPr>
          <w:rFonts w:ascii="Garamond" w:hAnsi="Garamond"/>
        </w:rPr>
        <w:t xml:space="preserve">It would be nice to see the </w:t>
      </w:r>
      <w:r w:rsidR="00C430B6" w:rsidRPr="00381F61">
        <w:rPr>
          <w:rFonts w:ascii="Garamond" w:hAnsi="Garamond"/>
        </w:rPr>
        <w:t xml:space="preserve">economic </w:t>
      </w:r>
      <w:r w:rsidRPr="00381F61">
        <w:rPr>
          <w:rFonts w:ascii="Garamond" w:hAnsi="Garamond"/>
        </w:rPr>
        <w:t>case for the NZSF addressed in the 2019 Review but</w:t>
      </w:r>
      <w:r w:rsidR="00C430B6" w:rsidRPr="00381F61">
        <w:rPr>
          <w:rFonts w:ascii="Garamond" w:hAnsi="Garamond"/>
        </w:rPr>
        <w:t xml:space="preserve"> the Terms of Reference do not </w:t>
      </w:r>
      <w:r w:rsidR="00F66CFF" w:rsidRPr="00381F61">
        <w:rPr>
          <w:rFonts w:ascii="Garamond" w:hAnsi="Garamond"/>
        </w:rPr>
        <w:t xml:space="preserve">require </w:t>
      </w:r>
      <w:r w:rsidRPr="00381F61">
        <w:rPr>
          <w:rFonts w:ascii="Garamond" w:hAnsi="Garamond"/>
        </w:rPr>
        <w:t xml:space="preserve">that.  </w:t>
      </w:r>
      <w:r w:rsidR="00C430B6" w:rsidRPr="00381F61">
        <w:rPr>
          <w:rFonts w:ascii="Garamond" w:hAnsi="Garamond"/>
        </w:rPr>
        <w:t>However, a future government will not be able to ignore the following questions.</w:t>
      </w:r>
    </w:p>
    <w:p w14:paraId="2474088B" w14:textId="77777777" w:rsidR="001E6A72" w:rsidRPr="00381F61" w:rsidRDefault="001E6A72" w:rsidP="001E6A72">
      <w:pPr>
        <w:jc w:val="both"/>
        <w:rPr>
          <w:rFonts w:ascii="Garamond" w:hAnsi="Garamond"/>
        </w:rPr>
      </w:pPr>
    </w:p>
    <w:p w14:paraId="1DA077BA" w14:textId="482CB977" w:rsidR="00373C00" w:rsidRPr="00381F61" w:rsidRDefault="00373C00" w:rsidP="00E71CEB">
      <w:pPr>
        <w:pStyle w:val="FootnoteText"/>
        <w:jc w:val="both"/>
        <w:rPr>
          <w:rFonts w:ascii="Garamond" w:hAnsi="Garamond"/>
          <w:b/>
        </w:rPr>
      </w:pPr>
      <w:r w:rsidRPr="00381F61">
        <w:rPr>
          <w:rFonts w:ascii="Garamond" w:hAnsi="Garamond"/>
          <w:b/>
        </w:rPr>
        <w:t>Questions New Zealand</w:t>
      </w:r>
      <w:r w:rsidR="00A256AB" w:rsidRPr="00381F61">
        <w:rPr>
          <w:rFonts w:ascii="Garamond" w:hAnsi="Garamond"/>
          <w:b/>
        </w:rPr>
        <w:t xml:space="preserve"> needs</w:t>
      </w:r>
      <w:r w:rsidRPr="00381F61">
        <w:rPr>
          <w:rFonts w:ascii="Garamond" w:hAnsi="Garamond"/>
          <w:b/>
        </w:rPr>
        <w:t xml:space="preserve"> to discuss</w:t>
      </w:r>
      <w:r w:rsidR="00A256AB" w:rsidRPr="00381F61">
        <w:rPr>
          <w:rFonts w:ascii="Garamond" w:hAnsi="Garamond"/>
          <w:b/>
        </w:rPr>
        <w:t xml:space="preserve"> on the role of the NZSF:</w:t>
      </w:r>
    </w:p>
    <w:p w14:paraId="301DCE59" w14:textId="77777777" w:rsidR="00373C00" w:rsidRPr="00381F61" w:rsidRDefault="00373C00" w:rsidP="00E71CEB">
      <w:pPr>
        <w:pStyle w:val="FootnoteText"/>
        <w:jc w:val="both"/>
        <w:rPr>
          <w:rFonts w:ascii="Garamond" w:hAnsi="Garamond"/>
          <w:b/>
        </w:rPr>
      </w:pPr>
    </w:p>
    <w:p w14:paraId="4E67D7DC" w14:textId="34033FFD" w:rsidR="00373C00" w:rsidRPr="00381F61" w:rsidRDefault="00F24406" w:rsidP="00E71CEB">
      <w:pPr>
        <w:pStyle w:val="FootnoteText"/>
        <w:numPr>
          <w:ilvl w:val="0"/>
          <w:numId w:val="22"/>
        </w:numPr>
        <w:jc w:val="both"/>
        <w:rPr>
          <w:rFonts w:ascii="Garamond" w:hAnsi="Garamond"/>
        </w:rPr>
      </w:pPr>
      <w:r w:rsidRPr="00381F61">
        <w:rPr>
          <w:rFonts w:ascii="Garamond" w:hAnsi="Garamond"/>
        </w:rPr>
        <w:t>New Zealand</w:t>
      </w:r>
      <w:r w:rsidR="00373C00" w:rsidRPr="00381F61">
        <w:rPr>
          <w:rFonts w:ascii="Garamond" w:hAnsi="Garamond"/>
        </w:rPr>
        <w:t xml:space="preserve"> need</w:t>
      </w:r>
      <w:r w:rsidRPr="00381F61">
        <w:rPr>
          <w:rFonts w:ascii="Garamond" w:hAnsi="Garamond"/>
        </w:rPr>
        <w:t>s</w:t>
      </w:r>
      <w:r w:rsidR="00373C00" w:rsidRPr="00381F61">
        <w:rPr>
          <w:rFonts w:ascii="Garamond" w:hAnsi="Garamond"/>
        </w:rPr>
        <w:t xml:space="preserve"> a complete and independent review of the underpinning logic of the NZSF’</w:t>
      </w:r>
      <w:r w:rsidR="003F46CE" w:rsidRPr="00381F61">
        <w:rPr>
          <w:rFonts w:ascii="Garamond" w:hAnsi="Garamond"/>
        </w:rPr>
        <w:t>s existence.  H</w:t>
      </w:r>
      <w:r w:rsidR="00373C00" w:rsidRPr="00381F61">
        <w:rPr>
          <w:rFonts w:ascii="Garamond" w:hAnsi="Garamond"/>
        </w:rPr>
        <w:t xml:space="preserve">ow precisely does higher </w:t>
      </w:r>
      <w:r w:rsidR="003C69C9" w:rsidRPr="00381F61">
        <w:rPr>
          <w:rFonts w:ascii="Garamond" w:hAnsi="Garamond"/>
        </w:rPr>
        <w:t xml:space="preserve">government </w:t>
      </w:r>
      <w:r w:rsidR="00373C00" w:rsidRPr="00381F61">
        <w:rPr>
          <w:rFonts w:ascii="Garamond" w:hAnsi="Garamond"/>
        </w:rPr>
        <w:t xml:space="preserve">debt and </w:t>
      </w:r>
      <w:r w:rsidR="003F46CE" w:rsidRPr="00381F61">
        <w:rPr>
          <w:rFonts w:ascii="Garamond" w:hAnsi="Garamond"/>
        </w:rPr>
        <w:t xml:space="preserve">associated </w:t>
      </w:r>
      <w:r w:rsidR="00373C00" w:rsidRPr="00381F61">
        <w:rPr>
          <w:rFonts w:ascii="Garamond" w:hAnsi="Garamond"/>
        </w:rPr>
        <w:t>financial assets improve the security of future superannuitants’ pensions?</w:t>
      </w:r>
      <w:r w:rsidR="007651C5" w:rsidRPr="00381F61">
        <w:rPr>
          <w:rFonts w:ascii="Garamond" w:hAnsi="Garamond"/>
        </w:rPr>
        <w:t xml:space="preserve">  What risks might this strategy involve?</w:t>
      </w:r>
      <w:r w:rsidR="004E1E90" w:rsidRPr="00381F61">
        <w:rPr>
          <w:rFonts w:ascii="Garamond" w:hAnsi="Garamond"/>
        </w:rPr>
        <w:t xml:space="preserve">  How should those risks be priced?</w:t>
      </w:r>
    </w:p>
    <w:p w14:paraId="65E0FC7F" w14:textId="77777777" w:rsidR="00CD479E" w:rsidRPr="00381F61" w:rsidRDefault="00CD479E" w:rsidP="00E71CEB">
      <w:pPr>
        <w:pStyle w:val="FootnoteText"/>
        <w:ind w:left="720"/>
        <w:jc w:val="both"/>
        <w:rPr>
          <w:rFonts w:ascii="Garamond" w:hAnsi="Garamond"/>
        </w:rPr>
      </w:pPr>
    </w:p>
    <w:p w14:paraId="59B76BFD" w14:textId="1918F21E" w:rsidR="00373C00" w:rsidRPr="00381F61" w:rsidRDefault="00373C00" w:rsidP="00E71CEB">
      <w:pPr>
        <w:pStyle w:val="FootnoteText"/>
        <w:numPr>
          <w:ilvl w:val="0"/>
          <w:numId w:val="22"/>
        </w:numPr>
        <w:jc w:val="both"/>
        <w:rPr>
          <w:rFonts w:ascii="Garamond" w:hAnsi="Garamond"/>
        </w:rPr>
      </w:pPr>
      <w:r w:rsidRPr="00381F61">
        <w:rPr>
          <w:rFonts w:ascii="Garamond" w:hAnsi="Garamond"/>
        </w:rPr>
        <w:t xml:space="preserve">Even if, despite our recommendation to wind up the NZSF, </w:t>
      </w:r>
      <w:r w:rsidR="00463920" w:rsidRPr="00381F61">
        <w:rPr>
          <w:rFonts w:ascii="Garamond" w:hAnsi="Garamond"/>
        </w:rPr>
        <w:t xml:space="preserve">it continues as now, </w:t>
      </w:r>
      <w:r w:rsidRPr="00381F61">
        <w:rPr>
          <w:rFonts w:ascii="Garamond" w:hAnsi="Garamond"/>
        </w:rPr>
        <w:t>how well has the NZSF performed against two key measures:</w:t>
      </w:r>
    </w:p>
    <w:p w14:paraId="354694A8" w14:textId="4EEC2352" w:rsidR="00373C00" w:rsidRPr="00381F61" w:rsidRDefault="003F46CE" w:rsidP="00E71CEB">
      <w:pPr>
        <w:pStyle w:val="FootnoteText"/>
        <w:numPr>
          <w:ilvl w:val="1"/>
          <w:numId w:val="22"/>
        </w:numPr>
        <w:jc w:val="both"/>
        <w:rPr>
          <w:rFonts w:ascii="Garamond" w:hAnsi="Garamond"/>
        </w:rPr>
      </w:pPr>
      <w:r w:rsidRPr="00381F61">
        <w:rPr>
          <w:rFonts w:ascii="Garamond" w:hAnsi="Garamond"/>
        </w:rPr>
        <w:t xml:space="preserve">The government’s most expensive debt </w:t>
      </w:r>
      <w:r w:rsidR="000A5328" w:rsidRPr="00381F61">
        <w:rPr>
          <w:rFonts w:ascii="Garamond" w:hAnsi="Garamond"/>
        </w:rPr>
        <w:t xml:space="preserve">in each measurement period </w:t>
      </w:r>
      <w:r w:rsidRPr="00381F61">
        <w:rPr>
          <w:rFonts w:ascii="Garamond" w:hAnsi="Garamond"/>
        </w:rPr>
        <w:t>(that could be repaid if the NZSF were wound up)?</w:t>
      </w:r>
    </w:p>
    <w:p w14:paraId="5D062824" w14:textId="1E802AE8" w:rsidR="003F46CE" w:rsidRPr="00381F61" w:rsidRDefault="003F46CE" w:rsidP="00E71CEB">
      <w:pPr>
        <w:pStyle w:val="FootnoteText"/>
        <w:numPr>
          <w:ilvl w:val="1"/>
          <w:numId w:val="22"/>
        </w:numPr>
        <w:jc w:val="both"/>
        <w:rPr>
          <w:rFonts w:ascii="Garamond" w:hAnsi="Garamond"/>
        </w:rPr>
      </w:pPr>
      <w:r w:rsidRPr="00381F61">
        <w:rPr>
          <w:rFonts w:ascii="Garamond" w:hAnsi="Garamond"/>
        </w:rPr>
        <w:t>On a</w:t>
      </w:r>
      <w:r w:rsidR="0034087E" w:rsidRPr="00381F61">
        <w:rPr>
          <w:rFonts w:ascii="Garamond" w:hAnsi="Garamond"/>
        </w:rPr>
        <w:t>n agreed</w:t>
      </w:r>
      <w:r w:rsidRPr="00381F61">
        <w:rPr>
          <w:rFonts w:ascii="Garamond" w:hAnsi="Garamond"/>
        </w:rPr>
        <w:t xml:space="preserve"> risk-adjusted basis?</w:t>
      </w:r>
    </w:p>
    <w:p w14:paraId="4B008AE3" w14:textId="321F9EC6" w:rsidR="00F41BB2" w:rsidRPr="00381F61" w:rsidRDefault="004139C9" w:rsidP="004139C9">
      <w:pPr>
        <w:pStyle w:val="FootnoteText"/>
        <w:ind w:left="709"/>
        <w:jc w:val="both"/>
        <w:rPr>
          <w:rFonts w:ascii="Garamond" w:hAnsi="Garamond"/>
        </w:rPr>
      </w:pPr>
      <w:r w:rsidRPr="00381F61">
        <w:rPr>
          <w:rFonts w:ascii="Garamond" w:hAnsi="Garamond"/>
        </w:rPr>
        <w:t>in either case, allowing for the deadweight costs of extra tax</w:t>
      </w:r>
      <w:r w:rsidR="001C7B87" w:rsidRPr="00381F61">
        <w:rPr>
          <w:rFonts w:ascii="Garamond" w:hAnsi="Garamond"/>
        </w:rPr>
        <w:t xml:space="preserve"> incurred by the contributions</w:t>
      </w:r>
      <w:r w:rsidRPr="00381F61">
        <w:rPr>
          <w:rFonts w:ascii="Garamond" w:hAnsi="Garamond"/>
        </w:rPr>
        <w:t>.</w:t>
      </w:r>
    </w:p>
    <w:p w14:paraId="2671E73C" w14:textId="77777777" w:rsidR="004139C9" w:rsidRPr="00381F61" w:rsidRDefault="004139C9" w:rsidP="004139C9">
      <w:pPr>
        <w:pStyle w:val="FootnoteText"/>
        <w:ind w:left="709"/>
        <w:jc w:val="both"/>
        <w:rPr>
          <w:rFonts w:ascii="Garamond" w:hAnsi="Garamond"/>
        </w:rPr>
      </w:pPr>
    </w:p>
    <w:p w14:paraId="3633CA6E" w14:textId="0795090C" w:rsidR="003F46CE" w:rsidRPr="00381F61" w:rsidRDefault="003F46CE" w:rsidP="00E71CEB">
      <w:pPr>
        <w:pStyle w:val="FootnoteText"/>
        <w:numPr>
          <w:ilvl w:val="0"/>
          <w:numId w:val="22"/>
        </w:numPr>
        <w:jc w:val="both"/>
        <w:rPr>
          <w:rFonts w:ascii="Garamond" w:hAnsi="Garamond"/>
        </w:rPr>
      </w:pPr>
      <w:r w:rsidRPr="00381F61">
        <w:rPr>
          <w:rFonts w:ascii="Garamond" w:hAnsi="Garamond"/>
        </w:rPr>
        <w:t xml:space="preserve">If the NZSF continues, how can we assure </w:t>
      </w:r>
      <w:r w:rsidR="008B0738" w:rsidRPr="00381F61">
        <w:rPr>
          <w:rFonts w:ascii="Garamond" w:hAnsi="Garamond"/>
        </w:rPr>
        <w:t xml:space="preserve">today’s </w:t>
      </w:r>
      <w:r w:rsidRPr="00381F61">
        <w:rPr>
          <w:rFonts w:ascii="Garamond" w:hAnsi="Garamond"/>
        </w:rPr>
        <w:t>taxpayers that, by paying more in taxes today (between 20</w:t>
      </w:r>
      <w:r w:rsidR="00860390" w:rsidRPr="00381F61">
        <w:rPr>
          <w:rFonts w:ascii="Garamond" w:hAnsi="Garamond"/>
        </w:rPr>
        <w:t>19</w:t>
      </w:r>
      <w:r w:rsidRPr="00381F61">
        <w:rPr>
          <w:rFonts w:ascii="Garamond" w:hAnsi="Garamond"/>
        </w:rPr>
        <w:t xml:space="preserve"> and 203</w:t>
      </w:r>
      <w:r w:rsidR="00860390" w:rsidRPr="00381F61">
        <w:rPr>
          <w:rFonts w:ascii="Garamond" w:hAnsi="Garamond"/>
        </w:rPr>
        <w:t>4</w:t>
      </w:r>
      <w:r w:rsidRPr="00381F61">
        <w:rPr>
          <w:rFonts w:ascii="Garamond" w:hAnsi="Garamond"/>
        </w:rPr>
        <w:t>), they will see a reduction in the taxes they will have to pay once the drawdowns begin?</w:t>
      </w:r>
    </w:p>
    <w:p w14:paraId="0343886E" w14:textId="77777777" w:rsidR="00CD479E" w:rsidRPr="00381F61" w:rsidRDefault="00CD479E" w:rsidP="00E71CEB">
      <w:pPr>
        <w:pStyle w:val="FootnoteText"/>
        <w:ind w:left="720"/>
        <w:jc w:val="both"/>
        <w:rPr>
          <w:rFonts w:ascii="Garamond" w:hAnsi="Garamond"/>
        </w:rPr>
      </w:pPr>
    </w:p>
    <w:p w14:paraId="3808F07B" w14:textId="28859760" w:rsidR="003F46CE" w:rsidRPr="00381F61" w:rsidRDefault="003F46CE" w:rsidP="00E71CEB">
      <w:pPr>
        <w:pStyle w:val="FootnoteText"/>
        <w:numPr>
          <w:ilvl w:val="0"/>
          <w:numId w:val="22"/>
        </w:numPr>
        <w:jc w:val="both"/>
        <w:rPr>
          <w:rFonts w:ascii="Garamond" w:hAnsi="Garamond"/>
        </w:rPr>
      </w:pPr>
      <w:r w:rsidRPr="00381F61">
        <w:rPr>
          <w:rFonts w:ascii="Garamond" w:hAnsi="Garamond"/>
        </w:rPr>
        <w:t>Can we assure tomorrow’s taxpayers that the presence of the NZSF does not constrain, in any way, their ability to reduce NZS?</w:t>
      </w:r>
    </w:p>
    <w:p w14:paraId="373F02A8" w14:textId="77777777" w:rsidR="007E1C13" w:rsidRPr="00381F61" w:rsidRDefault="007E1C13" w:rsidP="007E1C13">
      <w:pPr>
        <w:pStyle w:val="ListParagraph"/>
        <w:rPr>
          <w:rFonts w:ascii="Garamond" w:hAnsi="Garamond"/>
        </w:rPr>
      </w:pPr>
    </w:p>
    <w:p w14:paraId="280D141F" w14:textId="25738BF4" w:rsidR="007E1C13" w:rsidRPr="00381F61" w:rsidRDefault="007E1C13" w:rsidP="00E71CEB">
      <w:pPr>
        <w:pStyle w:val="FootnoteText"/>
        <w:numPr>
          <w:ilvl w:val="0"/>
          <w:numId w:val="22"/>
        </w:numPr>
        <w:jc w:val="both"/>
        <w:rPr>
          <w:rFonts w:ascii="Garamond" w:hAnsi="Garamond"/>
        </w:rPr>
      </w:pPr>
      <w:r w:rsidRPr="00381F61">
        <w:rPr>
          <w:rFonts w:ascii="Garamond" w:hAnsi="Garamond"/>
        </w:rPr>
        <w:t xml:space="preserve">Does the presence of the NZSF increase the economic activity above the level of growth that otherwise would </w:t>
      </w:r>
      <w:r w:rsidR="00AE7921" w:rsidRPr="00381F61">
        <w:rPr>
          <w:rFonts w:ascii="Garamond" w:hAnsi="Garamond"/>
        </w:rPr>
        <w:t xml:space="preserve">have </w:t>
      </w:r>
      <w:r w:rsidRPr="00381F61">
        <w:rPr>
          <w:rFonts w:ascii="Garamond" w:hAnsi="Garamond"/>
        </w:rPr>
        <w:t>occur</w:t>
      </w:r>
      <w:r w:rsidR="00AE7921" w:rsidRPr="00381F61">
        <w:rPr>
          <w:rFonts w:ascii="Garamond" w:hAnsi="Garamond"/>
        </w:rPr>
        <w:t>red</w:t>
      </w:r>
      <w:r w:rsidRPr="00381F61">
        <w:rPr>
          <w:rFonts w:ascii="Garamond" w:hAnsi="Garamond"/>
        </w:rPr>
        <w:t>?</w:t>
      </w:r>
    </w:p>
    <w:p w14:paraId="0A0DAFD3" w14:textId="77777777" w:rsidR="003F3C99" w:rsidRPr="00381F61" w:rsidRDefault="003F3C99" w:rsidP="00E71CEB">
      <w:pPr>
        <w:jc w:val="both"/>
        <w:rPr>
          <w:rFonts w:ascii="Garamond" w:hAnsi="Garamond"/>
          <w:b/>
        </w:rPr>
      </w:pPr>
    </w:p>
    <w:p w14:paraId="7277290C" w14:textId="77777777" w:rsidR="00A97583" w:rsidRPr="00381F61" w:rsidRDefault="00A97583" w:rsidP="00E71CEB">
      <w:pPr>
        <w:jc w:val="both"/>
        <w:rPr>
          <w:rFonts w:ascii="Garamond" w:hAnsi="Garamond"/>
        </w:rPr>
      </w:pPr>
      <w:r w:rsidRPr="00381F61">
        <w:rPr>
          <w:rFonts w:ascii="Garamond" w:hAnsi="Garamond"/>
        </w:rPr>
        <w:br w:type="page"/>
      </w:r>
    </w:p>
    <w:p w14:paraId="014F7D6C" w14:textId="71498888" w:rsidR="00A97583" w:rsidRPr="00381F61" w:rsidRDefault="00F519BC" w:rsidP="00E71CEB">
      <w:pPr>
        <w:jc w:val="both"/>
        <w:rPr>
          <w:rFonts w:ascii="Garamond" w:hAnsi="Garamond"/>
          <w:b/>
        </w:rPr>
      </w:pPr>
      <w:r w:rsidRPr="00381F61">
        <w:rPr>
          <w:rFonts w:ascii="Garamond" w:hAnsi="Garamond"/>
          <w:b/>
        </w:rPr>
        <w:lastRenderedPageBreak/>
        <w:t>8</w:t>
      </w:r>
      <w:r w:rsidR="00B90665" w:rsidRPr="00381F61">
        <w:rPr>
          <w:rFonts w:ascii="Garamond" w:hAnsi="Garamond"/>
          <w:b/>
        </w:rPr>
        <w:t>.</w:t>
      </w:r>
      <w:r w:rsidR="00B90665" w:rsidRPr="00381F61">
        <w:rPr>
          <w:rFonts w:ascii="Garamond" w:hAnsi="Garamond"/>
          <w:b/>
        </w:rPr>
        <w:tab/>
      </w:r>
      <w:r w:rsidR="004D3A3C" w:rsidRPr="00381F61">
        <w:rPr>
          <w:rFonts w:ascii="Garamond" w:hAnsi="Garamond"/>
          <w:b/>
        </w:rPr>
        <w:t>Overseas’ pen</w:t>
      </w:r>
      <w:r w:rsidR="00B90665" w:rsidRPr="00381F61">
        <w:rPr>
          <w:rFonts w:ascii="Garamond" w:hAnsi="Garamond"/>
          <w:b/>
        </w:rPr>
        <w:t>sions and section 70 deductions</w:t>
      </w:r>
    </w:p>
    <w:p w14:paraId="09C8A606" w14:textId="77777777" w:rsidR="00B90665" w:rsidRPr="00381F61" w:rsidRDefault="00B90665" w:rsidP="00E71CEB">
      <w:pPr>
        <w:jc w:val="both"/>
        <w:rPr>
          <w:rFonts w:ascii="Garamond" w:hAnsi="Garamond"/>
          <w:b/>
        </w:rPr>
      </w:pPr>
    </w:p>
    <w:p w14:paraId="31347179" w14:textId="24409A0B" w:rsidR="00AB7D59" w:rsidRPr="00381F61" w:rsidRDefault="00AB7D59" w:rsidP="00E71CEB">
      <w:pPr>
        <w:jc w:val="both"/>
        <w:rPr>
          <w:rFonts w:ascii="Garamond" w:hAnsi="Garamond"/>
          <w:color w:val="000000"/>
          <w:shd w:val="clear" w:color="auto" w:fill="FFFFFF"/>
          <w:lang w:val="en-US"/>
        </w:rPr>
      </w:pPr>
      <w:r w:rsidRPr="00381F61">
        <w:rPr>
          <w:rFonts w:ascii="Garamond" w:hAnsi="Garamond"/>
          <w:color w:val="000000"/>
          <w:shd w:val="clear" w:color="auto" w:fill="FFFFFF"/>
          <w:lang w:val="en-US"/>
        </w:rPr>
        <w:t xml:space="preserve">Normally, someone is entitled to a full </w:t>
      </w:r>
      <w:r w:rsidR="00D52FE2" w:rsidRPr="00381F61">
        <w:rPr>
          <w:rFonts w:ascii="Garamond" w:hAnsi="Garamond"/>
          <w:color w:val="000000"/>
          <w:shd w:val="clear" w:color="auto" w:fill="FFFFFF"/>
          <w:lang w:val="en-US"/>
        </w:rPr>
        <w:t xml:space="preserve">NZS pension </w:t>
      </w:r>
      <w:r w:rsidRPr="00381F61">
        <w:rPr>
          <w:rFonts w:ascii="Garamond" w:hAnsi="Garamond"/>
          <w:color w:val="000000"/>
          <w:shd w:val="clear" w:color="auto" w:fill="FFFFFF"/>
          <w:lang w:val="en-US"/>
        </w:rPr>
        <w:t xml:space="preserve">after ten years’ residence and with at least five of those years being after age 50.  However, if someone has what the </w:t>
      </w:r>
      <w:r w:rsidR="00D52FE2" w:rsidRPr="00381F61">
        <w:rPr>
          <w:rFonts w:ascii="Garamond" w:hAnsi="Garamond"/>
          <w:color w:val="000000"/>
          <w:shd w:val="clear" w:color="auto" w:fill="FFFFFF"/>
          <w:lang w:val="en-US"/>
        </w:rPr>
        <w:t>Ministry of Social Development</w:t>
      </w:r>
      <w:r w:rsidR="009D6D98" w:rsidRPr="00381F61">
        <w:rPr>
          <w:rFonts w:ascii="Garamond" w:hAnsi="Garamond"/>
          <w:color w:val="000000"/>
          <w:shd w:val="clear" w:color="auto" w:fill="FFFFFF"/>
          <w:lang w:val="en-US"/>
        </w:rPr>
        <w:t xml:space="preserve"> (MSD)</w:t>
      </w:r>
      <w:r w:rsidRPr="00381F61">
        <w:rPr>
          <w:rFonts w:ascii="Garamond" w:hAnsi="Garamond"/>
          <w:color w:val="000000"/>
          <w:shd w:val="clear" w:color="auto" w:fill="FFFFFF"/>
          <w:lang w:val="en-US"/>
        </w:rPr>
        <w:t xml:space="preserve"> decides is an equivalent state-administered pension from another country</w:t>
      </w:r>
      <w:r w:rsidR="009D6D98" w:rsidRPr="00381F61">
        <w:rPr>
          <w:rStyle w:val="FootnoteReference"/>
          <w:rFonts w:ascii="Garamond" w:hAnsi="Garamond"/>
          <w:color w:val="000000"/>
          <w:shd w:val="clear" w:color="auto" w:fill="FFFFFF"/>
          <w:lang w:val="en-US"/>
        </w:rPr>
        <w:footnoteReference w:id="93"/>
      </w:r>
      <w:r w:rsidR="009D6D98" w:rsidRPr="00381F61">
        <w:rPr>
          <w:rFonts w:ascii="Garamond" w:hAnsi="Garamond"/>
          <w:color w:val="000000"/>
          <w:shd w:val="clear" w:color="auto" w:fill="FFFFFF"/>
          <w:lang w:val="en-US"/>
        </w:rPr>
        <w:t xml:space="preserve">, the MSD’s Chief Executive can reduce NZS </w:t>
      </w:r>
      <w:r w:rsidRPr="00381F61">
        <w:rPr>
          <w:rFonts w:ascii="Garamond" w:hAnsi="Garamond"/>
          <w:color w:val="000000"/>
          <w:shd w:val="clear" w:color="auto" w:fill="FFFFFF"/>
          <w:lang w:val="en-US"/>
        </w:rPr>
        <w:t xml:space="preserve">by that </w:t>
      </w:r>
      <w:r w:rsidR="00B104CC" w:rsidRPr="00381F61">
        <w:rPr>
          <w:rFonts w:ascii="Garamond" w:hAnsi="Garamond"/>
          <w:color w:val="000000"/>
          <w:shd w:val="clear" w:color="auto" w:fill="FFFFFF"/>
          <w:lang w:val="en-US"/>
        </w:rPr>
        <w:t xml:space="preserve">overseas </w:t>
      </w:r>
      <w:r w:rsidRPr="00381F61">
        <w:rPr>
          <w:rFonts w:ascii="Garamond" w:hAnsi="Garamond"/>
          <w:color w:val="000000"/>
          <w:shd w:val="clear" w:color="auto" w:fill="FFFFFF"/>
          <w:lang w:val="en-US"/>
        </w:rPr>
        <w:t>pension under section 70 of the Social Security Act 1964.  This is called the ‘Direct Deduction Policy’ or DDP.</w:t>
      </w:r>
    </w:p>
    <w:p w14:paraId="582296A4" w14:textId="77777777" w:rsidR="00AB7D59" w:rsidRPr="00381F61" w:rsidRDefault="00AB7D59" w:rsidP="00E71CEB">
      <w:pPr>
        <w:jc w:val="both"/>
        <w:rPr>
          <w:rFonts w:ascii="Garamond" w:hAnsi="Garamond"/>
        </w:rPr>
      </w:pPr>
    </w:p>
    <w:p w14:paraId="2EE68245" w14:textId="1F9FCB00" w:rsidR="00B90665" w:rsidRPr="00381F61" w:rsidRDefault="00AA6827" w:rsidP="00E71CEB">
      <w:pPr>
        <w:jc w:val="both"/>
        <w:rPr>
          <w:rFonts w:ascii="Garamond" w:hAnsi="Garamond"/>
        </w:rPr>
      </w:pPr>
      <w:r w:rsidRPr="00381F61">
        <w:rPr>
          <w:rFonts w:ascii="Garamond" w:hAnsi="Garamond"/>
        </w:rPr>
        <w:t>The Retirement Policy and Research Centre (RPRC) has done a lot of work on the difficulties associated with the administration of section 70 including, most recently, a report for the Retirement Commissioner’s 2016 review</w:t>
      </w:r>
      <w:r w:rsidRPr="00381F61">
        <w:rPr>
          <w:rStyle w:val="FootnoteReference"/>
          <w:rFonts w:ascii="Garamond" w:hAnsi="Garamond"/>
        </w:rPr>
        <w:footnoteReference w:id="94"/>
      </w:r>
      <w:r w:rsidRPr="00381F61">
        <w:rPr>
          <w:rFonts w:ascii="Garamond" w:hAnsi="Garamond"/>
        </w:rPr>
        <w:t xml:space="preserve">.  That work includes two forums, </w:t>
      </w:r>
      <w:r w:rsidR="00206C01" w:rsidRPr="00381F61">
        <w:rPr>
          <w:rFonts w:ascii="Garamond" w:hAnsi="Garamond"/>
        </w:rPr>
        <w:t xml:space="preserve">six working papers, a </w:t>
      </w:r>
      <w:r w:rsidR="00206C01" w:rsidRPr="00381F61">
        <w:rPr>
          <w:rFonts w:ascii="Garamond" w:hAnsi="Garamond"/>
          <w:i/>
        </w:rPr>
        <w:t xml:space="preserve">PensionBriefing </w:t>
      </w:r>
      <w:r w:rsidR="00206C01" w:rsidRPr="00381F61">
        <w:rPr>
          <w:rFonts w:ascii="Garamond" w:hAnsi="Garamond"/>
        </w:rPr>
        <w:t xml:space="preserve">and a </w:t>
      </w:r>
      <w:r w:rsidR="00B104CC" w:rsidRPr="00381F61">
        <w:rPr>
          <w:rFonts w:ascii="Garamond" w:hAnsi="Garamond"/>
        </w:rPr>
        <w:t>published article.  They are</w:t>
      </w:r>
      <w:r w:rsidR="00206C01" w:rsidRPr="00381F61">
        <w:rPr>
          <w:rFonts w:ascii="Garamond" w:hAnsi="Garamond"/>
        </w:rPr>
        <w:t xml:space="preserve"> listed </w:t>
      </w:r>
      <w:hyperlink r:id="rId40" w:history="1">
        <w:r w:rsidR="00206C01" w:rsidRPr="00381F61">
          <w:rPr>
            <w:rStyle w:val="Hyperlink"/>
            <w:rFonts w:ascii="Garamond" w:hAnsi="Garamond"/>
          </w:rPr>
          <w:t>here</w:t>
        </w:r>
      </w:hyperlink>
      <w:r w:rsidR="00206C01" w:rsidRPr="00381F61">
        <w:rPr>
          <w:rFonts w:ascii="Garamond" w:hAnsi="Garamond"/>
        </w:rPr>
        <w:t>.</w:t>
      </w:r>
    </w:p>
    <w:p w14:paraId="79BB9197" w14:textId="77777777" w:rsidR="00206C01" w:rsidRPr="00381F61" w:rsidRDefault="00206C01" w:rsidP="00E71CEB">
      <w:pPr>
        <w:jc w:val="both"/>
        <w:rPr>
          <w:rFonts w:ascii="Garamond" w:hAnsi="Garamond"/>
        </w:rPr>
      </w:pPr>
    </w:p>
    <w:p w14:paraId="49974437" w14:textId="095351BF" w:rsidR="00206C01" w:rsidRPr="00381F61" w:rsidRDefault="00206C01" w:rsidP="00E71CEB">
      <w:pPr>
        <w:jc w:val="both"/>
        <w:rPr>
          <w:rFonts w:ascii="Garamond" w:hAnsi="Garamond"/>
          <w:i/>
        </w:rPr>
      </w:pPr>
      <w:r w:rsidRPr="00381F61">
        <w:rPr>
          <w:rFonts w:ascii="Garamond" w:hAnsi="Garamond"/>
        </w:rPr>
        <w:t xml:space="preserve">In summary, there has been no </w:t>
      </w:r>
      <w:r w:rsidR="000704EF" w:rsidRPr="00381F61">
        <w:rPr>
          <w:rFonts w:ascii="Garamond" w:hAnsi="Garamond"/>
        </w:rPr>
        <w:t xml:space="preserve">major </w:t>
      </w:r>
      <w:r w:rsidRPr="00381F61">
        <w:rPr>
          <w:rFonts w:ascii="Garamond" w:hAnsi="Garamond"/>
        </w:rPr>
        <w:t xml:space="preserve">change to the way the MSD administers section 70 despite the significant difficulties highlighted </w:t>
      </w:r>
      <w:r w:rsidR="000A5328" w:rsidRPr="00381F61">
        <w:rPr>
          <w:rFonts w:ascii="Garamond" w:hAnsi="Garamond"/>
        </w:rPr>
        <w:t>by</w:t>
      </w:r>
      <w:r w:rsidRPr="00381F61">
        <w:rPr>
          <w:rFonts w:ascii="Garamond" w:hAnsi="Garamond"/>
        </w:rPr>
        <w:t xml:space="preserve"> the RPRC’s work.  Even Parliament’s Social Services Select Committee expressed concern about anomalies and unfairness but, in April 2013, declined to initiate an enquiry.</w:t>
      </w:r>
    </w:p>
    <w:p w14:paraId="5EB78CF6" w14:textId="77777777" w:rsidR="007C0348" w:rsidRPr="00381F61" w:rsidRDefault="007C0348" w:rsidP="00E71CEB">
      <w:pPr>
        <w:pStyle w:val="NormalWeb"/>
        <w:shd w:val="clear" w:color="auto" w:fill="FFFFFF"/>
        <w:spacing w:before="0" w:beforeAutospacing="0" w:after="0" w:afterAutospacing="0"/>
        <w:jc w:val="both"/>
        <w:rPr>
          <w:rFonts w:ascii="Garamond" w:hAnsi="Garamond"/>
          <w:color w:val="000000"/>
        </w:rPr>
      </w:pPr>
    </w:p>
    <w:p w14:paraId="4B4D1B1C" w14:textId="5A33A311" w:rsidR="004D3263" w:rsidRPr="00381F61" w:rsidRDefault="004D3263" w:rsidP="00E71CEB">
      <w:pPr>
        <w:pStyle w:val="NormalWeb"/>
        <w:shd w:val="clear" w:color="auto" w:fill="FFFFFF"/>
        <w:spacing w:before="0" w:beforeAutospacing="0" w:after="0" w:afterAutospacing="0"/>
        <w:jc w:val="both"/>
        <w:rPr>
          <w:rFonts w:ascii="Garamond" w:hAnsi="Garamond"/>
          <w:color w:val="000000"/>
        </w:rPr>
      </w:pPr>
      <w:r w:rsidRPr="00381F61">
        <w:rPr>
          <w:rFonts w:ascii="Garamond" w:hAnsi="Garamond"/>
          <w:color w:val="000000"/>
        </w:rPr>
        <w:t xml:space="preserve">In brief, the problems with section 70 stem from two aspects of </w:t>
      </w:r>
      <w:r w:rsidR="007C0348" w:rsidRPr="00381F61">
        <w:rPr>
          <w:rFonts w:ascii="Garamond" w:hAnsi="Garamond"/>
          <w:color w:val="000000"/>
        </w:rPr>
        <w:t>the</w:t>
      </w:r>
      <w:r w:rsidRPr="00381F61">
        <w:rPr>
          <w:rFonts w:ascii="Garamond" w:hAnsi="Garamond"/>
          <w:color w:val="000000"/>
        </w:rPr>
        <w:t xml:space="preserve"> design</w:t>
      </w:r>
      <w:r w:rsidR="007C0348" w:rsidRPr="00381F61">
        <w:rPr>
          <w:rFonts w:ascii="Garamond" w:hAnsi="Garamond"/>
          <w:color w:val="000000"/>
        </w:rPr>
        <w:t xml:space="preserve"> of NZS</w:t>
      </w:r>
      <w:r w:rsidRPr="00381F61">
        <w:rPr>
          <w:rFonts w:ascii="Garamond" w:hAnsi="Garamond"/>
          <w:color w:val="000000"/>
        </w:rPr>
        <w:t>:</w:t>
      </w:r>
    </w:p>
    <w:p w14:paraId="25A77DD9" w14:textId="210A88C1" w:rsidR="004D3263" w:rsidRPr="00381F61" w:rsidRDefault="004D3263" w:rsidP="00E71CEB">
      <w:pPr>
        <w:pStyle w:val="NormalWeb"/>
        <w:numPr>
          <w:ilvl w:val="0"/>
          <w:numId w:val="12"/>
        </w:numPr>
        <w:shd w:val="clear" w:color="auto" w:fill="FFFFFF"/>
        <w:spacing w:before="0" w:beforeAutospacing="0" w:after="0" w:afterAutospacing="0"/>
        <w:jc w:val="both"/>
        <w:rPr>
          <w:rFonts w:ascii="Garamond" w:hAnsi="Garamond"/>
          <w:color w:val="000000"/>
        </w:rPr>
      </w:pPr>
      <w:r w:rsidRPr="00381F61">
        <w:rPr>
          <w:rFonts w:ascii="Garamond" w:hAnsi="Garamond"/>
          <w:color w:val="000000"/>
        </w:rPr>
        <w:t xml:space="preserve">The universality of NZS – everyone over </w:t>
      </w:r>
      <w:r w:rsidR="00532B71" w:rsidRPr="00381F61">
        <w:rPr>
          <w:rFonts w:ascii="Garamond" w:hAnsi="Garamond"/>
          <w:color w:val="000000"/>
        </w:rPr>
        <w:t xml:space="preserve">age </w:t>
      </w:r>
      <w:r w:rsidRPr="00381F61">
        <w:rPr>
          <w:rFonts w:ascii="Garamond" w:hAnsi="Garamond"/>
          <w:color w:val="000000"/>
        </w:rPr>
        <w:t>65 receives it, regardless of other income or assets;</w:t>
      </w:r>
    </w:p>
    <w:p w14:paraId="6815E6EC" w14:textId="7B88BC97" w:rsidR="004D3263" w:rsidRPr="00381F61" w:rsidRDefault="004D3263" w:rsidP="00E71CEB">
      <w:pPr>
        <w:pStyle w:val="NormalWeb"/>
        <w:numPr>
          <w:ilvl w:val="0"/>
          <w:numId w:val="12"/>
        </w:numPr>
        <w:shd w:val="clear" w:color="auto" w:fill="FFFFFF"/>
        <w:spacing w:before="0" w:beforeAutospacing="0" w:after="0" w:afterAutospacing="0"/>
        <w:jc w:val="both"/>
        <w:rPr>
          <w:rFonts w:ascii="Garamond" w:hAnsi="Garamond"/>
          <w:color w:val="000000"/>
        </w:rPr>
      </w:pPr>
      <w:r w:rsidRPr="00381F61">
        <w:rPr>
          <w:rFonts w:ascii="Garamond" w:hAnsi="Garamond"/>
          <w:color w:val="000000"/>
        </w:rPr>
        <w:t>The relatively short qualification period (currently 10 years).</w:t>
      </w:r>
    </w:p>
    <w:p w14:paraId="6B02A9D6" w14:textId="3DB2C2FC" w:rsidR="004D3263" w:rsidRPr="00381F61" w:rsidRDefault="004D3263" w:rsidP="00E71CEB">
      <w:pPr>
        <w:pStyle w:val="NormalWeb"/>
        <w:shd w:val="clear" w:color="auto" w:fill="FFFFFF"/>
        <w:spacing w:before="0" w:beforeAutospacing="0" w:after="0" w:afterAutospacing="0"/>
        <w:jc w:val="both"/>
        <w:rPr>
          <w:rFonts w:ascii="Garamond" w:hAnsi="Garamond"/>
          <w:color w:val="000000"/>
        </w:rPr>
      </w:pPr>
    </w:p>
    <w:p w14:paraId="0DEF04CF" w14:textId="1A5ADB45" w:rsidR="00783106" w:rsidRPr="00381F61" w:rsidRDefault="00783106" w:rsidP="00E71CEB">
      <w:pPr>
        <w:pStyle w:val="NormalWeb"/>
        <w:shd w:val="clear" w:color="auto" w:fill="FFFFFF"/>
        <w:spacing w:before="0" w:beforeAutospacing="0" w:after="0" w:afterAutospacing="0"/>
        <w:jc w:val="both"/>
        <w:rPr>
          <w:rFonts w:ascii="Garamond" w:hAnsi="Garamond"/>
          <w:color w:val="000000"/>
        </w:rPr>
      </w:pPr>
      <w:r w:rsidRPr="00381F61">
        <w:rPr>
          <w:rFonts w:ascii="Garamond" w:hAnsi="Garamond"/>
          <w:color w:val="000000"/>
        </w:rPr>
        <w:t>If NZS were calculated by reference to a complete contribution record or a lifetime of residency (as is often the case with similar overseas pensions), we would not need section 70.</w:t>
      </w:r>
    </w:p>
    <w:p w14:paraId="296CDF66" w14:textId="77777777" w:rsidR="00783106" w:rsidRPr="00381F61" w:rsidRDefault="00783106" w:rsidP="00E71CEB">
      <w:pPr>
        <w:pStyle w:val="NormalWeb"/>
        <w:shd w:val="clear" w:color="auto" w:fill="FFFFFF"/>
        <w:spacing w:before="0" w:beforeAutospacing="0" w:after="0" w:afterAutospacing="0"/>
        <w:jc w:val="both"/>
        <w:rPr>
          <w:rFonts w:ascii="Garamond" w:hAnsi="Garamond"/>
          <w:color w:val="000000"/>
        </w:rPr>
      </w:pPr>
    </w:p>
    <w:p w14:paraId="603A7166" w14:textId="09346DC8" w:rsidR="004D3263" w:rsidRPr="00381F61" w:rsidRDefault="009A33FE" w:rsidP="00E71CEB">
      <w:pPr>
        <w:pStyle w:val="NormalWeb"/>
        <w:shd w:val="clear" w:color="auto" w:fill="FFFFFF"/>
        <w:spacing w:before="0" w:beforeAutospacing="0" w:after="0" w:afterAutospacing="0"/>
        <w:jc w:val="both"/>
        <w:rPr>
          <w:rFonts w:ascii="Garamond" w:hAnsi="Garamond"/>
          <w:color w:val="000000"/>
        </w:rPr>
      </w:pPr>
      <w:r w:rsidRPr="00381F61">
        <w:rPr>
          <w:rFonts w:ascii="Garamond" w:hAnsi="Garamond"/>
          <w:color w:val="000000"/>
        </w:rPr>
        <w:t xml:space="preserve">The </w:t>
      </w:r>
      <w:r w:rsidR="004D3263" w:rsidRPr="00381F61">
        <w:rPr>
          <w:rFonts w:ascii="Garamond" w:hAnsi="Garamond"/>
          <w:color w:val="000000"/>
        </w:rPr>
        <w:t>DDP</w:t>
      </w:r>
      <w:r w:rsidRPr="00381F61">
        <w:rPr>
          <w:rFonts w:ascii="Garamond" w:hAnsi="Garamond"/>
          <w:color w:val="000000"/>
        </w:rPr>
        <w:t>’s underpinning principle</w:t>
      </w:r>
      <w:r w:rsidR="004D3263" w:rsidRPr="00381F61">
        <w:rPr>
          <w:rFonts w:ascii="Garamond" w:hAnsi="Garamond"/>
          <w:color w:val="000000"/>
        </w:rPr>
        <w:t xml:space="preserve"> is that a New Zealand resident should not receive two Tier 1 age pensions</w:t>
      </w:r>
      <w:r w:rsidR="00797D36" w:rsidRPr="00381F61">
        <w:rPr>
          <w:rFonts w:ascii="Garamond" w:hAnsi="Garamond"/>
          <w:color w:val="000000"/>
        </w:rPr>
        <w:t xml:space="preserve"> and we support that principle.  It does not matter if a pensioner has ‘contributed’ to the other country’s pension;</w:t>
      </w:r>
      <w:r w:rsidR="008B481F" w:rsidRPr="00381F61">
        <w:rPr>
          <w:rFonts w:ascii="Garamond" w:hAnsi="Garamond"/>
          <w:color w:val="000000"/>
        </w:rPr>
        <w:t xml:space="preserve"> nor does it matter if that pension has </w:t>
      </w:r>
      <w:r w:rsidR="00B104CC" w:rsidRPr="00381F61">
        <w:rPr>
          <w:rFonts w:ascii="Garamond" w:hAnsi="Garamond"/>
          <w:color w:val="000000"/>
        </w:rPr>
        <w:t>‘accrued’ by years of residence or</w:t>
      </w:r>
      <w:r w:rsidR="008B481F" w:rsidRPr="00381F61">
        <w:rPr>
          <w:rFonts w:ascii="Garamond" w:hAnsi="Garamond"/>
          <w:color w:val="000000"/>
        </w:rPr>
        <w:t xml:space="preserve"> years of work</w:t>
      </w:r>
      <w:r w:rsidRPr="00381F61">
        <w:rPr>
          <w:rFonts w:ascii="Garamond" w:hAnsi="Garamond"/>
          <w:color w:val="000000"/>
        </w:rPr>
        <w:t xml:space="preserve"> in that country</w:t>
      </w:r>
      <w:r w:rsidR="008B481F" w:rsidRPr="00381F61">
        <w:rPr>
          <w:rFonts w:ascii="Garamond" w:hAnsi="Garamond"/>
          <w:color w:val="000000"/>
        </w:rPr>
        <w:t>.  A</w:t>
      </w:r>
      <w:r w:rsidR="00797D36" w:rsidRPr="00381F61">
        <w:rPr>
          <w:rFonts w:ascii="Garamond" w:hAnsi="Garamond"/>
          <w:color w:val="000000"/>
        </w:rPr>
        <w:t xml:space="preserve">s long as that pension performs a similar function to NZS </w:t>
      </w:r>
      <w:r w:rsidR="008B481F" w:rsidRPr="00381F61">
        <w:rPr>
          <w:rFonts w:ascii="Garamond" w:hAnsi="Garamond"/>
          <w:color w:val="000000"/>
        </w:rPr>
        <w:t xml:space="preserve">in the other country </w:t>
      </w:r>
      <w:r w:rsidR="00797D36" w:rsidRPr="00381F61">
        <w:rPr>
          <w:rFonts w:ascii="Garamond" w:hAnsi="Garamond"/>
          <w:color w:val="000000"/>
        </w:rPr>
        <w:t xml:space="preserve">then we agree that </w:t>
      </w:r>
      <w:r w:rsidR="008B481F" w:rsidRPr="00381F61">
        <w:rPr>
          <w:rFonts w:ascii="Garamond" w:hAnsi="Garamond"/>
          <w:color w:val="000000"/>
        </w:rPr>
        <w:t xml:space="preserve">the overseas </w:t>
      </w:r>
      <w:r w:rsidR="00797D36" w:rsidRPr="00381F61">
        <w:rPr>
          <w:rFonts w:ascii="Garamond" w:hAnsi="Garamond"/>
          <w:color w:val="000000"/>
        </w:rPr>
        <w:t xml:space="preserve">pension should be topped up to the level of NZS.  Another way of expressing that is to deduct </w:t>
      </w:r>
      <w:r w:rsidR="002947E9" w:rsidRPr="00381F61">
        <w:rPr>
          <w:rFonts w:ascii="Garamond" w:hAnsi="Garamond"/>
          <w:color w:val="000000"/>
        </w:rPr>
        <w:t xml:space="preserve">the </w:t>
      </w:r>
      <w:r w:rsidR="00797D36" w:rsidRPr="00381F61">
        <w:rPr>
          <w:rFonts w:ascii="Garamond" w:hAnsi="Garamond"/>
          <w:color w:val="000000"/>
        </w:rPr>
        <w:t>overseas pension from NZS.</w:t>
      </w:r>
    </w:p>
    <w:p w14:paraId="31B8F152" w14:textId="53BFBE55" w:rsidR="00797D36" w:rsidRPr="00381F61" w:rsidRDefault="00797D36" w:rsidP="00E71CEB">
      <w:pPr>
        <w:pStyle w:val="NormalWeb"/>
        <w:shd w:val="clear" w:color="auto" w:fill="FFFFFF"/>
        <w:spacing w:before="0" w:beforeAutospacing="0" w:after="0" w:afterAutospacing="0"/>
        <w:jc w:val="both"/>
        <w:rPr>
          <w:rFonts w:ascii="Garamond" w:hAnsi="Garamond"/>
          <w:color w:val="000000"/>
        </w:rPr>
      </w:pPr>
    </w:p>
    <w:p w14:paraId="1C9AC627" w14:textId="663A7C97" w:rsidR="00510B1A" w:rsidRPr="00381F61" w:rsidRDefault="00510B1A" w:rsidP="00E71CEB">
      <w:pPr>
        <w:pStyle w:val="NormalWeb"/>
        <w:shd w:val="clear" w:color="auto" w:fill="FFFFFF"/>
        <w:spacing w:before="0" w:beforeAutospacing="0" w:after="0" w:afterAutospacing="0"/>
        <w:jc w:val="both"/>
        <w:rPr>
          <w:rFonts w:ascii="Garamond" w:hAnsi="Garamond"/>
          <w:color w:val="000000"/>
        </w:rPr>
      </w:pPr>
      <w:r w:rsidRPr="00381F61">
        <w:rPr>
          <w:rFonts w:ascii="Garamond" w:hAnsi="Garamond"/>
          <w:color w:val="000000"/>
        </w:rPr>
        <w:t xml:space="preserve">At March 2016, 83,982 </w:t>
      </w:r>
      <w:r w:rsidR="005457F4" w:rsidRPr="00381F61">
        <w:rPr>
          <w:rFonts w:ascii="Garamond" w:hAnsi="Garamond"/>
          <w:color w:val="000000"/>
        </w:rPr>
        <w:t>or 12.1</w:t>
      </w:r>
      <w:r w:rsidR="00243F3F" w:rsidRPr="00381F61">
        <w:rPr>
          <w:rFonts w:ascii="Garamond" w:hAnsi="Garamond"/>
          <w:color w:val="000000"/>
        </w:rPr>
        <w:t xml:space="preserve">% of all </w:t>
      </w:r>
      <w:r w:rsidRPr="00381F61">
        <w:rPr>
          <w:rFonts w:ascii="Garamond" w:hAnsi="Garamond"/>
          <w:color w:val="000000"/>
        </w:rPr>
        <w:t>NZS recipients</w:t>
      </w:r>
      <w:r w:rsidR="005457F4" w:rsidRPr="00381F61">
        <w:rPr>
          <w:rStyle w:val="FootnoteReference"/>
          <w:rFonts w:ascii="Garamond" w:hAnsi="Garamond"/>
          <w:color w:val="000000"/>
        </w:rPr>
        <w:footnoteReference w:id="95"/>
      </w:r>
      <w:r w:rsidRPr="00381F61">
        <w:rPr>
          <w:rFonts w:ascii="Garamond" w:hAnsi="Garamond"/>
          <w:color w:val="000000"/>
        </w:rPr>
        <w:t xml:space="preserve"> were affected by the DDP with pensions totalling $</w:t>
      </w:r>
      <w:r w:rsidR="00D73954" w:rsidRPr="00381F61">
        <w:rPr>
          <w:rFonts w:ascii="Garamond" w:hAnsi="Garamond"/>
          <w:color w:val="000000"/>
        </w:rPr>
        <w:t>343 million</w:t>
      </w:r>
      <w:r w:rsidRPr="00381F61">
        <w:rPr>
          <w:rFonts w:ascii="Garamond" w:hAnsi="Garamond"/>
          <w:color w:val="000000"/>
        </w:rPr>
        <w:t xml:space="preserve"> a year from 70 countries</w:t>
      </w:r>
      <w:r w:rsidR="00D73954" w:rsidRPr="00381F61">
        <w:rPr>
          <w:rStyle w:val="FootnoteReference"/>
          <w:rFonts w:ascii="Garamond" w:hAnsi="Garamond"/>
          <w:color w:val="000000"/>
        </w:rPr>
        <w:footnoteReference w:id="96"/>
      </w:r>
      <w:r w:rsidRPr="00381F61">
        <w:rPr>
          <w:rFonts w:ascii="Garamond" w:hAnsi="Garamond"/>
          <w:color w:val="000000"/>
        </w:rPr>
        <w:t>.</w:t>
      </w:r>
      <w:r w:rsidR="003F0739" w:rsidRPr="00381F61">
        <w:rPr>
          <w:rFonts w:ascii="Garamond" w:hAnsi="Garamond"/>
          <w:color w:val="000000"/>
        </w:rPr>
        <w:t xml:space="preserve">  For the eight countries most affected, t</w:t>
      </w:r>
      <w:r w:rsidR="00F814BC" w:rsidRPr="00381F61">
        <w:rPr>
          <w:rFonts w:ascii="Garamond" w:hAnsi="Garamond"/>
          <w:color w:val="000000"/>
        </w:rPr>
        <w:t>he number of pensions</w:t>
      </w:r>
      <w:r w:rsidR="00D73954" w:rsidRPr="00381F61">
        <w:rPr>
          <w:rFonts w:ascii="Garamond" w:hAnsi="Garamond"/>
          <w:color w:val="000000"/>
        </w:rPr>
        <w:t xml:space="preserve"> </w:t>
      </w:r>
      <w:r w:rsidR="00F814BC" w:rsidRPr="00381F61">
        <w:rPr>
          <w:rFonts w:ascii="Garamond" w:hAnsi="Garamond"/>
          <w:color w:val="000000"/>
        </w:rPr>
        <w:t>has grown by 43%</w:t>
      </w:r>
      <w:r w:rsidR="00B8178A" w:rsidRPr="00381F61">
        <w:rPr>
          <w:rFonts w:ascii="Garamond" w:hAnsi="Garamond"/>
          <w:color w:val="000000"/>
        </w:rPr>
        <w:t xml:space="preserve"> in five years (to 2016)</w:t>
      </w:r>
      <w:r w:rsidR="00F814BC" w:rsidRPr="00381F61">
        <w:rPr>
          <w:rFonts w:ascii="Garamond" w:hAnsi="Garamond"/>
          <w:color w:val="000000"/>
        </w:rPr>
        <w:t>.  With increasing international mobility, the</w:t>
      </w:r>
      <w:r w:rsidR="002A79E6" w:rsidRPr="00381F61">
        <w:rPr>
          <w:rFonts w:ascii="Garamond" w:hAnsi="Garamond"/>
          <w:color w:val="000000"/>
        </w:rPr>
        <w:t xml:space="preserve"> proportion of pensioners affected by the DDP will grow.</w:t>
      </w:r>
    </w:p>
    <w:p w14:paraId="511FA492" w14:textId="77777777" w:rsidR="00510B1A" w:rsidRPr="00381F61" w:rsidRDefault="00510B1A" w:rsidP="00E71CEB">
      <w:pPr>
        <w:pStyle w:val="NormalWeb"/>
        <w:shd w:val="clear" w:color="auto" w:fill="FFFFFF"/>
        <w:spacing w:before="0" w:beforeAutospacing="0" w:after="0" w:afterAutospacing="0"/>
        <w:jc w:val="both"/>
        <w:rPr>
          <w:rFonts w:ascii="Garamond" w:hAnsi="Garamond"/>
          <w:color w:val="000000"/>
        </w:rPr>
      </w:pPr>
    </w:p>
    <w:p w14:paraId="12755856" w14:textId="3F9485C8" w:rsidR="00797D36" w:rsidRPr="00381F61" w:rsidRDefault="00797D36" w:rsidP="00E71CEB">
      <w:pPr>
        <w:pStyle w:val="NormalWeb"/>
        <w:shd w:val="clear" w:color="auto" w:fill="FFFFFF"/>
        <w:spacing w:before="0" w:beforeAutospacing="0" w:after="0" w:afterAutospacing="0"/>
        <w:jc w:val="both"/>
        <w:rPr>
          <w:rFonts w:ascii="Garamond" w:hAnsi="Garamond"/>
          <w:color w:val="000000"/>
        </w:rPr>
      </w:pPr>
      <w:r w:rsidRPr="00381F61">
        <w:rPr>
          <w:rFonts w:ascii="Garamond" w:hAnsi="Garamond"/>
          <w:color w:val="000000"/>
        </w:rPr>
        <w:t xml:space="preserve">The </w:t>
      </w:r>
      <w:r w:rsidR="002A79E6" w:rsidRPr="00381F61">
        <w:rPr>
          <w:rFonts w:ascii="Garamond" w:hAnsi="Garamond"/>
          <w:color w:val="000000"/>
        </w:rPr>
        <w:t>DDP’s principle is correct but the devil</w:t>
      </w:r>
      <w:r w:rsidRPr="00381F61">
        <w:rPr>
          <w:rFonts w:ascii="Garamond" w:hAnsi="Garamond"/>
          <w:color w:val="000000"/>
        </w:rPr>
        <w:t xml:space="preserve"> is in the detail.  Here are the </w:t>
      </w:r>
      <w:r w:rsidR="00B8178A" w:rsidRPr="00381F61">
        <w:rPr>
          <w:rFonts w:ascii="Garamond" w:hAnsi="Garamond"/>
          <w:color w:val="000000"/>
        </w:rPr>
        <w:t>main</w:t>
      </w:r>
      <w:r w:rsidRPr="00381F61">
        <w:rPr>
          <w:rFonts w:ascii="Garamond" w:hAnsi="Garamond"/>
          <w:color w:val="000000"/>
        </w:rPr>
        <w:t xml:space="preserve"> difficulties with the MSD’s current policy:</w:t>
      </w:r>
    </w:p>
    <w:p w14:paraId="1F15DF6C" w14:textId="77777777" w:rsidR="00797D36" w:rsidRPr="00381F61" w:rsidRDefault="00797D36" w:rsidP="00E71CEB">
      <w:pPr>
        <w:pStyle w:val="NormalWeb"/>
        <w:shd w:val="clear" w:color="auto" w:fill="FFFFFF"/>
        <w:spacing w:before="0" w:beforeAutospacing="0" w:after="0" w:afterAutospacing="0"/>
        <w:jc w:val="both"/>
        <w:rPr>
          <w:rFonts w:ascii="Garamond" w:hAnsi="Garamond"/>
          <w:color w:val="000000"/>
        </w:rPr>
      </w:pPr>
    </w:p>
    <w:p w14:paraId="6A5812C5" w14:textId="5112E635" w:rsidR="00752BF8" w:rsidRPr="00381F61" w:rsidRDefault="008B481F" w:rsidP="00E71CEB">
      <w:pPr>
        <w:pStyle w:val="NormalWeb"/>
        <w:numPr>
          <w:ilvl w:val="0"/>
          <w:numId w:val="30"/>
        </w:numPr>
        <w:shd w:val="clear" w:color="auto" w:fill="FFFFFF"/>
        <w:spacing w:before="0" w:beforeAutospacing="0" w:after="0" w:afterAutospacing="0"/>
        <w:jc w:val="both"/>
        <w:rPr>
          <w:rFonts w:ascii="Garamond" w:hAnsi="Garamond"/>
          <w:color w:val="000000"/>
        </w:rPr>
      </w:pPr>
      <w:r w:rsidRPr="00381F61">
        <w:rPr>
          <w:rFonts w:ascii="Garamond" w:hAnsi="Garamond"/>
          <w:b/>
          <w:color w:val="000000"/>
        </w:rPr>
        <w:t xml:space="preserve">Spousal pensions:  </w:t>
      </w:r>
      <w:r w:rsidRPr="00381F61">
        <w:rPr>
          <w:rFonts w:ascii="Garamond" w:hAnsi="Garamond"/>
          <w:color w:val="000000"/>
        </w:rPr>
        <w:t xml:space="preserve">NZS is an individual entitlement (and is relatively unusual </w:t>
      </w:r>
      <w:r w:rsidR="001702A9" w:rsidRPr="00381F61">
        <w:rPr>
          <w:rFonts w:ascii="Garamond" w:hAnsi="Garamond"/>
          <w:color w:val="000000"/>
        </w:rPr>
        <w:t xml:space="preserve">internationally </w:t>
      </w:r>
      <w:r w:rsidRPr="00381F61">
        <w:rPr>
          <w:rFonts w:ascii="Garamond" w:hAnsi="Garamond"/>
          <w:color w:val="000000"/>
        </w:rPr>
        <w:t>in that regard) – each person who qualifies receives the pension directly</w:t>
      </w:r>
      <w:r w:rsidR="007C0348" w:rsidRPr="00381F61">
        <w:rPr>
          <w:rFonts w:ascii="Garamond" w:hAnsi="Garamond"/>
          <w:color w:val="000000"/>
        </w:rPr>
        <w:t xml:space="preserve"> – the amounts differ by status (married, ‘single sharing accommodation’ and ‘single living alone’)</w:t>
      </w:r>
      <w:r w:rsidRPr="00381F61">
        <w:rPr>
          <w:rFonts w:ascii="Garamond" w:hAnsi="Garamond"/>
          <w:color w:val="000000"/>
        </w:rPr>
        <w:t xml:space="preserve">.  </w:t>
      </w:r>
      <w:r w:rsidR="00752BF8" w:rsidRPr="00381F61">
        <w:rPr>
          <w:rFonts w:ascii="Garamond" w:hAnsi="Garamond"/>
          <w:color w:val="000000"/>
        </w:rPr>
        <w:t>Until 1 July 2020</w:t>
      </w:r>
      <w:r w:rsidR="007C0348" w:rsidRPr="00381F61">
        <w:rPr>
          <w:rFonts w:ascii="Garamond" w:hAnsi="Garamond"/>
          <w:color w:val="000000"/>
        </w:rPr>
        <w:t xml:space="preserve">, if Spouse A </w:t>
      </w:r>
      <w:r w:rsidR="00987396" w:rsidRPr="00381F61">
        <w:rPr>
          <w:rFonts w:ascii="Garamond" w:hAnsi="Garamond"/>
          <w:color w:val="000000"/>
        </w:rPr>
        <w:t xml:space="preserve">(married to Spouse B) </w:t>
      </w:r>
      <w:r w:rsidR="007C0348" w:rsidRPr="00381F61">
        <w:rPr>
          <w:rFonts w:ascii="Garamond" w:hAnsi="Garamond"/>
          <w:color w:val="000000"/>
        </w:rPr>
        <w:t>receive</w:t>
      </w:r>
      <w:r w:rsidR="00752BF8" w:rsidRPr="00381F61">
        <w:rPr>
          <w:rFonts w:ascii="Garamond" w:hAnsi="Garamond"/>
          <w:color w:val="000000"/>
        </w:rPr>
        <w:t>d</w:t>
      </w:r>
      <w:r w:rsidR="007C0348" w:rsidRPr="00381F61">
        <w:rPr>
          <w:rFonts w:ascii="Garamond" w:hAnsi="Garamond"/>
          <w:color w:val="000000"/>
        </w:rPr>
        <w:t xml:space="preserve"> an overseas pension that </w:t>
      </w:r>
      <w:r w:rsidR="00752BF8" w:rsidRPr="00381F61">
        <w:rPr>
          <w:rFonts w:ascii="Garamond" w:hAnsi="Garamond"/>
          <w:color w:val="000000"/>
        </w:rPr>
        <w:t>wa</w:t>
      </w:r>
      <w:r w:rsidR="007C0348" w:rsidRPr="00381F61">
        <w:rPr>
          <w:rFonts w:ascii="Garamond" w:hAnsi="Garamond"/>
          <w:color w:val="000000"/>
        </w:rPr>
        <w:t>s greater than NZS, the excess reduce</w:t>
      </w:r>
      <w:r w:rsidR="00752BF8" w:rsidRPr="00381F61">
        <w:rPr>
          <w:rFonts w:ascii="Garamond" w:hAnsi="Garamond"/>
          <w:color w:val="000000"/>
        </w:rPr>
        <w:t>d</w:t>
      </w:r>
      <w:r w:rsidR="007C0348" w:rsidRPr="00381F61">
        <w:rPr>
          <w:rFonts w:ascii="Garamond" w:hAnsi="Garamond"/>
          <w:color w:val="000000"/>
        </w:rPr>
        <w:t xml:space="preserve"> Spouse B’s pension even though Spouse B has no direct entitlement to that overseas pension and may have never lived in the other country</w:t>
      </w:r>
      <w:r w:rsidR="001702A9" w:rsidRPr="00381F61">
        <w:rPr>
          <w:rFonts w:ascii="Garamond" w:hAnsi="Garamond"/>
          <w:color w:val="000000"/>
        </w:rPr>
        <w:t>, the so-called ‘spousal deduction’</w:t>
      </w:r>
      <w:r w:rsidR="00A477A2" w:rsidRPr="00381F61">
        <w:rPr>
          <w:rStyle w:val="FootnoteReference"/>
          <w:rFonts w:ascii="Garamond" w:hAnsi="Garamond"/>
          <w:color w:val="000000"/>
        </w:rPr>
        <w:footnoteReference w:id="97"/>
      </w:r>
      <w:r w:rsidR="007C0348" w:rsidRPr="00381F61">
        <w:rPr>
          <w:rFonts w:ascii="Garamond" w:hAnsi="Garamond"/>
          <w:color w:val="000000"/>
        </w:rPr>
        <w:t>.</w:t>
      </w:r>
      <w:r w:rsidR="002847ED" w:rsidRPr="00381F61">
        <w:rPr>
          <w:rFonts w:ascii="Garamond" w:hAnsi="Garamond"/>
          <w:color w:val="000000"/>
        </w:rPr>
        <w:t xml:space="preserve">  </w:t>
      </w:r>
    </w:p>
    <w:p w14:paraId="7BF09DBA" w14:textId="77777777" w:rsidR="00752BF8" w:rsidRPr="00381F61" w:rsidRDefault="00752BF8" w:rsidP="00752BF8">
      <w:pPr>
        <w:pStyle w:val="ListParagraph"/>
        <w:widowControl w:val="0"/>
        <w:tabs>
          <w:tab w:val="center" w:pos="4153"/>
        </w:tabs>
        <w:jc w:val="both"/>
        <w:rPr>
          <w:rFonts w:ascii="Garamond" w:hAnsi="Garamond"/>
        </w:rPr>
      </w:pPr>
    </w:p>
    <w:p w14:paraId="0AE67517" w14:textId="7EF4F04C" w:rsidR="00752BF8" w:rsidRPr="00381F61" w:rsidRDefault="00752BF8" w:rsidP="0062635B">
      <w:pPr>
        <w:pStyle w:val="ListParagraph"/>
        <w:widowControl w:val="0"/>
        <w:tabs>
          <w:tab w:val="center" w:pos="4153"/>
        </w:tabs>
        <w:jc w:val="both"/>
        <w:rPr>
          <w:rFonts w:ascii="Garamond" w:hAnsi="Garamond"/>
        </w:rPr>
      </w:pPr>
      <w:r w:rsidRPr="00381F61">
        <w:rPr>
          <w:rFonts w:ascii="Garamond" w:hAnsi="Garamond"/>
        </w:rPr>
        <w:t>However, it seems that this feature of NZS might disappear from 1 July 2020.  An unheralded post-Budget announcement by the Ministry of Social Development</w:t>
      </w:r>
      <w:r w:rsidRPr="00381F61">
        <w:rPr>
          <w:rStyle w:val="FootnoteReference"/>
          <w:rFonts w:ascii="Garamond" w:hAnsi="Garamond"/>
        </w:rPr>
        <w:footnoteReference w:id="98"/>
      </w:r>
      <w:r w:rsidRPr="00381F61">
        <w:rPr>
          <w:rFonts w:ascii="Garamond" w:hAnsi="Garamond"/>
        </w:rPr>
        <w:t xml:space="preserve"> stated:</w:t>
      </w:r>
    </w:p>
    <w:p w14:paraId="3A6393CA" w14:textId="77777777" w:rsidR="00752BF8" w:rsidRPr="00381F61" w:rsidRDefault="00752BF8" w:rsidP="0062635B">
      <w:pPr>
        <w:pStyle w:val="Heading3"/>
        <w:shd w:val="clear" w:color="auto" w:fill="FFFFFF"/>
        <w:spacing w:before="0"/>
        <w:ind w:left="1418"/>
        <w:rPr>
          <w:rFonts w:ascii="Garamond" w:hAnsi="Garamond" w:cs="Arial"/>
          <w:color w:val="222222"/>
          <w:sz w:val="22"/>
          <w:szCs w:val="22"/>
        </w:rPr>
      </w:pPr>
      <w:r w:rsidRPr="00381F61">
        <w:rPr>
          <w:rFonts w:ascii="Garamond" w:hAnsi="Garamond" w:cs="Arial"/>
          <w:color w:val="222222"/>
          <w:sz w:val="22"/>
          <w:szCs w:val="22"/>
        </w:rPr>
        <w:t>“</w:t>
      </w:r>
      <w:r w:rsidRPr="00381F61">
        <w:rPr>
          <w:rFonts w:ascii="Garamond" w:hAnsi="Garamond" w:cs="Arial"/>
          <w:b/>
          <w:bCs/>
          <w:color w:val="222222"/>
          <w:sz w:val="22"/>
          <w:szCs w:val="22"/>
        </w:rPr>
        <w:t>If your partner gets an overseas pension</w:t>
      </w:r>
    </w:p>
    <w:p w14:paraId="5BD92765" w14:textId="6E02B550" w:rsidR="00752BF8" w:rsidRPr="00381F61" w:rsidRDefault="00752BF8" w:rsidP="0062635B">
      <w:pPr>
        <w:pStyle w:val="NormalWeb"/>
        <w:shd w:val="clear" w:color="auto" w:fill="FFFFFF"/>
        <w:spacing w:before="0" w:beforeAutospacing="0" w:after="0" w:afterAutospacing="0"/>
        <w:ind w:left="1418"/>
        <w:rPr>
          <w:rFonts w:ascii="Garamond" w:hAnsi="Garamond" w:cs="Gill Sans"/>
          <w:color w:val="111111"/>
          <w:sz w:val="22"/>
          <w:szCs w:val="22"/>
        </w:rPr>
      </w:pPr>
      <w:r w:rsidRPr="00381F61">
        <w:rPr>
          <w:rFonts w:ascii="Garamond" w:hAnsi="Garamond" w:cs="Gill Sans"/>
          <w:color w:val="111111"/>
          <w:sz w:val="22"/>
          <w:szCs w:val="22"/>
        </w:rPr>
        <w:t>From 1 July 2020, your NZ Super or Veteran’s Pension won’t be affected if your partner’s getting an overseas pension.”</w:t>
      </w:r>
    </w:p>
    <w:p w14:paraId="556A9913" w14:textId="165A51E2" w:rsidR="00752BF8" w:rsidRPr="00381F61" w:rsidRDefault="00752BF8" w:rsidP="0062635B">
      <w:pPr>
        <w:pStyle w:val="ListParagraph"/>
        <w:shd w:val="clear" w:color="auto" w:fill="FFFFFF"/>
        <w:outlineLvl w:val="2"/>
        <w:rPr>
          <w:rFonts w:ascii="Garamond" w:hAnsi="Garamond" w:cs="Gill Sans"/>
          <w:color w:val="111111"/>
          <w:sz w:val="22"/>
          <w:szCs w:val="22"/>
        </w:rPr>
      </w:pPr>
    </w:p>
    <w:p w14:paraId="306B217A" w14:textId="5D167171" w:rsidR="00797D36" w:rsidRPr="00381F61" w:rsidRDefault="00752BF8" w:rsidP="0062635B">
      <w:pPr>
        <w:pStyle w:val="NormalWeb"/>
        <w:shd w:val="clear" w:color="auto" w:fill="FFFFFF"/>
        <w:spacing w:before="0" w:beforeAutospacing="0" w:after="0" w:afterAutospacing="0"/>
        <w:ind w:left="709"/>
        <w:jc w:val="both"/>
        <w:rPr>
          <w:rFonts w:ascii="Garamond" w:hAnsi="Garamond"/>
        </w:rPr>
      </w:pPr>
      <w:r w:rsidRPr="00381F61">
        <w:rPr>
          <w:rFonts w:ascii="Garamond" w:hAnsi="Garamond"/>
        </w:rPr>
        <w:t xml:space="preserve">No further information on this was available at our report’s release date.  </w:t>
      </w:r>
      <w:r w:rsidR="002847ED" w:rsidRPr="00381F61">
        <w:rPr>
          <w:rFonts w:ascii="Garamond" w:hAnsi="Garamond"/>
          <w:color w:val="000000"/>
        </w:rPr>
        <w:t xml:space="preserve">However, if the MSD can establish a specific spousal allowance as a component </w:t>
      </w:r>
      <w:r w:rsidR="004908B1" w:rsidRPr="00381F61">
        <w:rPr>
          <w:rFonts w:ascii="Garamond" w:hAnsi="Garamond"/>
          <w:color w:val="000000"/>
        </w:rPr>
        <w:t xml:space="preserve">of </w:t>
      </w:r>
      <w:r w:rsidR="00B7537E" w:rsidRPr="00381F61">
        <w:rPr>
          <w:rFonts w:ascii="Garamond" w:hAnsi="Garamond"/>
          <w:color w:val="000000"/>
        </w:rPr>
        <w:t xml:space="preserve">Spouse A’s </w:t>
      </w:r>
      <w:r w:rsidR="004908B1" w:rsidRPr="00381F61">
        <w:rPr>
          <w:rFonts w:ascii="Garamond" w:hAnsi="Garamond"/>
          <w:color w:val="000000"/>
        </w:rPr>
        <w:t>overseas pension</w:t>
      </w:r>
      <w:r w:rsidR="004908B1" w:rsidRPr="00381F61">
        <w:rPr>
          <w:rStyle w:val="FootnoteReference"/>
          <w:rFonts w:ascii="Garamond" w:hAnsi="Garamond"/>
          <w:color w:val="000000"/>
        </w:rPr>
        <w:footnoteReference w:id="99"/>
      </w:r>
      <w:r w:rsidR="004908B1" w:rsidRPr="00381F61">
        <w:rPr>
          <w:rFonts w:ascii="Garamond" w:hAnsi="Garamond"/>
          <w:color w:val="000000"/>
        </w:rPr>
        <w:t xml:space="preserve"> then we think it can reasonably apply that allowance under the DDP to Spouse B’s NZS.</w:t>
      </w:r>
      <w:r w:rsidR="009A33FE" w:rsidRPr="00381F61">
        <w:rPr>
          <w:rFonts w:ascii="Garamond" w:hAnsi="Garamond"/>
          <w:color w:val="000000"/>
        </w:rPr>
        <w:t xml:space="preserve">  The MSD currently makes no such distinction</w:t>
      </w:r>
      <w:r w:rsidR="007E5CC0" w:rsidRPr="00381F61">
        <w:rPr>
          <w:rFonts w:ascii="Garamond" w:hAnsi="Garamond"/>
          <w:color w:val="000000"/>
        </w:rPr>
        <w:t xml:space="preserve"> and should</w:t>
      </w:r>
      <w:r w:rsidR="009A33FE" w:rsidRPr="00381F61">
        <w:rPr>
          <w:rFonts w:ascii="Garamond" w:hAnsi="Garamond"/>
          <w:color w:val="000000"/>
        </w:rPr>
        <w:t>.</w:t>
      </w:r>
    </w:p>
    <w:p w14:paraId="4346585B" w14:textId="18B4E61D" w:rsidR="002A79E6" w:rsidRPr="00381F61" w:rsidRDefault="002A79E6" w:rsidP="00E71CEB">
      <w:pPr>
        <w:pStyle w:val="NormalWeb"/>
        <w:shd w:val="clear" w:color="auto" w:fill="FFFFFF"/>
        <w:spacing w:before="0" w:beforeAutospacing="0" w:after="0" w:afterAutospacing="0"/>
        <w:ind w:left="720"/>
        <w:jc w:val="both"/>
        <w:rPr>
          <w:rFonts w:ascii="Garamond" w:hAnsi="Garamond"/>
          <w:color w:val="000000"/>
        </w:rPr>
      </w:pPr>
    </w:p>
    <w:p w14:paraId="7DFEE244" w14:textId="77777777" w:rsidR="004E4098" w:rsidRPr="00381F61" w:rsidRDefault="007C0348" w:rsidP="00E71CEB">
      <w:pPr>
        <w:pStyle w:val="NormalWeb"/>
        <w:numPr>
          <w:ilvl w:val="0"/>
          <w:numId w:val="30"/>
        </w:numPr>
        <w:shd w:val="clear" w:color="auto" w:fill="FFFFFF"/>
        <w:spacing w:before="0" w:beforeAutospacing="0" w:after="0" w:afterAutospacing="0"/>
        <w:jc w:val="both"/>
        <w:rPr>
          <w:rFonts w:ascii="Garamond" w:hAnsi="Garamond"/>
          <w:color w:val="000000"/>
        </w:rPr>
      </w:pPr>
      <w:r w:rsidRPr="00381F61">
        <w:rPr>
          <w:rFonts w:ascii="Garamond" w:hAnsi="Garamond"/>
          <w:b/>
          <w:color w:val="000000"/>
        </w:rPr>
        <w:t xml:space="preserve">Occupational entitlements: </w:t>
      </w:r>
      <w:r w:rsidR="00B246E5" w:rsidRPr="00381F61">
        <w:rPr>
          <w:rFonts w:ascii="Garamond" w:hAnsi="Garamond"/>
          <w:b/>
          <w:color w:val="000000"/>
        </w:rPr>
        <w:t xml:space="preserve"> </w:t>
      </w:r>
      <w:r w:rsidRPr="00381F61">
        <w:rPr>
          <w:rFonts w:ascii="Garamond" w:hAnsi="Garamond"/>
          <w:color w:val="000000"/>
        </w:rPr>
        <w:t xml:space="preserve">The MSD thinks that if a pension is administered by the government in the other country then it automatically performs a similar function to NZS.  That is wrong though we can see it makes the MSD’s job </w:t>
      </w:r>
      <w:r w:rsidR="008C5718" w:rsidRPr="00381F61">
        <w:rPr>
          <w:rFonts w:ascii="Garamond" w:hAnsi="Garamond"/>
          <w:color w:val="000000"/>
        </w:rPr>
        <w:t xml:space="preserve">much </w:t>
      </w:r>
      <w:r w:rsidRPr="00381F61">
        <w:rPr>
          <w:rFonts w:ascii="Garamond" w:hAnsi="Garamond"/>
          <w:color w:val="000000"/>
        </w:rPr>
        <w:t>easier.</w:t>
      </w:r>
    </w:p>
    <w:p w14:paraId="363B5625" w14:textId="77777777" w:rsidR="004E4098" w:rsidRPr="00381F61" w:rsidRDefault="004E4098" w:rsidP="00891E0F">
      <w:pPr>
        <w:pStyle w:val="ListParagraph"/>
        <w:rPr>
          <w:rFonts w:ascii="Garamond" w:hAnsi="Garamond"/>
          <w:color w:val="000000"/>
          <w:sz w:val="8"/>
          <w:szCs w:val="8"/>
        </w:rPr>
      </w:pPr>
    </w:p>
    <w:p w14:paraId="1071EBA0" w14:textId="1991A7C7" w:rsidR="007C0348" w:rsidRPr="00381F61" w:rsidRDefault="006C1DCD" w:rsidP="00891E0F">
      <w:pPr>
        <w:pStyle w:val="NormalWeb"/>
        <w:shd w:val="clear" w:color="auto" w:fill="FFFFFF"/>
        <w:spacing w:before="0" w:beforeAutospacing="0" w:after="0" w:afterAutospacing="0"/>
        <w:ind w:left="720"/>
        <w:jc w:val="both"/>
        <w:rPr>
          <w:rFonts w:ascii="Garamond" w:hAnsi="Garamond"/>
          <w:color w:val="000000"/>
        </w:rPr>
      </w:pPr>
      <w:r w:rsidRPr="00381F61">
        <w:rPr>
          <w:rFonts w:ascii="Garamond" w:hAnsi="Garamond"/>
          <w:color w:val="000000"/>
        </w:rPr>
        <w:t>Canada illustrates the issue – there are two state-</w:t>
      </w:r>
      <w:r w:rsidRPr="00381F61">
        <w:rPr>
          <w:rFonts w:ascii="Garamond" w:hAnsi="Garamond"/>
          <w:i/>
          <w:color w:val="000000"/>
        </w:rPr>
        <w:t>administered</w:t>
      </w:r>
      <w:r w:rsidRPr="00381F61">
        <w:rPr>
          <w:rFonts w:ascii="Garamond" w:hAnsi="Garamond"/>
          <w:color w:val="000000"/>
        </w:rPr>
        <w:t xml:space="preserve"> pension</w:t>
      </w:r>
      <w:r w:rsidR="008C5718" w:rsidRPr="00381F61">
        <w:rPr>
          <w:rFonts w:ascii="Garamond" w:hAnsi="Garamond"/>
          <w:color w:val="000000"/>
        </w:rPr>
        <w:t>s</w:t>
      </w:r>
      <w:r w:rsidRPr="00381F61">
        <w:rPr>
          <w:rFonts w:ascii="Garamond" w:hAnsi="Garamond"/>
          <w:color w:val="000000"/>
        </w:rPr>
        <w:t>: Tier 1</w:t>
      </w:r>
      <w:r w:rsidR="00E14148" w:rsidRPr="00381F61">
        <w:rPr>
          <w:rFonts w:ascii="Garamond" w:hAnsi="Garamond"/>
          <w:color w:val="000000"/>
        </w:rPr>
        <w:t xml:space="preserve"> (the </w:t>
      </w:r>
      <w:r w:rsidR="00B8178A" w:rsidRPr="00381F61">
        <w:rPr>
          <w:rFonts w:ascii="Garamond" w:hAnsi="Garamond"/>
          <w:color w:val="000000"/>
        </w:rPr>
        <w:t>‘</w:t>
      </w:r>
      <w:r w:rsidR="00E14148" w:rsidRPr="00381F61">
        <w:rPr>
          <w:rFonts w:ascii="Garamond" w:hAnsi="Garamond"/>
          <w:color w:val="000000"/>
        </w:rPr>
        <w:t>Old Age Security</w:t>
      </w:r>
      <w:r w:rsidR="00B8178A" w:rsidRPr="00381F61">
        <w:rPr>
          <w:rFonts w:ascii="Garamond" w:hAnsi="Garamond"/>
          <w:color w:val="000000"/>
        </w:rPr>
        <w:t>’</w:t>
      </w:r>
      <w:r w:rsidR="00E14148" w:rsidRPr="00381F61">
        <w:rPr>
          <w:rFonts w:ascii="Garamond" w:hAnsi="Garamond"/>
          <w:color w:val="000000"/>
        </w:rPr>
        <w:t>)</w:t>
      </w:r>
      <w:r w:rsidRPr="00381F61">
        <w:rPr>
          <w:rFonts w:ascii="Garamond" w:hAnsi="Garamond"/>
          <w:color w:val="000000"/>
        </w:rPr>
        <w:t xml:space="preserve"> performs a similar function to NZS a</w:t>
      </w:r>
      <w:r w:rsidR="00B8178A" w:rsidRPr="00381F61">
        <w:rPr>
          <w:rFonts w:ascii="Garamond" w:hAnsi="Garamond"/>
          <w:color w:val="000000"/>
        </w:rPr>
        <w:t>nd should be subject to the DDP.  Tier 2 (the Canada Pension Plan or its mirror, the Quebec Pension Plan) is entirely different. It is wholly funded by members and their employers and is very like the Tier 3 private occupational pensions that are common in many countries</w:t>
      </w:r>
      <w:r w:rsidR="00914968" w:rsidRPr="00381F61">
        <w:rPr>
          <w:rStyle w:val="FootnoteReference"/>
          <w:rFonts w:ascii="Garamond" w:hAnsi="Garamond"/>
          <w:color w:val="000000"/>
        </w:rPr>
        <w:footnoteReference w:id="100"/>
      </w:r>
      <w:r w:rsidR="00966E2B" w:rsidRPr="00381F61">
        <w:rPr>
          <w:rFonts w:ascii="Garamond" w:hAnsi="Garamond"/>
          <w:color w:val="000000"/>
        </w:rPr>
        <w:t xml:space="preserve">.  Although the </w:t>
      </w:r>
      <w:r w:rsidR="002847ED" w:rsidRPr="00381F61">
        <w:rPr>
          <w:rFonts w:ascii="Garamond" w:hAnsi="Garamond"/>
          <w:color w:val="000000"/>
        </w:rPr>
        <w:t xml:space="preserve">Tier 2 </w:t>
      </w:r>
      <w:r w:rsidR="00966E2B" w:rsidRPr="00381F61">
        <w:rPr>
          <w:rFonts w:ascii="Garamond" w:hAnsi="Garamond"/>
          <w:color w:val="000000"/>
        </w:rPr>
        <w:t>CPP is admini</w:t>
      </w:r>
      <w:r w:rsidR="002847ED" w:rsidRPr="00381F61">
        <w:rPr>
          <w:rFonts w:ascii="Garamond" w:hAnsi="Garamond"/>
          <w:color w:val="000000"/>
        </w:rPr>
        <w:t>stered by the Canadian</w:t>
      </w:r>
      <w:r w:rsidR="00966E2B" w:rsidRPr="00381F61">
        <w:rPr>
          <w:rFonts w:ascii="Garamond" w:hAnsi="Garamond"/>
          <w:color w:val="000000"/>
        </w:rPr>
        <w:t xml:space="preserve"> government (and the QPP </w:t>
      </w:r>
      <w:r w:rsidR="002847ED" w:rsidRPr="00381F61">
        <w:rPr>
          <w:rFonts w:ascii="Garamond" w:hAnsi="Garamond"/>
          <w:color w:val="000000"/>
        </w:rPr>
        <w:t>by the province of Quebec), there is no possible justification for suggesting that it performs a similar public policy role to NZS.</w:t>
      </w:r>
      <w:r w:rsidR="008C5718" w:rsidRPr="00381F61">
        <w:rPr>
          <w:rFonts w:ascii="Garamond" w:hAnsi="Garamond"/>
          <w:color w:val="000000"/>
        </w:rPr>
        <w:t xml:space="preserve">  The fact that section 70 gives the MSD the power to say it does (as demonstrated by the unsuccessful appeals by affected pensioners) does not justify the MSD’s position.</w:t>
      </w:r>
    </w:p>
    <w:p w14:paraId="7CB87AE3" w14:textId="77777777" w:rsidR="002A79E6" w:rsidRPr="00381F61" w:rsidRDefault="002A79E6" w:rsidP="00E71CEB">
      <w:pPr>
        <w:pStyle w:val="NormalWeb"/>
        <w:shd w:val="clear" w:color="auto" w:fill="FFFFFF"/>
        <w:spacing w:before="0" w:beforeAutospacing="0" w:after="0" w:afterAutospacing="0"/>
        <w:ind w:left="709"/>
        <w:jc w:val="both"/>
        <w:rPr>
          <w:rFonts w:ascii="Garamond" w:hAnsi="Garamond"/>
          <w:color w:val="000000"/>
        </w:rPr>
      </w:pPr>
    </w:p>
    <w:p w14:paraId="4D3F6CAC" w14:textId="0152006A" w:rsidR="002A79E6" w:rsidRPr="00381F61" w:rsidRDefault="002A79E6" w:rsidP="00E71CEB">
      <w:pPr>
        <w:pStyle w:val="NormalWeb"/>
        <w:numPr>
          <w:ilvl w:val="0"/>
          <w:numId w:val="30"/>
        </w:numPr>
        <w:shd w:val="clear" w:color="auto" w:fill="FFFFFF"/>
        <w:spacing w:before="0" w:beforeAutospacing="0" w:after="0" w:afterAutospacing="0"/>
        <w:jc w:val="both"/>
        <w:rPr>
          <w:rFonts w:ascii="Garamond" w:hAnsi="Garamond"/>
          <w:b/>
          <w:color w:val="000000"/>
        </w:rPr>
      </w:pPr>
      <w:r w:rsidRPr="00381F61">
        <w:rPr>
          <w:rFonts w:ascii="Garamond" w:hAnsi="Garamond"/>
          <w:b/>
          <w:color w:val="000000"/>
        </w:rPr>
        <w:t>The particular case of Australia:</w:t>
      </w:r>
      <w:r w:rsidR="008C5718" w:rsidRPr="00381F61">
        <w:rPr>
          <w:rFonts w:ascii="Garamond" w:hAnsi="Garamond"/>
          <w:b/>
          <w:color w:val="000000"/>
        </w:rPr>
        <w:t xml:space="preserve">  </w:t>
      </w:r>
      <w:r w:rsidR="008C5718" w:rsidRPr="00381F61">
        <w:rPr>
          <w:rFonts w:ascii="Garamond" w:hAnsi="Garamond"/>
          <w:color w:val="000000"/>
        </w:rPr>
        <w:t>Australia and New Zealand have similar Tier 1 pensions – nominally universal and currently paid after 10 years’ residence.  Two things make the Australia/New Zealand pension ‘relationship’ different:</w:t>
      </w:r>
    </w:p>
    <w:p w14:paraId="416FB6EB" w14:textId="77777777" w:rsidR="0094426A" w:rsidRPr="00381F61" w:rsidRDefault="0094426A" w:rsidP="0094426A">
      <w:pPr>
        <w:pStyle w:val="NormalWeb"/>
        <w:shd w:val="clear" w:color="auto" w:fill="FFFFFF"/>
        <w:spacing w:before="0" w:beforeAutospacing="0" w:after="0" w:afterAutospacing="0"/>
        <w:ind w:left="709"/>
        <w:jc w:val="both"/>
        <w:rPr>
          <w:rFonts w:ascii="Garamond" w:hAnsi="Garamond"/>
          <w:b/>
          <w:color w:val="000000"/>
          <w:sz w:val="8"/>
          <w:szCs w:val="8"/>
        </w:rPr>
      </w:pPr>
    </w:p>
    <w:p w14:paraId="3AFFC5BF" w14:textId="47B7E5A4" w:rsidR="008C5718" w:rsidRPr="00381F61" w:rsidRDefault="008C5718" w:rsidP="00E71CEB">
      <w:pPr>
        <w:pStyle w:val="NormalWeb"/>
        <w:numPr>
          <w:ilvl w:val="0"/>
          <w:numId w:val="31"/>
        </w:numPr>
        <w:shd w:val="clear" w:color="auto" w:fill="FFFFFF"/>
        <w:spacing w:before="0" w:beforeAutospacing="0" w:after="0" w:afterAutospacing="0"/>
        <w:jc w:val="both"/>
        <w:rPr>
          <w:rFonts w:ascii="Garamond" w:hAnsi="Garamond"/>
          <w:color w:val="000000"/>
        </w:rPr>
      </w:pPr>
      <w:r w:rsidRPr="00381F61">
        <w:rPr>
          <w:rFonts w:ascii="Garamond" w:hAnsi="Garamond"/>
          <w:color w:val="000000"/>
        </w:rPr>
        <w:lastRenderedPageBreak/>
        <w:t xml:space="preserve">Because of the </w:t>
      </w:r>
      <w:r w:rsidR="001702A9" w:rsidRPr="00381F61">
        <w:rPr>
          <w:rFonts w:ascii="Garamond" w:hAnsi="Garamond"/>
          <w:color w:val="000000"/>
        </w:rPr>
        <w:t>2016</w:t>
      </w:r>
      <w:r w:rsidR="00711FDD" w:rsidRPr="00381F61">
        <w:rPr>
          <w:rFonts w:ascii="Garamond" w:hAnsi="Garamond"/>
          <w:color w:val="000000"/>
        </w:rPr>
        <w:t xml:space="preserve"> Social Security Agreement between the two countries</w:t>
      </w:r>
      <w:r w:rsidR="00711FDD" w:rsidRPr="00381F61">
        <w:rPr>
          <w:rStyle w:val="FootnoteReference"/>
          <w:rFonts w:ascii="Garamond" w:hAnsi="Garamond"/>
          <w:color w:val="000000"/>
        </w:rPr>
        <w:footnoteReference w:id="101"/>
      </w:r>
      <w:r w:rsidR="00653F11" w:rsidRPr="00381F61">
        <w:rPr>
          <w:rFonts w:ascii="Garamond" w:hAnsi="Garamond"/>
          <w:color w:val="000000"/>
        </w:rPr>
        <w:t>, residence in either country counts in the other, regardless of nationality;</w:t>
      </w:r>
    </w:p>
    <w:p w14:paraId="5027D83D" w14:textId="77777777" w:rsidR="005F0E96" w:rsidRPr="00381F61" w:rsidRDefault="005F0E96" w:rsidP="005F0E96">
      <w:pPr>
        <w:pStyle w:val="NormalWeb"/>
        <w:shd w:val="clear" w:color="auto" w:fill="FFFFFF"/>
        <w:spacing w:before="0" w:beforeAutospacing="0" w:after="0" w:afterAutospacing="0"/>
        <w:ind w:left="1069"/>
        <w:jc w:val="both"/>
        <w:rPr>
          <w:rFonts w:ascii="Garamond" w:hAnsi="Garamond"/>
          <w:color w:val="000000"/>
          <w:sz w:val="8"/>
          <w:szCs w:val="8"/>
        </w:rPr>
      </w:pPr>
    </w:p>
    <w:p w14:paraId="212B3E55" w14:textId="31EE9009" w:rsidR="00653F11" w:rsidRPr="00381F61" w:rsidRDefault="00653F11" w:rsidP="00E71CEB">
      <w:pPr>
        <w:pStyle w:val="NormalWeb"/>
        <w:numPr>
          <w:ilvl w:val="0"/>
          <w:numId w:val="31"/>
        </w:numPr>
        <w:shd w:val="clear" w:color="auto" w:fill="FFFFFF"/>
        <w:spacing w:before="0" w:beforeAutospacing="0" w:after="0" w:afterAutospacing="0"/>
        <w:jc w:val="both"/>
        <w:rPr>
          <w:rFonts w:ascii="Garamond" w:hAnsi="Garamond"/>
          <w:color w:val="000000"/>
        </w:rPr>
      </w:pPr>
      <w:r w:rsidRPr="00381F61">
        <w:rPr>
          <w:rFonts w:ascii="Garamond" w:hAnsi="Garamond"/>
          <w:color w:val="000000"/>
        </w:rPr>
        <w:t>The Australian ‘Age Pension’ is income- and asset-tested.</w:t>
      </w:r>
    </w:p>
    <w:p w14:paraId="0FBF1E00" w14:textId="77777777" w:rsidR="00653F11" w:rsidRPr="00381F61" w:rsidRDefault="00653F11" w:rsidP="00E71CEB">
      <w:pPr>
        <w:pStyle w:val="NormalWeb"/>
        <w:shd w:val="clear" w:color="auto" w:fill="FFFFFF"/>
        <w:spacing w:before="0" w:beforeAutospacing="0" w:after="0" w:afterAutospacing="0"/>
        <w:ind w:left="709"/>
        <w:jc w:val="both"/>
        <w:rPr>
          <w:rFonts w:ascii="Garamond" w:hAnsi="Garamond"/>
          <w:color w:val="000000"/>
          <w:sz w:val="8"/>
          <w:szCs w:val="8"/>
        </w:rPr>
      </w:pPr>
    </w:p>
    <w:p w14:paraId="28187F4A" w14:textId="7CFFB905" w:rsidR="00653F11" w:rsidRPr="00381F61" w:rsidRDefault="00653F11" w:rsidP="00E71CEB">
      <w:pPr>
        <w:pStyle w:val="NormalWeb"/>
        <w:shd w:val="clear" w:color="auto" w:fill="FFFFFF"/>
        <w:spacing w:before="0" w:beforeAutospacing="0" w:after="0" w:afterAutospacing="0"/>
        <w:ind w:left="709"/>
        <w:jc w:val="both"/>
        <w:rPr>
          <w:rFonts w:ascii="Garamond" w:hAnsi="Garamond"/>
          <w:color w:val="000000"/>
        </w:rPr>
      </w:pPr>
      <w:r w:rsidRPr="00381F61">
        <w:rPr>
          <w:rFonts w:ascii="Garamond" w:hAnsi="Garamond"/>
          <w:color w:val="000000"/>
        </w:rPr>
        <w:t>Australian</w:t>
      </w:r>
      <w:r w:rsidR="00EB35EA" w:rsidRPr="00381F61">
        <w:rPr>
          <w:rFonts w:ascii="Garamond" w:hAnsi="Garamond"/>
          <w:color w:val="000000"/>
        </w:rPr>
        <w:t xml:space="preserve"> residents who fail to qualify </w:t>
      </w:r>
      <w:r w:rsidR="00E919F1" w:rsidRPr="00381F61">
        <w:rPr>
          <w:rFonts w:ascii="Garamond" w:hAnsi="Garamond"/>
          <w:color w:val="000000"/>
        </w:rPr>
        <w:t xml:space="preserve">in Australia </w:t>
      </w:r>
      <w:r w:rsidR="00EB35EA" w:rsidRPr="00381F61">
        <w:rPr>
          <w:rFonts w:ascii="Garamond" w:hAnsi="Garamond"/>
          <w:color w:val="000000"/>
        </w:rPr>
        <w:t>for the Age Pension</w:t>
      </w:r>
      <w:r w:rsidR="0012442E" w:rsidRPr="00381F61">
        <w:rPr>
          <w:rFonts w:ascii="Garamond" w:hAnsi="Garamond"/>
          <w:color w:val="000000"/>
        </w:rPr>
        <w:t xml:space="preserve"> or whose Age Pension is reduced</w:t>
      </w:r>
      <w:r w:rsidR="00EB35EA" w:rsidRPr="00381F61">
        <w:rPr>
          <w:rFonts w:ascii="Garamond" w:hAnsi="Garamond"/>
          <w:color w:val="000000"/>
        </w:rPr>
        <w:t xml:space="preserve"> because of their income/assets can retire in New Zealand on full NZS from the day they arrive in New Zealand (as long as they have at least 10 years’ residence in Australia)</w:t>
      </w:r>
      <w:r w:rsidR="007675DE" w:rsidRPr="00381F61">
        <w:rPr>
          <w:rStyle w:val="FootnoteReference"/>
          <w:rFonts w:ascii="Garamond" w:hAnsi="Garamond"/>
          <w:color w:val="000000"/>
        </w:rPr>
        <w:footnoteReference w:id="102"/>
      </w:r>
      <w:r w:rsidR="00EB35EA" w:rsidRPr="00381F61">
        <w:rPr>
          <w:rFonts w:ascii="Garamond" w:hAnsi="Garamond"/>
          <w:color w:val="000000"/>
        </w:rPr>
        <w:t xml:space="preserve">.  </w:t>
      </w:r>
      <w:r w:rsidR="00E023D6" w:rsidRPr="00381F61">
        <w:rPr>
          <w:rFonts w:ascii="Garamond" w:hAnsi="Garamond"/>
          <w:color w:val="000000"/>
        </w:rPr>
        <w:t>Conversely</w:t>
      </w:r>
      <w:r w:rsidR="00EB35EA" w:rsidRPr="00381F61">
        <w:rPr>
          <w:rFonts w:ascii="Garamond" w:hAnsi="Garamond"/>
          <w:color w:val="000000"/>
        </w:rPr>
        <w:t>, New Zealand superannuitants who retire to Australia, lose NZS and become entitled to the Age Pension and subject to the income/asset tests.  On the face, this seems an unbalanced relationship and leaves New Zealand taxpayers vulnerable.</w:t>
      </w:r>
    </w:p>
    <w:p w14:paraId="388469C6" w14:textId="77777777" w:rsidR="002A79E6" w:rsidRPr="00381F61" w:rsidRDefault="002A79E6" w:rsidP="00E71CEB">
      <w:pPr>
        <w:pStyle w:val="NormalWeb"/>
        <w:shd w:val="clear" w:color="auto" w:fill="FFFFFF"/>
        <w:spacing w:before="0" w:beforeAutospacing="0" w:after="0" w:afterAutospacing="0"/>
        <w:ind w:left="709"/>
        <w:jc w:val="both"/>
        <w:rPr>
          <w:rFonts w:ascii="Garamond" w:hAnsi="Garamond"/>
          <w:color w:val="000000"/>
        </w:rPr>
      </w:pPr>
    </w:p>
    <w:p w14:paraId="0A8C040F" w14:textId="6C707389" w:rsidR="002A79E6" w:rsidRPr="00381F61" w:rsidRDefault="002A79E6" w:rsidP="00E71CEB">
      <w:pPr>
        <w:pStyle w:val="NormalWeb"/>
        <w:numPr>
          <w:ilvl w:val="0"/>
          <w:numId w:val="30"/>
        </w:numPr>
        <w:shd w:val="clear" w:color="auto" w:fill="FFFFFF"/>
        <w:spacing w:before="0" w:beforeAutospacing="0" w:after="0" w:afterAutospacing="0"/>
        <w:jc w:val="both"/>
        <w:rPr>
          <w:rFonts w:ascii="Garamond" w:hAnsi="Garamond"/>
          <w:b/>
          <w:color w:val="000000"/>
        </w:rPr>
      </w:pPr>
      <w:r w:rsidRPr="00381F61">
        <w:rPr>
          <w:rFonts w:ascii="Garamond" w:hAnsi="Garamond"/>
          <w:b/>
          <w:color w:val="000000"/>
        </w:rPr>
        <w:t>The particular case of China:</w:t>
      </w:r>
      <w:r w:rsidR="00EB35EA" w:rsidRPr="00381F61">
        <w:rPr>
          <w:rFonts w:ascii="Garamond" w:hAnsi="Garamond"/>
          <w:b/>
          <w:color w:val="000000"/>
        </w:rPr>
        <w:t xml:space="preserve">  </w:t>
      </w:r>
      <w:r w:rsidR="00EB35EA" w:rsidRPr="00381F61">
        <w:rPr>
          <w:rFonts w:ascii="Garamond" w:hAnsi="Garamond"/>
          <w:color w:val="000000"/>
        </w:rPr>
        <w:t>There is no national pension in China that is equivalent to NZS.</w:t>
      </w:r>
      <w:r w:rsidR="0019259F" w:rsidRPr="00381F61">
        <w:rPr>
          <w:rFonts w:ascii="Garamond" w:hAnsi="Garamond"/>
          <w:color w:val="000000"/>
        </w:rPr>
        <w:t xml:space="preserve"> </w:t>
      </w:r>
      <w:r w:rsidR="00181835" w:rsidRPr="00381F61">
        <w:rPr>
          <w:rFonts w:ascii="Garamond" w:hAnsi="Garamond"/>
          <w:color w:val="000000"/>
        </w:rPr>
        <w:t xml:space="preserve"> </w:t>
      </w:r>
      <w:r w:rsidR="00B9245A" w:rsidRPr="00381F61">
        <w:rPr>
          <w:rFonts w:ascii="Garamond" w:hAnsi="Garamond"/>
          <w:color w:val="000000"/>
        </w:rPr>
        <w:t xml:space="preserve">Individual programmes of various kinds have covered urban and rural, salaried and non-salaried workers separately with </w:t>
      </w:r>
      <w:r w:rsidR="00181835" w:rsidRPr="00381F61">
        <w:rPr>
          <w:rFonts w:ascii="Garamond" w:hAnsi="Garamond"/>
          <w:color w:val="000000"/>
        </w:rPr>
        <w:t>different</w:t>
      </w:r>
      <w:r w:rsidR="00B9245A" w:rsidRPr="00381F61">
        <w:rPr>
          <w:rFonts w:ascii="Garamond" w:hAnsi="Garamond"/>
          <w:color w:val="000000"/>
        </w:rPr>
        <w:t xml:space="preserve"> social insurance and compulsory saving accounts that have been enforced and administered disparately.  Since 2011, the social security programmes are gradually being unified under a national programme.  The government aims to have this completed by 2020</w:t>
      </w:r>
      <w:r w:rsidR="00B9245A" w:rsidRPr="00381F61">
        <w:rPr>
          <w:rStyle w:val="FootnoteReference"/>
          <w:rFonts w:ascii="Garamond" w:hAnsi="Garamond"/>
          <w:color w:val="000000"/>
        </w:rPr>
        <w:footnoteReference w:id="103"/>
      </w:r>
      <w:r w:rsidR="00B9245A" w:rsidRPr="00381F61">
        <w:rPr>
          <w:rFonts w:ascii="Garamond" w:hAnsi="Garamond"/>
          <w:color w:val="000000"/>
        </w:rPr>
        <w:t>.  The minimum pension</w:t>
      </w:r>
      <w:r w:rsidR="00AD0D10" w:rsidRPr="00381F61">
        <w:rPr>
          <w:rFonts w:ascii="Garamond" w:hAnsi="Garamond"/>
          <w:color w:val="000000"/>
        </w:rPr>
        <w:t xml:space="preserve"> under this ‘national’ scheme</w:t>
      </w:r>
      <w:r w:rsidR="00B9245A" w:rsidRPr="00381F61">
        <w:rPr>
          <w:rFonts w:ascii="Garamond" w:hAnsi="Garamond"/>
          <w:color w:val="000000"/>
        </w:rPr>
        <w:t xml:space="preserve"> applies only after 15 years of contributions.</w:t>
      </w:r>
    </w:p>
    <w:p w14:paraId="3DA37057" w14:textId="77777777" w:rsidR="00B9245A" w:rsidRPr="00381F61" w:rsidRDefault="00B9245A" w:rsidP="00E71CEB">
      <w:pPr>
        <w:pStyle w:val="NormalWeb"/>
        <w:shd w:val="clear" w:color="auto" w:fill="FFFFFF"/>
        <w:spacing w:before="0" w:beforeAutospacing="0" w:after="0" w:afterAutospacing="0"/>
        <w:ind w:left="720"/>
        <w:jc w:val="both"/>
        <w:rPr>
          <w:rFonts w:ascii="Garamond" w:hAnsi="Garamond"/>
          <w:b/>
          <w:color w:val="000000"/>
          <w:sz w:val="8"/>
          <w:szCs w:val="8"/>
        </w:rPr>
      </w:pPr>
    </w:p>
    <w:p w14:paraId="4F1D340E" w14:textId="5BE18AF7" w:rsidR="00B9245A" w:rsidRPr="00381F61" w:rsidRDefault="00B9245A" w:rsidP="00E71CEB">
      <w:pPr>
        <w:pStyle w:val="NormalWeb"/>
        <w:shd w:val="clear" w:color="auto" w:fill="FFFFFF"/>
        <w:spacing w:before="0" w:beforeAutospacing="0" w:after="0" w:afterAutospacing="0"/>
        <w:ind w:left="720"/>
        <w:jc w:val="both"/>
        <w:rPr>
          <w:rFonts w:ascii="Garamond" w:hAnsi="Garamond"/>
          <w:color w:val="000000"/>
        </w:rPr>
      </w:pPr>
      <w:r w:rsidRPr="00381F61">
        <w:rPr>
          <w:rFonts w:ascii="Garamond" w:hAnsi="Garamond"/>
          <w:color w:val="000000"/>
        </w:rPr>
        <w:t xml:space="preserve">The relevance of this </w:t>
      </w:r>
      <w:r w:rsidR="00811A6A" w:rsidRPr="00381F61">
        <w:rPr>
          <w:rFonts w:ascii="Garamond" w:hAnsi="Garamond"/>
          <w:color w:val="000000"/>
        </w:rPr>
        <w:t xml:space="preserve">patchy and currently deficient arrangement </w:t>
      </w:r>
      <w:r w:rsidR="006741B9" w:rsidRPr="00381F61">
        <w:rPr>
          <w:rFonts w:ascii="Garamond" w:hAnsi="Garamond"/>
          <w:color w:val="000000"/>
        </w:rPr>
        <w:t xml:space="preserve">to the DDP debate </w:t>
      </w:r>
      <w:r w:rsidR="00811A6A" w:rsidRPr="00381F61">
        <w:rPr>
          <w:rFonts w:ascii="Garamond" w:hAnsi="Garamond"/>
          <w:color w:val="000000"/>
        </w:rPr>
        <w:t>is that Chinese immigrants arrive with no or very small state pensions</w:t>
      </w:r>
      <w:r w:rsidR="006741B9" w:rsidRPr="00381F61">
        <w:rPr>
          <w:rFonts w:ascii="Garamond" w:hAnsi="Garamond"/>
          <w:color w:val="000000"/>
        </w:rPr>
        <w:t xml:space="preserve"> and so the major share of the cost of NZS for this group is borne by New Zealand’s taxpayers.</w:t>
      </w:r>
      <w:r w:rsidR="00181835" w:rsidRPr="00381F61">
        <w:rPr>
          <w:rFonts w:ascii="Garamond" w:hAnsi="Garamond"/>
          <w:color w:val="000000"/>
        </w:rPr>
        <w:t xml:space="preserve">  </w:t>
      </w:r>
      <w:r w:rsidR="008E7C5E" w:rsidRPr="00381F61">
        <w:rPr>
          <w:rFonts w:ascii="Garamond" w:hAnsi="Garamond"/>
          <w:color w:val="000000"/>
        </w:rPr>
        <w:t>In the context of the treatment of immigrants from other countries</w:t>
      </w:r>
      <w:r w:rsidR="006745EA" w:rsidRPr="00381F61">
        <w:rPr>
          <w:rFonts w:ascii="Garamond" w:hAnsi="Garamond"/>
          <w:color w:val="000000"/>
        </w:rPr>
        <w:t>, t</w:t>
      </w:r>
      <w:r w:rsidR="00181835" w:rsidRPr="00381F61">
        <w:rPr>
          <w:rFonts w:ascii="Garamond" w:hAnsi="Garamond"/>
          <w:color w:val="000000"/>
        </w:rPr>
        <w:t>hat seems generous</w:t>
      </w:r>
      <w:r w:rsidR="006745EA" w:rsidRPr="00381F61">
        <w:rPr>
          <w:rStyle w:val="CommentReference"/>
        </w:rPr>
        <w:t>.</w:t>
      </w:r>
    </w:p>
    <w:p w14:paraId="0439C6F2" w14:textId="77777777" w:rsidR="00B8178A" w:rsidRPr="00381F61" w:rsidRDefault="00B8178A" w:rsidP="00E71CEB">
      <w:pPr>
        <w:pStyle w:val="NormalWeb"/>
        <w:shd w:val="clear" w:color="auto" w:fill="FFFFFF"/>
        <w:spacing w:before="0" w:beforeAutospacing="0" w:after="0" w:afterAutospacing="0"/>
        <w:ind w:left="709"/>
        <w:jc w:val="both"/>
        <w:rPr>
          <w:rFonts w:ascii="Garamond" w:hAnsi="Garamond"/>
          <w:b/>
          <w:color w:val="000000"/>
        </w:rPr>
      </w:pPr>
    </w:p>
    <w:p w14:paraId="56A5A8B3" w14:textId="77777777" w:rsidR="00860D53" w:rsidRPr="00381F61" w:rsidRDefault="00B8178A" w:rsidP="00CB3B98">
      <w:pPr>
        <w:pStyle w:val="NormalWeb"/>
        <w:numPr>
          <w:ilvl w:val="0"/>
          <w:numId w:val="30"/>
        </w:numPr>
        <w:shd w:val="clear" w:color="auto" w:fill="FFFFFF"/>
        <w:spacing w:before="0" w:beforeAutospacing="0" w:after="0" w:afterAutospacing="0"/>
        <w:jc w:val="both"/>
        <w:rPr>
          <w:rFonts w:ascii="Garamond" w:hAnsi="Garamond"/>
          <w:b/>
          <w:color w:val="000000"/>
        </w:rPr>
      </w:pPr>
      <w:r w:rsidRPr="00381F61">
        <w:rPr>
          <w:rFonts w:ascii="Garamond" w:hAnsi="Garamond"/>
          <w:b/>
          <w:color w:val="000000"/>
        </w:rPr>
        <w:t>The particular case of the United Kingdom:</w:t>
      </w:r>
      <w:r w:rsidR="006741B9" w:rsidRPr="00381F61">
        <w:rPr>
          <w:rFonts w:ascii="Garamond" w:hAnsi="Garamond"/>
          <w:b/>
          <w:color w:val="000000"/>
        </w:rPr>
        <w:t xml:space="preserve"> </w:t>
      </w:r>
      <w:r w:rsidR="006741B9" w:rsidRPr="00381F61">
        <w:rPr>
          <w:rFonts w:ascii="Garamond" w:hAnsi="Garamond"/>
          <w:color w:val="000000"/>
        </w:rPr>
        <w:t>Until recently, the UK had a two-tier state pension – Tier 1 (the ‘Basic State Pension’) performed a similar function to NZS but was somewhat less generous and depended on a complete contribution record.  Tier 2 was a work-related, defined benefit ‘State Second Pension’ that started in 1978 and was related to workers’ pay and length of membership.  Together, they can reasonably be aggregated for the DDP</w:t>
      </w:r>
      <w:r w:rsidR="00232052" w:rsidRPr="00381F61">
        <w:rPr>
          <w:rStyle w:val="FootnoteReference"/>
          <w:rFonts w:ascii="Garamond" w:hAnsi="Garamond"/>
          <w:color w:val="000000"/>
        </w:rPr>
        <w:footnoteReference w:id="104"/>
      </w:r>
      <w:r w:rsidR="006741B9" w:rsidRPr="00381F61">
        <w:rPr>
          <w:rFonts w:ascii="Garamond" w:hAnsi="Garamond"/>
          <w:color w:val="000000"/>
        </w:rPr>
        <w:t>.</w:t>
      </w:r>
    </w:p>
    <w:p w14:paraId="08134784" w14:textId="77777777" w:rsidR="00860D53" w:rsidRPr="00381F61" w:rsidRDefault="00860D53" w:rsidP="00860D53">
      <w:pPr>
        <w:pStyle w:val="NormalWeb"/>
        <w:shd w:val="clear" w:color="auto" w:fill="FFFFFF"/>
        <w:spacing w:before="0" w:beforeAutospacing="0" w:after="0" w:afterAutospacing="0"/>
        <w:ind w:left="720"/>
        <w:jc w:val="both"/>
        <w:rPr>
          <w:rFonts w:ascii="Garamond" w:hAnsi="Garamond"/>
          <w:b/>
          <w:color w:val="000000"/>
          <w:sz w:val="8"/>
          <w:szCs w:val="8"/>
        </w:rPr>
      </w:pPr>
    </w:p>
    <w:p w14:paraId="39172496" w14:textId="2C45AD3A" w:rsidR="00CB3B98" w:rsidRPr="00381F61" w:rsidRDefault="006741B9" w:rsidP="00860D53">
      <w:pPr>
        <w:pStyle w:val="NormalWeb"/>
        <w:shd w:val="clear" w:color="auto" w:fill="FFFFFF"/>
        <w:spacing w:before="0" w:beforeAutospacing="0" w:after="0" w:afterAutospacing="0"/>
        <w:ind w:left="720"/>
        <w:jc w:val="both"/>
        <w:rPr>
          <w:rFonts w:ascii="Garamond" w:hAnsi="Garamond"/>
          <w:color w:val="000000"/>
        </w:rPr>
      </w:pPr>
      <w:r w:rsidRPr="00381F61">
        <w:rPr>
          <w:rFonts w:ascii="Garamond" w:hAnsi="Garamond"/>
          <w:color w:val="000000"/>
        </w:rPr>
        <w:t xml:space="preserve">However, employers could contract-out of the State Second Pension by providing a private scheme that offered benefits that were at least as generous as the </w:t>
      </w:r>
      <w:r w:rsidR="00024175" w:rsidRPr="00381F61">
        <w:rPr>
          <w:rFonts w:ascii="Garamond" w:hAnsi="Garamond"/>
          <w:color w:val="000000"/>
        </w:rPr>
        <w:t>State Second Pension.  In exchange, both the employer and employees paid reduced ‘National Insurance Contributions’.  Those private, state-equivalent benefits are currently not caught by the DDP whereas the State Second Pension is.  That is inconsistent.</w:t>
      </w:r>
    </w:p>
    <w:p w14:paraId="66AB4454" w14:textId="77777777" w:rsidR="00860D53" w:rsidRPr="00381F61" w:rsidRDefault="00860D53" w:rsidP="00860D53">
      <w:pPr>
        <w:pStyle w:val="NormalWeb"/>
        <w:shd w:val="clear" w:color="auto" w:fill="FFFFFF"/>
        <w:spacing w:before="0" w:beforeAutospacing="0" w:after="0" w:afterAutospacing="0"/>
        <w:ind w:left="720"/>
        <w:jc w:val="both"/>
        <w:rPr>
          <w:rFonts w:ascii="Garamond" w:hAnsi="Garamond"/>
          <w:b/>
          <w:color w:val="000000"/>
        </w:rPr>
      </w:pPr>
    </w:p>
    <w:p w14:paraId="62968C6D" w14:textId="0B3D852F" w:rsidR="00CB3B98" w:rsidRPr="00381F61" w:rsidRDefault="00CB3B98" w:rsidP="00CB3B98">
      <w:pPr>
        <w:pStyle w:val="NormalWeb"/>
        <w:numPr>
          <w:ilvl w:val="0"/>
          <w:numId w:val="30"/>
        </w:numPr>
        <w:shd w:val="clear" w:color="auto" w:fill="FFFFFF"/>
        <w:spacing w:before="0" w:beforeAutospacing="0" w:after="0" w:afterAutospacing="0"/>
        <w:jc w:val="both"/>
        <w:rPr>
          <w:rFonts w:ascii="Garamond" w:hAnsi="Garamond"/>
          <w:b/>
          <w:color w:val="000000"/>
        </w:rPr>
      </w:pPr>
      <w:r w:rsidRPr="00381F61">
        <w:rPr>
          <w:rFonts w:ascii="Garamond" w:hAnsi="Garamond"/>
          <w:b/>
          <w:color w:val="000000"/>
        </w:rPr>
        <w:t>The particular case of the United States:</w:t>
      </w:r>
      <w:r w:rsidR="00860D53" w:rsidRPr="00381F61">
        <w:rPr>
          <w:rFonts w:ascii="Garamond" w:hAnsi="Garamond"/>
          <w:color w:val="000000"/>
        </w:rPr>
        <w:t xml:space="preserve"> NZS and most pensions deducted under sectio</w:t>
      </w:r>
      <w:r w:rsidR="00FD44C7" w:rsidRPr="00381F61">
        <w:rPr>
          <w:rFonts w:ascii="Garamond" w:hAnsi="Garamond"/>
          <w:color w:val="000000"/>
        </w:rPr>
        <w:t xml:space="preserve">n 70 are Tier 1 pensions.  The </w:t>
      </w:r>
      <w:r w:rsidR="00860D53" w:rsidRPr="00381F61">
        <w:rPr>
          <w:rFonts w:ascii="Garamond" w:hAnsi="Garamond"/>
          <w:color w:val="000000"/>
        </w:rPr>
        <w:t xml:space="preserve">US has a Tier 1 pension called </w:t>
      </w:r>
      <w:r w:rsidR="00FD44C7" w:rsidRPr="00381F61">
        <w:rPr>
          <w:rFonts w:ascii="Garamond" w:hAnsi="Garamond"/>
          <w:color w:val="000000"/>
        </w:rPr>
        <w:t>the ‘Supplementary Security Income’ or SSI.  However, it is a poverty-alleviation, low level pension that is paid to very few people – less than 20% receive any SSI.  It cannot be paid outside the US.  The main state pension is at Tier 2 (‘Social Security’) and that is currently deducted under section 70’s DDP.  We think that is correct</w:t>
      </w:r>
      <w:r w:rsidR="001508C9" w:rsidRPr="00381F61">
        <w:rPr>
          <w:rFonts w:ascii="Garamond" w:hAnsi="Garamond"/>
          <w:color w:val="000000"/>
        </w:rPr>
        <w:t>,</w:t>
      </w:r>
      <w:r w:rsidR="00FD44C7" w:rsidRPr="00381F61">
        <w:rPr>
          <w:rFonts w:ascii="Garamond" w:hAnsi="Garamond"/>
          <w:color w:val="000000"/>
        </w:rPr>
        <w:t xml:space="preserve"> but it does illustrate the need to look at each country’s arrangements to see what pension performs a similar role to NZS.</w:t>
      </w:r>
    </w:p>
    <w:p w14:paraId="156B3791" w14:textId="77777777" w:rsidR="002A79E6" w:rsidRPr="00381F61" w:rsidRDefault="002A79E6" w:rsidP="00E71CEB">
      <w:pPr>
        <w:pStyle w:val="NormalWeb"/>
        <w:shd w:val="clear" w:color="auto" w:fill="FFFFFF"/>
        <w:spacing w:before="0" w:beforeAutospacing="0" w:after="0" w:afterAutospacing="0"/>
        <w:jc w:val="both"/>
        <w:rPr>
          <w:rFonts w:ascii="Garamond" w:hAnsi="Garamond"/>
          <w:color w:val="000000"/>
        </w:rPr>
      </w:pPr>
    </w:p>
    <w:p w14:paraId="5A496B43" w14:textId="09AA9312" w:rsidR="00AC3D03" w:rsidRPr="00381F61" w:rsidRDefault="00024175" w:rsidP="0062635B">
      <w:pPr>
        <w:jc w:val="both"/>
        <w:rPr>
          <w:rFonts w:ascii="Garamond" w:hAnsi="Garamond"/>
          <w:sz w:val="22"/>
          <w:szCs w:val="22"/>
        </w:rPr>
      </w:pPr>
      <w:r w:rsidRPr="00381F61">
        <w:rPr>
          <w:rFonts w:ascii="Garamond" w:hAnsi="Garamond"/>
        </w:rPr>
        <w:t>The RPRC has suggested a number of possibl</w:t>
      </w:r>
      <w:r w:rsidR="00AD0D10" w:rsidRPr="00381F61">
        <w:rPr>
          <w:rFonts w:ascii="Garamond" w:hAnsi="Garamond"/>
        </w:rPr>
        <w:t>e reforms and we need to discuss those.</w:t>
      </w:r>
      <w:r w:rsidR="00DF298A" w:rsidRPr="00381F61">
        <w:rPr>
          <w:rFonts w:ascii="Garamond" w:hAnsi="Garamond"/>
        </w:rPr>
        <w:t xml:space="preserve">  The Retiremen</w:t>
      </w:r>
      <w:r w:rsidR="00AC3D03" w:rsidRPr="00381F61">
        <w:rPr>
          <w:rFonts w:ascii="Garamond" w:hAnsi="Garamond"/>
        </w:rPr>
        <w:t xml:space="preserve">t Commissioner </w:t>
      </w:r>
      <w:r w:rsidR="006745EA" w:rsidRPr="00381F61">
        <w:rPr>
          <w:rFonts w:ascii="Garamond" w:hAnsi="Garamond"/>
        </w:rPr>
        <w:t xml:space="preserve">also </w:t>
      </w:r>
      <w:r w:rsidR="00AC3D03" w:rsidRPr="00381F61">
        <w:rPr>
          <w:rFonts w:ascii="Garamond" w:hAnsi="Garamond"/>
        </w:rPr>
        <w:t>recommended “[r]emoving spousal/partner deductions with immediate effect”</w:t>
      </w:r>
      <w:r w:rsidR="00AC3D03" w:rsidRPr="00381F61">
        <w:rPr>
          <w:rStyle w:val="FootnoteReference"/>
          <w:rFonts w:ascii="Garamond" w:hAnsi="Garamond"/>
        </w:rPr>
        <w:footnoteReference w:id="105"/>
      </w:r>
      <w:r w:rsidR="00AC3D03" w:rsidRPr="00381F61">
        <w:rPr>
          <w:rFonts w:ascii="Garamond" w:hAnsi="Garamond"/>
        </w:rPr>
        <w:t xml:space="preserve">.  </w:t>
      </w:r>
      <w:r w:rsidR="006745EA" w:rsidRPr="00381F61">
        <w:rPr>
          <w:rFonts w:ascii="Garamond" w:hAnsi="Garamond"/>
        </w:rPr>
        <w:t>The Budget 2019 announcement seems at last to be responding to those calls for change.  But that is not the only change that should be made to the DDP policy.</w:t>
      </w:r>
    </w:p>
    <w:p w14:paraId="5BB72CC4" w14:textId="77777777" w:rsidR="00024175" w:rsidRPr="00381F61" w:rsidRDefault="00024175" w:rsidP="00E71CEB">
      <w:pPr>
        <w:jc w:val="both"/>
        <w:rPr>
          <w:rFonts w:ascii="Garamond" w:hAnsi="Garamond"/>
        </w:rPr>
      </w:pPr>
    </w:p>
    <w:p w14:paraId="39745AE8" w14:textId="3A1011CA" w:rsidR="00AC3D03" w:rsidRPr="00381F61" w:rsidRDefault="006B40E4" w:rsidP="00E71CEB">
      <w:pPr>
        <w:jc w:val="both"/>
        <w:rPr>
          <w:rFonts w:ascii="Garamond" w:hAnsi="Garamond"/>
        </w:rPr>
      </w:pPr>
      <w:r w:rsidRPr="00381F61">
        <w:rPr>
          <w:rFonts w:ascii="Garamond" w:hAnsi="Garamond"/>
        </w:rPr>
        <w:t xml:space="preserve">The Retirement Commissioner and the government </w:t>
      </w:r>
      <w:r w:rsidR="00127923" w:rsidRPr="00381F61">
        <w:rPr>
          <w:rFonts w:ascii="Garamond" w:hAnsi="Garamond"/>
        </w:rPr>
        <w:t xml:space="preserve">have been </w:t>
      </w:r>
      <w:r w:rsidRPr="00381F61">
        <w:rPr>
          <w:rFonts w:ascii="Garamond" w:hAnsi="Garamond"/>
        </w:rPr>
        <w:t>talking past each other, underlying the main message of this report which is that New Zealand needs better information and a proper, evidence-led discussion.</w:t>
      </w:r>
      <w:r w:rsidR="00F60F48" w:rsidRPr="00381F61">
        <w:rPr>
          <w:rFonts w:ascii="Garamond" w:hAnsi="Garamond"/>
        </w:rPr>
        <w:t xml:space="preserve">  We need to agree the DDP’s principles before discussing the detail</w:t>
      </w:r>
      <w:r w:rsidR="00672E8D" w:rsidRPr="00381F61">
        <w:rPr>
          <w:rFonts w:ascii="Garamond" w:hAnsi="Garamond"/>
        </w:rPr>
        <w:t xml:space="preserve"> and the government must agree to starting that</w:t>
      </w:r>
      <w:r w:rsidR="006745EA" w:rsidRPr="00381F61">
        <w:rPr>
          <w:rFonts w:ascii="Garamond" w:hAnsi="Garamond"/>
        </w:rPr>
        <w:t xml:space="preserve"> fuller</w:t>
      </w:r>
      <w:r w:rsidR="00672E8D" w:rsidRPr="00381F61">
        <w:rPr>
          <w:rFonts w:ascii="Garamond" w:hAnsi="Garamond"/>
        </w:rPr>
        <w:t xml:space="preserve"> discussion.</w:t>
      </w:r>
    </w:p>
    <w:p w14:paraId="34C7D218" w14:textId="1AC8434D" w:rsidR="006B40E4" w:rsidRPr="00381F61" w:rsidRDefault="006B40E4" w:rsidP="00E71CEB">
      <w:pPr>
        <w:jc w:val="both"/>
        <w:rPr>
          <w:rFonts w:ascii="Garamond" w:hAnsi="Garamond"/>
        </w:rPr>
      </w:pPr>
    </w:p>
    <w:p w14:paraId="6A9C66B6" w14:textId="77777777" w:rsidR="00C430B6" w:rsidRPr="00381F61" w:rsidRDefault="00C430B6" w:rsidP="00C430B6">
      <w:pPr>
        <w:jc w:val="both"/>
        <w:rPr>
          <w:rFonts w:ascii="Garamond" w:hAnsi="Garamond"/>
        </w:rPr>
      </w:pPr>
      <w:r w:rsidRPr="00381F61">
        <w:rPr>
          <w:rFonts w:ascii="Garamond" w:hAnsi="Garamond"/>
          <w:b/>
        </w:rPr>
        <w:t>Terms of reference for 2019 Review</w:t>
      </w:r>
    </w:p>
    <w:p w14:paraId="0D1D5718" w14:textId="77777777" w:rsidR="00C430B6" w:rsidRPr="00381F61" w:rsidRDefault="00C430B6" w:rsidP="00C430B6">
      <w:pPr>
        <w:jc w:val="both"/>
        <w:rPr>
          <w:rFonts w:ascii="Garamond" w:hAnsi="Garamond"/>
        </w:rPr>
      </w:pPr>
    </w:p>
    <w:p w14:paraId="0FCA9AAC" w14:textId="6BF5DBD9" w:rsidR="00C430B6" w:rsidRPr="00381F61" w:rsidRDefault="00C430B6" w:rsidP="00C430B6">
      <w:pPr>
        <w:jc w:val="both"/>
        <w:rPr>
          <w:rFonts w:ascii="Garamond" w:hAnsi="Garamond"/>
        </w:rPr>
      </w:pPr>
      <w:r w:rsidRPr="00381F61">
        <w:rPr>
          <w:rFonts w:ascii="Garamond" w:hAnsi="Garamond"/>
        </w:rPr>
        <w:t>There was no mention in the Terms of Reference for the Retirement Commissioner’s 2019 Review of the issues associated with the DDP under section 70 of the Social Security Act 1964.  Past governments have ignored the recommendations of many reviews.</w:t>
      </w:r>
    </w:p>
    <w:p w14:paraId="4FB1B831" w14:textId="6FF407D7" w:rsidR="00C430B6" w:rsidRPr="00381F61" w:rsidRDefault="00C430B6" w:rsidP="00C430B6">
      <w:pPr>
        <w:jc w:val="both"/>
        <w:rPr>
          <w:rFonts w:ascii="Garamond" w:hAnsi="Garamond"/>
        </w:rPr>
      </w:pPr>
    </w:p>
    <w:p w14:paraId="7FDDAD5A" w14:textId="4DD50D8F" w:rsidR="00C430B6" w:rsidRPr="00381F61" w:rsidRDefault="00C430B6" w:rsidP="00C430B6">
      <w:pPr>
        <w:jc w:val="both"/>
        <w:rPr>
          <w:rFonts w:ascii="Garamond" w:hAnsi="Garamond"/>
        </w:rPr>
      </w:pPr>
      <w:r w:rsidRPr="00381F61">
        <w:rPr>
          <w:rFonts w:ascii="Garamond" w:hAnsi="Garamond"/>
        </w:rPr>
        <w:t>We do not, therefore, expect the 2019 Review to address this on-going problem.  However, at some stage the following questions will need to be addressed.</w:t>
      </w:r>
      <w:r w:rsidR="00252FB0" w:rsidRPr="00381F61">
        <w:rPr>
          <w:rFonts w:ascii="Garamond" w:hAnsi="Garamond"/>
        </w:rPr>
        <w:t xml:space="preserve">  Ignoring these will not make them go away.</w:t>
      </w:r>
    </w:p>
    <w:p w14:paraId="0F9A6E4C" w14:textId="77777777" w:rsidR="002C5513" w:rsidRPr="00381F61" w:rsidRDefault="002C5513" w:rsidP="00E71CEB">
      <w:pPr>
        <w:jc w:val="both"/>
        <w:rPr>
          <w:rFonts w:ascii="Garamond" w:hAnsi="Garamond"/>
          <w:b/>
        </w:rPr>
      </w:pPr>
    </w:p>
    <w:p w14:paraId="1D3D4CB9" w14:textId="199BF889" w:rsidR="00024175" w:rsidRPr="00381F61" w:rsidRDefault="00024175" w:rsidP="00E71CEB">
      <w:pPr>
        <w:jc w:val="both"/>
        <w:rPr>
          <w:rFonts w:ascii="Garamond" w:hAnsi="Garamond"/>
          <w:b/>
        </w:rPr>
      </w:pPr>
      <w:r w:rsidRPr="00381F61">
        <w:rPr>
          <w:rFonts w:ascii="Garamond" w:hAnsi="Garamond"/>
          <w:b/>
        </w:rPr>
        <w:t>Questions New Zealand needs to discuss</w:t>
      </w:r>
      <w:r w:rsidR="00A256AB" w:rsidRPr="00381F61">
        <w:rPr>
          <w:rFonts w:ascii="Garamond" w:hAnsi="Garamond"/>
          <w:b/>
        </w:rPr>
        <w:t xml:space="preserve"> on overseas pensions and section 70:</w:t>
      </w:r>
    </w:p>
    <w:p w14:paraId="642C06F5" w14:textId="77777777" w:rsidR="00024175" w:rsidRPr="00381F61" w:rsidRDefault="00024175" w:rsidP="00E71CEB">
      <w:pPr>
        <w:jc w:val="both"/>
        <w:rPr>
          <w:rFonts w:ascii="Garamond" w:hAnsi="Garamond"/>
          <w:b/>
        </w:rPr>
      </w:pPr>
    </w:p>
    <w:p w14:paraId="0813DCE5" w14:textId="40F95514" w:rsidR="00024175" w:rsidRPr="00381F61" w:rsidRDefault="00024175" w:rsidP="00E71CEB">
      <w:pPr>
        <w:pStyle w:val="ListParagraph"/>
        <w:numPr>
          <w:ilvl w:val="0"/>
          <w:numId w:val="32"/>
        </w:numPr>
        <w:jc w:val="both"/>
        <w:rPr>
          <w:rFonts w:ascii="Garamond" w:hAnsi="Garamond"/>
        </w:rPr>
      </w:pPr>
      <w:r w:rsidRPr="00381F61">
        <w:rPr>
          <w:rFonts w:ascii="Garamond" w:hAnsi="Garamond"/>
        </w:rPr>
        <w:t>Should New Zealand ‘look after’ (pro</w:t>
      </w:r>
      <w:r w:rsidR="00470BF5" w:rsidRPr="00381F61">
        <w:rPr>
          <w:rFonts w:ascii="Garamond" w:hAnsi="Garamond"/>
        </w:rPr>
        <w:t>vide NZS benefits for)</w:t>
      </w:r>
      <w:r w:rsidRPr="00381F61">
        <w:rPr>
          <w:rFonts w:ascii="Garamond" w:hAnsi="Garamond"/>
        </w:rPr>
        <w:t xml:space="preserve"> periods before an immigrant arrives in New Zealand?  In other words, is the principle of ‘universality’ more important than </w:t>
      </w:r>
      <w:r w:rsidR="000F6CB8" w:rsidRPr="00381F61">
        <w:rPr>
          <w:rFonts w:ascii="Garamond" w:hAnsi="Garamond"/>
        </w:rPr>
        <w:t>what might be regarded as ‘equity’ as between the ‘obligations’ of different countries to their citizens’ periods of residence?</w:t>
      </w:r>
    </w:p>
    <w:p w14:paraId="6457958D" w14:textId="77777777" w:rsidR="00104F08" w:rsidRPr="00381F61" w:rsidRDefault="00104F08" w:rsidP="00E71CEB">
      <w:pPr>
        <w:pStyle w:val="ListParagraph"/>
        <w:jc w:val="both"/>
        <w:rPr>
          <w:rFonts w:ascii="Garamond" w:hAnsi="Garamond"/>
        </w:rPr>
      </w:pPr>
    </w:p>
    <w:p w14:paraId="1A2A99EC" w14:textId="544DDD99" w:rsidR="00024175" w:rsidRPr="00381F61" w:rsidRDefault="000F6CB8" w:rsidP="00E71CEB">
      <w:pPr>
        <w:pStyle w:val="ListParagraph"/>
        <w:numPr>
          <w:ilvl w:val="0"/>
          <w:numId w:val="32"/>
        </w:numPr>
        <w:jc w:val="both"/>
        <w:rPr>
          <w:rFonts w:ascii="Garamond" w:hAnsi="Garamond"/>
        </w:rPr>
      </w:pPr>
      <w:r w:rsidRPr="00381F61">
        <w:rPr>
          <w:rFonts w:ascii="Garamond" w:hAnsi="Garamond"/>
        </w:rPr>
        <w:t>If NZS is not to be truly universal for immigrants, what is the fairest way of calculating their entitlements to NZS?  The main alternatives are:</w:t>
      </w:r>
    </w:p>
    <w:p w14:paraId="56D569EF" w14:textId="5FCB501F" w:rsidR="000F6CB8" w:rsidRPr="00381F61" w:rsidRDefault="000F6CB8" w:rsidP="00E71CEB">
      <w:pPr>
        <w:pStyle w:val="ListParagraph"/>
        <w:numPr>
          <w:ilvl w:val="1"/>
          <w:numId w:val="32"/>
        </w:numPr>
        <w:jc w:val="both"/>
        <w:rPr>
          <w:rFonts w:ascii="Garamond" w:hAnsi="Garamond"/>
        </w:rPr>
      </w:pPr>
      <w:r w:rsidRPr="00381F61">
        <w:rPr>
          <w:rFonts w:ascii="Garamond" w:hAnsi="Garamond"/>
        </w:rPr>
        <w:t>Top up the overseas pension(s) to NZS – broadly the current DDP policy;</w:t>
      </w:r>
    </w:p>
    <w:p w14:paraId="688C0C93" w14:textId="03DE4275" w:rsidR="000F6CB8" w:rsidRPr="00381F61" w:rsidRDefault="002C5513" w:rsidP="00E71CEB">
      <w:pPr>
        <w:pStyle w:val="ListParagraph"/>
        <w:numPr>
          <w:ilvl w:val="1"/>
          <w:numId w:val="32"/>
        </w:numPr>
        <w:jc w:val="both"/>
        <w:rPr>
          <w:rFonts w:ascii="Garamond" w:hAnsi="Garamond"/>
        </w:rPr>
      </w:pPr>
      <w:r w:rsidRPr="00381F61">
        <w:rPr>
          <w:rFonts w:ascii="Garamond" w:hAnsi="Garamond"/>
        </w:rPr>
        <w:t xml:space="preserve">Increase </w:t>
      </w:r>
      <w:r w:rsidR="000F6CB8" w:rsidRPr="00381F61">
        <w:rPr>
          <w:rFonts w:ascii="Garamond" w:hAnsi="Garamond"/>
        </w:rPr>
        <w:t>the New Zealand residency period and ignore the other countries’ pensions;</w:t>
      </w:r>
    </w:p>
    <w:p w14:paraId="37F9414D" w14:textId="216B95AC" w:rsidR="000F6CB8" w:rsidRPr="00381F61" w:rsidRDefault="000F6CB8" w:rsidP="00E71CEB">
      <w:pPr>
        <w:pStyle w:val="ListParagraph"/>
        <w:numPr>
          <w:ilvl w:val="1"/>
          <w:numId w:val="32"/>
        </w:numPr>
        <w:jc w:val="both"/>
        <w:rPr>
          <w:rFonts w:ascii="Garamond" w:hAnsi="Garamond"/>
        </w:rPr>
      </w:pPr>
      <w:r w:rsidRPr="00381F61">
        <w:rPr>
          <w:rFonts w:ascii="Garamond" w:hAnsi="Garamond"/>
        </w:rPr>
        <w:t>Pay immigrants a proportionate amount of NZS based on the period of residency between the ‘minimum’ age (currently age 20) and the state pension age (currently 65) – that means New Zealand would pay no regard to t</w:t>
      </w:r>
      <w:r w:rsidR="00104F08" w:rsidRPr="00381F61">
        <w:rPr>
          <w:rFonts w:ascii="Garamond" w:hAnsi="Garamond"/>
        </w:rPr>
        <w:t>he overseas pensions themselves.</w:t>
      </w:r>
      <w:r w:rsidR="00AD0D10" w:rsidRPr="00381F61">
        <w:rPr>
          <w:rStyle w:val="FootnoteReference"/>
          <w:rFonts w:ascii="Garamond" w:hAnsi="Garamond"/>
        </w:rPr>
        <w:footnoteReference w:id="106"/>
      </w:r>
    </w:p>
    <w:p w14:paraId="22CC912E" w14:textId="77777777" w:rsidR="00104F08" w:rsidRPr="00381F61" w:rsidRDefault="00104F08" w:rsidP="00E71CEB">
      <w:pPr>
        <w:pStyle w:val="ListParagraph"/>
        <w:ind w:left="1440"/>
        <w:jc w:val="both"/>
        <w:rPr>
          <w:rFonts w:ascii="Garamond" w:hAnsi="Garamond"/>
        </w:rPr>
      </w:pPr>
    </w:p>
    <w:p w14:paraId="4744FF59" w14:textId="0A9BFD92" w:rsidR="00DF0A4C" w:rsidRPr="00381F61" w:rsidRDefault="00F97F27" w:rsidP="00E71CEB">
      <w:pPr>
        <w:pStyle w:val="ListParagraph"/>
        <w:numPr>
          <w:ilvl w:val="0"/>
          <w:numId w:val="32"/>
        </w:numPr>
        <w:jc w:val="both"/>
        <w:rPr>
          <w:rFonts w:ascii="Garamond" w:hAnsi="Garamond"/>
        </w:rPr>
      </w:pPr>
      <w:r w:rsidRPr="00381F61">
        <w:rPr>
          <w:rFonts w:ascii="Garamond" w:hAnsi="Garamond"/>
        </w:rPr>
        <w:t>If the overseas pension is to form part of the NZS calculation (option 2 a</w:t>
      </w:r>
      <w:r w:rsidR="00FD44C7" w:rsidRPr="00381F61">
        <w:rPr>
          <w:rFonts w:ascii="Garamond" w:hAnsi="Garamond"/>
        </w:rPr>
        <w:t>.</w:t>
      </w:r>
      <w:r w:rsidRPr="00381F61">
        <w:rPr>
          <w:rFonts w:ascii="Garamond" w:hAnsi="Garamond"/>
        </w:rPr>
        <w:t xml:space="preserve"> above), which particular overseas state pension</w:t>
      </w:r>
      <w:r w:rsidR="00672E8D" w:rsidRPr="00381F61">
        <w:rPr>
          <w:rFonts w:ascii="Garamond" w:hAnsi="Garamond"/>
        </w:rPr>
        <w:t>s</w:t>
      </w:r>
      <w:r w:rsidRPr="00381F61">
        <w:rPr>
          <w:rFonts w:ascii="Garamond" w:hAnsi="Garamond"/>
        </w:rPr>
        <w:t xml:space="preserve"> should be counted?  </w:t>
      </w:r>
    </w:p>
    <w:p w14:paraId="639526C9" w14:textId="77777777" w:rsidR="00104F08" w:rsidRPr="00381F61" w:rsidRDefault="00104F08" w:rsidP="00E71CEB">
      <w:pPr>
        <w:pStyle w:val="ListParagraph"/>
        <w:jc w:val="both"/>
        <w:rPr>
          <w:rFonts w:ascii="Garamond" w:hAnsi="Garamond"/>
        </w:rPr>
      </w:pPr>
    </w:p>
    <w:p w14:paraId="05B6FF9B" w14:textId="118B7AD6" w:rsidR="000F6CB8" w:rsidRPr="00381F61" w:rsidRDefault="00DF0A4C" w:rsidP="00E71CEB">
      <w:pPr>
        <w:pStyle w:val="ListParagraph"/>
        <w:numPr>
          <w:ilvl w:val="0"/>
          <w:numId w:val="32"/>
        </w:numPr>
        <w:jc w:val="both"/>
        <w:rPr>
          <w:rFonts w:ascii="Garamond" w:hAnsi="Garamond"/>
        </w:rPr>
      </w:pPr>
      <w:r w:rsidRPr="00381F61">
        <w:rPr>
          <w:rFonts w:ascii="Garamond" w:hAnsi="Garamond"/>
        </w:rPr>
        <w:t>If the DDP continues, why aren’t</w:t>
      </w:r>
      <w:r w:rsidR="00F97F27" w:rsidRPr="00381F61">
        <w:rPr>
          <w:rFonts w:ascii="Garamond" w:hAnsi="Garamond"/>
        </w:rPr>
        <w:t xml:space="preserve"> the pension arrangements of every country that provides immigrants examined </w:t>
      </w:r>
      <w:r w:rsidRPr="00381F61">
        <w:rPr>
          <w:rFonts w:ascii="Garamond" w:hAnsi="Garamond"/>
        </w:rPr>
        <w:t xml:space="preserve">and a guidance note issued by MSD </w:t>
      </w:r>
      <w:r w:rsidR="00CD7897" w:rsidRPr="00381F61">
        <w:rPr>
          <w:rFonts w:ascii="Garamond" w:hAnsi="Garamond"/>
        </w:rPr>
        <w:t xml:space="preserve">for each country </w:t>
      </w:r>
      <w:r w:rsidRPr="00381F61">
        <w:rPr>
          <w:rFonts w:ascii="Garamond" w:hAnsi="Garamond"/>
        </w:rPr>
        <w:t>explaining why that programme is included in the DDP?</w:t>
      </w:r>
      <w:r w:rsidR="00CD7394" w:rsidRPr="00381F61">
        <w:rPr>
          <w:rStyle w:val="FootnoteReference"/>
          <w:rFonts w:ascii="Garamond" w:hAnsi="Garamond"/>
        </w:rPr>
        <w:footnoteReference w:id="107"/>
      </w:r>
    </w:p>
    <w:p w14:paraId="6BFDEA4C" w14:textId="77777777" w:rsidR="00104F08" w:rsidRPr="00381F61" w:rsidRDefault="00104F08" w:rsidP="00E71CEB">
      <w:pPr>
        <w:ind w:left="709"/>
        <w:jc w:val="both"/>
        <w:rPr>
          <w:rFonts w:ascii="Garamond" w:hAnsi="Garamond"/>
        </w:rPr>
      </w:pPr>
    </w:p>
    <w:p w14:paraId="1B47592E" w14:textId="2C753D26" w:rsidR="000F6CB8" w:rsidRPr="00381F61" w:rsidRDefault="00DF0A4C" w:rsidP="00E71CEB">
      <w:pPr>
        <w:pStyle w:val="ListParagraph"/>
        <w:numPr>
          <w:ilvl w:val="0"/>
          <w:numId w:val="32"/>
        </w:numPr>
        <w:jc w:val="both"/>
        <w:rPr>
          <w:rFonts w:ascii="Garamond" w:hAnsi="Garamond"/>
        </w:rPr>
      </w:pPr>
      <w:r w:rsidRPr="00381F61">
        <w:rPr>
          <w:rFonts w:ascii="Garamond" w:hAnsi="Garamond"/>
        </w:rPr>
        <w:t>Again</w:t>
      </w:r>
      <w:r w:rsidR="0094426A" w:rsidRPr="00381F61">
        <w:rPr>
          <w:rFonts w:ascii="Garamond" w:hAnsi="Garamond"/>
        </w:rPr>
        <w:t>,</w:t>
      </w:r>
      <w:r w:rsidRPr="00381F61">
        <w:rPr>
          <w:rFonts w:ascii="Garamond" w:hAnsi="Garamond"/>
        </w:rPr>
        <w:t xml:space="preserve"> if the DDP continues, why isn’t section 70 moved from the Social Security Act 1964 to the New Zealand Superannuation and Retirement Income Act 2001?  NZS is an individual entitlement and needs its own </w:t>
      </w:r>
      <w:r w:rsidR="00E56CF8" w:rsidRPr="00381F61">
        <w:rPr>
          <w:rFonts w:ascii="Garamond" w:hAnsi="Garamond"/>
        </w:rPr>
        <w:t xml:space="preserve">tailored </w:t>
      </w:r>
      <w:r w:rsidRPr="00381F61">
        <w:rPr>
          <w:rFonts w:ascii="Garamond" w:hAnsi="Garamond"/>
        </w:rPr>
        <w:t>version of section 70</w:t>
      </w:r>
      <w:r w:rsidRPr="00381F61">
        <w:rPr>
          <w:rStyle w:val="FootnoteReference"/>
          <w:rFonts w:ascii="Garamond" w:hAnsi="Garamond"/>
        </w:rPr>
        <w:footnoteReference w:id="108"/>
      </w:r>
      <w:r w:rsidRPr="00381F61">
        <w:rPr>
          <w:rFonts w:ascii="Garamond" w:hAnsi="Garamond"/>
        </w:rPr>
        <w:t>.</w:t>
      </w:r>
    </w:p>
    <w:p w14:paraId="4C966036" w14:textId="53B50FCD" w:rsidR="00A97583" w:rsidRPr="00381F61" w:rsidRDefault="00A97583" w:rsidP="00E71CEB">
      <w:pPr>
        <w:jc w:val="both"/>
        <w:rPr>
          <w:rFonts w:ascii="Garamond" w:hAnsi="Garamond"/>
        </w:rPr>
      </w:pPr>
      <w:r w:rsidRPr="00381F61">
        <w:rPr>
          <w:rFonts w:ascii="Garamond" w:hAnsi="Garamond"/>
        </w:rPr>
        <w:br w:type="page"/>
      </w:r>
    </w:p>
    <w:p w14:paraId="5DCE23B6" w14:textId="2D07B155" w:rsidR="00A97583" w:rsidRPr="00381F61" w:rsidRDefault="00F519BC" w:rsidP="00E71CEB">
      <w:pPr>
        <w:jc w:val="both"/>
        <w:rPr>
          <w:rFonts w:ascii="Garamond" w:hAnsi="Garamond"/>
          <w:b/>
        </w:rPr>
      </w:pPr>
      <w:r w:rsidRPr="00381F61">
        <w:rPr>
          <w:rFonts w:ascii="Garamond" w:hAnsi="Garamond"/>
          <w:b/>
        </w:rPr>
        <w:t>9</w:t>
      </w:r>
      <w:r w:rsidR="00A97583" w:rsidRPr="00381F61">
        <w:rPr>
          <w:rFonts w:ascii="Garamond" w:hAnsi="Garamond"/>
          <w:b/>
        </w:rPr>
        <w:t xml:space="preserve">. </w:t>
      </w:r>
      <w:r w:rsidR="004E6652" w:rsidRPr="00381F61">
        <w:rPr>
          <w:rFonts w:ascii="Garamond" w:hAnsi="Garamond"/>
          <w:b/>
        </w:rPr>
        <w:tab/>
      </w:r>
      <w:r w:rsidR="00435253" w:rsidRPr="00381F61">
        <w:rPr>
          <w:rFonts w:ascii="Garamond" w:hAnsi="Garamond"/>
          <w:b/>
        </w:rPr>
        <w:t>On tax subsidies for saving</w:t>
      </w:r>
      <w:r w:rsidR="0015492D" w:rsidRPr="00381F61">
        <w:rPr>
          <w:rStyle w:val="FootnoteReference"/>
          <w:rFonts w:ascii="Garamond" w:hAnsi="Garamond"/>
          <w:b/>
        </w:rPr>
        <w:footnoteReference w:id="109"/>
      </w:r>
    </w:p>
    <w:p w14:paraId="40424561" w14:textId="77777777" w:rsidR="00CF076E" w:rsidRPr="00381F61" w:rsidRDefault="00CF076E" w:rsidP="00E71CEB">
      <w:pPr>
        <w:jc w:val="both"/>
        <w:rPr>
          <w:rFonts w:ascii="Garamond" w:hAnsi="Garamond"/>
          <w:b/>
        </w:rPr>
      </w:pPr>
    </w:p>
    <w:p w14:paraId="5F21523F" w14:textId="77777777" w:rsidR="00CF076E" w:rsidRPr="00381F61" w:rsidRDefault="00CF076E" w:rsidP="00E71CEB">
      <w:pPr>
        <w:jc w:val="both"/>
        <w:rPr>
          <w:rFonts w:ascii="Garamond" w:hAnsi="Garamond"/>
        </w:rPr>
      </w:pPr>
      <w:r w:rsidRPr="00381F61">
        <w:rPr>
          <w:rFonts w:ascii="Garamond" w:hAnsi="Garamond"/>
        </w:rPr>
        <w:t>While governments can certainly influence the ways in which people save for retirement, they seemingly cannot incentivise people to save more for retirement than they want to save.  Tax-favoured Tier 2 (compulsory) or Tier 3 schemes (voluntary and occupational) may see more financial assets accumulated than in the absence of such schemes but again, savers can and do change other aspects of their behaviour.</w:t>
      </w:r>
    </w:p>
    <w:p w14:paraId="1C5D2BE2" w14:textId="77777777" w:rsidR="00CF076E" w:rsidRPr="00381F61" w:rsidRDefault="00CF076E" w:rsidP="00E71CEB">
      <w:pPr>
        <w:jc w:val="both"/>
        <w:rPr>
          <w:rFonts w:ascii="Garamond" w:hAnsi="Garamond"/>
        </w:rPr>
      </w:pPr>
    </w:p>
    <w:p w14:paraId="3D692D48" w14:textId="77777777" w:rsidR="00CF076E" w:rsidRPr="00381F61" w:rsidRDefault="00CF076E" w:rsidP="00E71CEB">
      <w:pPr>
        <w:jc w:val="both"/>
        <w:rPr>
          <w:rFonts w:ascii="Garamond" w:hAnsi="Garamond"/>
        </w:rPr>
      </w:pPr>
      <w:r w:rsidRPr="00381F61">
        <w:rPr>
          <w:rFonts w:ascii="Garamond" w:hAnsi="Garamond"/>
        </w:rPr>
        <w:t>A set of acronyms summarises the tax treatment of financial assets, particularly in a retirement saving context.  There are three main movements of money:</w:t>
      </w:r>
    </w:p>
    <w:p w14:paraId="06FAF522" w14:textId="77777777" w:rsidR="00CF076E" w:rsidRPr="00381F61" w:rsidRDefault="00CF076E" w:rsidP="00E71CEB">
      <w:pPr>
        <w:ind w:left="426"/>
        <w:jc w:val="both"/>
        <w:rPr>
          <w:rFonts w:ascii="Garamond" w:hAnsi="Garamond"/>
          <w:sz w:val="8"/>
          <w:szCs w:val="8"/>
        </w:rPr>
      </w:pPr>
    </w:p>
    <w:p w14:paraId="649AC1E3" w14:textId="77777777" w:rsidR="00CF076E" w:rsidRPr="00381F61" w:rsidRDefault="00CF076E" w:rsidP="00E71CEB">
      <w:pPr>
        <w:pStyle w:val="ListParagraph"/>
        <w:numPr>
          <w:ilvl w:val="0"/>
          <w:numId w:val="7"/>
        </w:numPr>
        <w:ind w:left="851"/>
        <w:jc w:val="both"/>
        <w:rPr>
          <w:rFonts w:ascii="Garamond" w:hAnsi="Garamond"/>
        </w:rPr>
      </w:pPr>
      <w:r w:rsidRPr="00381F61">
        <w:rPr>
          <w:rFonts w:ascii="Garamond" w:hAnsi="Garamond"/>
          <w:b/>
        </w:rPr>
        <w:t>contributions</w:t>
      </w:r>
      <w:r w:rsidRPr="00381F61">
        <w:rPr>
          <w:rFonts w:ascii="Garamond" w:hAnsi="Garamond"/>
        </w:rPr>
        <w:t xml:space="preserve">: ‘T’ means that contributions to the scheme come from after-tax income; ‘E’ that contributions reduce </w:t>
      </w:r>
      <w:r w:rsidRPr="00381F61">
        <w:rPr>
          <w:rFonts w:ascii="Garamond" w:hAnsi="Garamond"/>
          <w:i/>
        </w:rPr>
        <w:t>taxable</w:t>
      </w:r>
      <w:r w:rsidRPr="00381F61">
        <w:rPr>
          <w:rFonts w:ascii="Garamond" w:hAnsi="Garamond"/>
        </w:rPr>
        <w:t xml:space="preserve"> income before tax is deducted (or attract a direct subsidy); also, in the case of occupational schemes, that the employer’s contributions are not deemed part of the employee’s taxable pay.</w:t>
      </w:r>
    </w:p>
    <w:p w14:paraId="200D0592" w14:textId="77777777" w:rsidR="00CF076E" w:rsidRPr="00381F61" w:rsidRDefault="00CF076E" w:rsidP="00E71CEB">
      <w:pPr>
        <w:pStyle w:val="ListParagraph"/>
        <w:ind w:left="851"/>
        <w:jc w:val="both"/>
        <w:rPr>
          <w:rFonts w:ascii="Garamond" w:hAnsi="Garamond"/>
          <w:sz w:val="8"/>
          <w:szCs w:val="8"/>
        </w:rPr>
      </w:pPr>
    </w:p>
    <w:p w14:paraId="2E9B7F4B" w14:textId="77777777" w:rsidR="00CF076E" w:rsidRPr="00381F61" w:rsidRDefault="00CF076E" w:rsidP="00E71CEB">
      <w:pPr>
        <w:pStyle w:val="ListParagraph"/>
        <w:numPr>
          <w:ilvl w:val="0"/>
          <w:numId w:val="7"/>
        </w:numPr>
        <w:ind w:left="851"/>
        <w:jc w:val="both"/>
        <w:rPr>
          <w:rFonts w:ascii="Garamond" w:hAnsi="Garamond"/>
        </w:rPr>
      </w:pPr>
      <w:r w:rsidRPr="00381F61">
        <w:rPr>
          <w:rFonts w:ascii="Garamond" w:hAnsi="Garamond"/>
          <w:b/>
        </w:rPr>
        <w:t>investment income on the accumulation</w:t>
      </w:r>
      <w:r w:rsidRPr="00381F61">
        <w:rPr>
          <w:rFonts w:ascii="Garamond" w:hAnsi="Garamond"/>
        </w:rPr>
        <w:t>: ‘T’ means that invested assets are taxed with the saver’s other income; ‘E’ that the assets accumulate tax-free.</w:t>
      </w:r>
    </w:p>
    <w:p w14:paraId="1E6F1E24" w14:textId="77777777" w:rsidR="00CF076E" w:rsidRPr="00381F61" w:rsidRDefault="00CF076E" w:rsidP="00E71CEB">
      <w:pPr>
        <w:ind w:left="851"/>
        <w:jc w:val="both"/>
        <w:rPr>
          <w:rFonts w:ascii="Garamond" w:hAnsi="Garamond"/>
          <w:sz w:val="8"/>
          <w:szCs w:val="8"/>
        </w:rPr>
      </w:pPr>
    </w:p>
    <w:p w14:paraId="27E3FFE8" w14:textId="77777777" w:rsidR="00CF076E" w:rsidRPr="00381F61" w:rsidRDefault="00CF076E" w:rsidP="00E71CEB">
      <w:pPr>
        <w:pStyle w:val="ListParagraph"/>
        <w:numPr>
          <w:ilvl w:val="0"/>
          <w:numId w:val="7"/>
        </w:numPr>
        <w:ind w:left="851"/>
        <w:jc w:val="both"/>
        <w:rPr>
          <w:rFonts w:ascii="Garamond" w:hAnsi="Garamond"/>
        </w:rPr>
      </w:pPr>
      <w:r w:rsidRPr="00381F61">
        <w:rPr>
          <w:rFonts w:ascii="Garamond" w:hAnsi="Garamond"/>
          <w:b/>
        </w:rPr>
        <w:t>benefits received</w:t>
      </w:r>
      <w:r w:rsidRPr="00381F61">
        <w:rPr>
          <w:rFonts w:ascii="Garamond" w:hAnsi="Garamond"/>
        </w:rPr>
        <w:t>: ‘T’ means that benefits are taxed as income in the year of receipt; ‘E’ that benefits are exempt from tax in the recipient’s hands.</w:t>
      </w:r>
    </w:p>
    <w:p w14:paraId="70DD1CED" w14:textId="77777777" w:rsidR="00CF076E" w:rsidRPr="00381F61" w:rsidRDefault="00CF076E" w:rsidP="00E71CEB">
      <w:pPr>
        <w:jc w:val="both"/>
        <w:rPr>
          <w:rFonts w:ascii="Garamond" w:hAnsi="Garamond"/>
        </w:rPr>
      </w:pPr>
    </w:p>
    <w:p w14:paraId="52C7DDA6" w14:textId="77777777" w:rsidR="006745EA" w:rsidRPr="00381F61" w:rsidRDefault="006745EA" w:rsidP="006745EA">
      <w:pPr>
        <w:jc w:val="both"/>
        <w:rPr>
          <w:rFonts w:ascii="Garamond" w:hAnsi="Garamond"/>
        </w:rPr>
      </w:pPr>
      <w:r w:rsidRPr="00381F61">
        <w:rPr>
          <w:rFonts w:ascii="Garamond" w:hAnsi="Garamond"/>
        </w:rPr>
        <w:t xml:space="preserve">TTE is a ‘neutral’ treatment in an </w:t>
      </w:r>
      <w:r w:rsidRPr="00381F61">
        <w:rPr>
          <w:rFonts w:ascii="Garamond" w:hAnsi="Garamond"/>
          <w:i/>
        </w:rPr>
        <w:t>income tax</w:t>
      </w:r>
      <w:r w:rsidRPr="00381F61">
        <w:rPr>
          <w:rFonts w:ascii="Garamond" w:hAnsi="Garamond"/>
        </w:rPr>
        <w:t xml:space="preserve"> environment.  A bank account is a convenient example: savings into the account come from after-tax income (T); interest earned on the account is added to the saver’s other taxable income (T) while withdrawals from the account are exempt (E).  They are not really ‘exempt’; they are withdrawals of tax-paid capital.</w:t>
      </w:r>
    </w:p>
    <w:p w14:paraId="3D38395F" w14:textId="77777777" w:rsidR="00D00CD5" w:rsidRPr="00381F61" w:rsidRDefault="00D00CD5" w:rsidP="00E71CEB">
      <w:pPr>
        <w:jc w:val="both"/>
        <w:rPr>
          <w:rFonts w:ascii="Garamond" w:hAnsi="Garamond"/>
        </w:rPr>
      </w:pPr>
    </w:p>
    <w:p w14:paraId="6DABB265" w14:textId="377C78EF" w:rsidR="00CF076E" w:rsidRPr="00381F61" w:rsidRDefault="00CF076E" w:rsidP="00E71CEB">
      <w:pPr>
        <w:jc w:val="both"/>
        <w:rPr>
          <w:rFonts w:ascii="Garamond" w:hAnsi="Garamond"/>
        </w:rPr>
      </w:pPr>
      <w:r w:rsidRPr="00381F61">
        <w:rPr>
          <w:rFonts w:ascii="Garamond" w:hAnsi="Garamond"/>
        </w:rPr>
        <w:t xml:space="preserve">Most countries treat retirement savings on EET principles – contributions are deductible or directly subsidised through the tax system and, for employees, not deemed to be part of pay (E); there is no tax on the saving scheme’s investment income (E) and the final benefits (usually pensions) are taxed as income (T).  In an </w:t>
      </w:r>
      <w:r w:rsidRPr="00381F61">
        <w:rPr>
          <w:rFonts w:ascii="Garamond" w:hAnsi="Garamond"/>
          <w:i/>
        </w:rPr>
        <w:t>expenditure tax</w:t>
      </w:r>
      <w:r w:rsidRPr="00381F61">
        <w:rPr>
          <w:rFonts w:ascii="Garamond" w:hAnsi="Garamond"/>
        </w:rPr>
        <w:t xml:space="preserve"> environment, EET is relatively neutral</w:t>
      </w:r>
      <w:r w:rsidR="00E47471" w:rsidRPr="00381F61">
        <w:rPr>
          <w:rStyle w:val="FootnoteReference"/>
          <w:rFonts w:ascii="Garamond" w:hAnsi="Garamond"/>
        </w:rPr>
        <w:footnoteReference w:id="110"/>
      </w:r>
      <w:r w:rsidRPr="00381F61">
        <w:rPr>
          <w:rFonts w:ascii="Garamond" w:hAnsi="Garamond"/>
        </w:rPr>
        <w:t>.</w:t>
      </w:r>
    </w:p>
    <w:p w14:paraId="6EE7C819" w14:textId="77777777" w:rsidR="00CF076E" w:rsidRPr="00381F61" w:rsidRDefault="00CF076E" w:rsidP="00E71CEB">
      <w:pPr>
        <w:jc w:val="both"/>
        <w:rPr>
          <w:rFonts w:ascii="Garamond" w:hAnsi="Garamond"/>
        </w:rPr>
      </w:pPr>
    </w:p>
    <w:p w14:paraId="4CF44737" w14:textId="6B8AC7D2" w:rsidR="00CF076E" w:rsidRPr="00381F61" w:rsidRDefault="00CF076E" w:rsidP="00E71CEB">
      <w:pPr>
        <w:jc w:val="both"/>
        <w:rPr>
          <w:rFonts w:ascii="Garamond" w:hAnsi="Garamond"/>
        </w:rPr>
      </w:pPr>
      <w:r w:rsidRPr="00381F61">
        <w:rPr>
          <w:rFonts w:ascii="Garamond" w:hAnsi="Garamond"/>
        </w:rPr>
        <w:t>That’s because if the government relied entirely on expenditure taxes, taxes are collected when the savings and all other assets are spent.  However, in a world where most government revenue is collected from taxes on income, EET is highly favoured</w:t>
      </w:r>
      <w:r w:rsidRPr="00381F61">
        <w:rPr>
          <w:rStyle w:val="FootnoteReference"/>
          <w:rFonts w:ascii="Garamond" w:hAnsi="Garamond"/>
        </w:rPr>
        <w:footnoteReference w:id="111"/>
      </w:r>
      <w:r w:rsidRPr="00381F61">
        <w:rPr>
          <w:rFonts w:ascii="Garamond" w:hAnsi="Garamond"/>
        </w:rPr>
        <w:t>.  Such a strategy must therefore be designed to encourage greater self-provision for retirement and, impliedly, to reduce pressure on future government-delivered age pensions.</w:t>
      </w:r>
      <w:r w:rsidR="00A113AE" w:rsidRPr="00381F61">
        <w:rPr>
          <w:rFonts w:ascii="Garamond" w:hAnsi="Garamond"/>
        </w:rPr>
        <w:t xml:space="preserve">  That last justification would be part of a stronger case if the state pension </w:t>
      </w:r>
      <w:r w:rsidR="00923651" w:rsidRPr="00381F61">
        <w:rPr>
          <w:rFonts w:ascii="Garamond" w:hAnsi="Garamond"/>
        </w:rPr>
        <w:t xml:space="preserve">were </w:t>
      </w:r>
      <w:r w:rsidR="00A113AE" w:rsidRPr="00381F61">
        <w:rPr>
          <w:rFonts w:ascii="Garamond" w:hAnsi="Garamond"/>
        </w:rPr>
        <w:t>means-tested.  Few countr</w:t>
      </w:r>
      <w:r w:rsidR="00923651" w:rsidRPr="00381F61">
        <w:rPr>
          <w:rFonts w:ascii="Garamond" w:hAnsi="Garamond"/>
        </w:rPr>
        <w:t>ies’</w:t>
      </w:r>
      <w:r w:rsidR="00A113AE" w:rsidRPr="00381F61">
        <w:rPr>
          <w:rFonts w:ascii="Garamond" w:hAnsi="Garamond"/>
        </w:rPr>
        <w:t xml:space="preserve"> age pensions are so tested.</w:t>
      </w:r>
    </w:p>
    <w:p w14:paraId="525CE49E" w14:textId="77777777" w:rsidR="00CF076E" w:rsidRPr="00381F61" w:rsidRDefault="00CF076E" w:rsidP="00E71CEB">
      <w:pPr>
        <w:jc w:val="both"/>
        <w:rPr>
          <w:rFonts w:ascii="Garamond" w:hAnsi="Garamond"/>
        </w:rPr>
      </w:pPr>
    </w:p>
    <w:p w14:paraId="3F7F9B22" w14:textId="77777777" w:rsidR="00CF076E" w:rsidRPr="00381F61" w:rsidRDefault="00CF076E" w:rsidP="00E71CEB">
      <w:pPr>
        <w:jc w:val="both"/>
        <w:rPr>
          <w:rFonts w:ascii="Garamond" w:hAnsi="Garamond"/>
        </w:rPr>
      </w:pPr>
    </w:p>
    <w:p w14:paraId="1D6F3E92" w14:textId="6DED2D3C" w:rsidR="00CF076E" w:rsidRPr="00381F61" w:rsidRDefault="00CF076E" w:rsidP="00E71CEB">
      <w:pPr>
        <w:jc w:val="both"/>
        <w:rPr>
          <w:rFonts w:ascii="Garamond" w:hAnsi="Garamond"/>
        </w:rPr>
      </w:pPr>
      <w:r w:rsidRPr="00381F61">
        <w:rPr>
          <w:rFonts w:ascii="Garamond" w:hAnsi="Garamond"/>
        </w:rPr>
        <w:t>Countries have different shades of these mixtures and usually run both together.  Financial savings that are locked up for retirement may be EET while accessible bank accounts (another potential part of the retirement savings fabric) are TTE.  There may also be reduced tax on ‘retirement’ accounts.  Australia has ‘ttE’</w:t>
      </w:r>
      <w:r w:rsidRPr="00381F61">
        <w:rPr>
          <w:rStyle w:val="FootnoteReference"/>
          <w:rFonts w:ascii="Garamond" w:hAnsi="Garamond"/>
        </w:rPr>
        <w:footnoteReference w:id="112"/>
      </w:r>
      <w:r w:rsidRPr="00381F61">
        <w:rPr>
          <w:rFonts w:ascii="Garamond" w:hAnsi="Garamond"/>
        </w:rPr>
        <w:t xml:space="preserve"> which means lower levels of tax </w:t>
      </w:r>
      <w:r w:rsidR="00F7050B" w:rsidRPr="00381F61">
        <w:rPr>
          <w:rFonts w:ascii="Garamond" w:hAnsi="Garamond"/>
        </w:rPr>
        <w:t xml:space="preserve">than ‘normal’ </w:t>
      </w:r>
      <w:r w:rsidRPr="00381F61">
        <w:rPr>
          <w:rFonts w:ascii="Garamond" w:hAnsi="Garamond"/>
        </w:rPr>
        <w:t>on contributions and investment income but, overall, retirement saving schemes are greatly favoured by comparison with, say, bank accounts.  On generous assumptions, Australia’s ttE is broadly equivalent to the more usual EET.</w:t>
      </w:r>
    </w:p>
    <w:p w14:paraId="4FC02B00" w14:textId="77777777" w:rsidR="00CF076E" w:rsidRPr="00381F61" w:rsidRDefault="00CF076E" w:rsidP="00E71CEB">
      <w:pPr>
        <w:jc w:val="both"/>
        <w:rPr>
          <w:rFonts w:ascii="Garamond" w:hAnsi="Garamond"/>
        </w:rPr>
      </w:pPr>
    </w:p>
    <w:p w14:paraId="1A3E6F2D" w14:textId="4620B6AE" w:rsidR="00CF076E" w:rsidRPr="00381F61" w:rsidRDefault="00CF076E" w:rsidP="00E71CEB">
      <w:pPr>
        <w:jc w:val="both"/>
        <w:rPr>
          <w:rFonts w:ascii="Garamond" w:hAnsi="Garamond"/>
        </w:rPr>
      </w:pPr>
      <w:r w:rsidRPr="00381F61">
        <w:rPr>
          <w:rFonts w:ascii="Garamond" w:hAnsi="Garamond"/>
        </w:rPr>
        <w:t xml:space="preserve">Of the three money movements, the tax treatment of the investment accumulation is the most significant.  This reflects the power of investment earnings (i.e. ‘compound interest’) over the very long periods involved in </w:t>
      </w:r>
      <w:r w:rsidR="00384FFC" w:rsidRPr="00381F61">
        <w:rPr>
          <w:rFonts w:ascii="Garamond" w:hAnsi="Garamond"/>
        </w:rPr>
        <w:t xml:space="preserve">retirement saving’s </w:t>
      </w:r>
      <w:r w:rsidRPr="00381F61">
        <w:rPr>
          <w:rFonts w:ascii="Garamond" w:hAnsi="Garamond"/>
        </w:rPr>
        <w:t xml:space="preserve">accumulation and decumulation periods and the difference between pre- and post-tax returns.  Even small differences between pre- and post-tax returns create large differences in the </w:t>
      </w:r>
      <w:r w:rsidR="00CE6EC4" w:rsidRPr="00381F61">
        <w:rPr>
          <w:rFonts w:ascii="Garamond" w:hAnsi="Garamond"/>
        </w:rPr>
        <w:t xml:space="preserve">eventual </w:t>
      </w:r>
      <w:r w:rsidRPr="00381F61">
        <w:rPr>
          <w:rFonts w:ascii="Garamond" w:hAnsi="Garamond"/>
        </w:rPr>
        <w:t>size of the retirement accumulations.  Because of the relatively shorter decumulation period in retirement, even if all the benefits were taxed at the retiree’s top personal tax rate, the government will never recover the value of the concessions given on contributions to the scheme and investment income earned on the accumulating savings</w:t>
      </w:r>
      <w:r w:rsidRPr="00381F61">
        <w:rPr>
          <w:rStyle w:val="FootnoteReference"/>
          <w:rFonts w:ascii="Garamond" w:hAnsi="Garamond"/>
        </w:rPr>
        <w:footnoteReference w:id="113"/>
      </w:r>
      <w:r w:rsidRPr="00381F61">
        <w:rPr>
          <w:rFonts w:ascii="Garamond" w:hAnsi="Garamond"/>
        </w:rPr>
        <w:t>.  That makes tax incentives for retirement saving very expensive, especially over the long run</w:t>
      </w:r>
      <w:r w:rsidRPr="00381F61">
        <w:rPr>
          <w:rStyle w:val="FootnoteReference"/>
          <w:rFonts w:ascii="Garamond" w:hAnsi="Garamond"/>
        </w:rPr>
        <w:footnoteReference w:id="114"/>
      </w:r>
      <w:r w:rsidRPr="00381F61">
        <w:rPr>
          <w:rFonts w:ascii="Garamond" w:hAnsi="Garamond"/>
        </w:rPr>
        <w:t>.  That is not their only difficulty:</w:t>
      </w:r>
    </w:p>
    <w:p w14:paraId="683BD275" w14:textId="77777777" w:rsidR="00CF076E" w:rsidRPr="00381F61" w:rsidRDefault="00CF076E" w:rsidP="00E71CEB">
      <w:pPr>
        <w:ind w:left="426"/>
        <w:jc w:val="both"/>
        <w:rPr>
          <w:rFonts w:ascii="Garamond" w:hAnsi="Garamond"/>
          <w:sz w:val="8"/>
          <w:szCs w:val="8"/>
        </w:rPr>
      </w:pPr>
    </w:p>
    <w:p w14:paraId="5A05CCC9" w14:textId="77777777" w:rsidR="00CF076E" w:rsidRPr="00381F61" w:rsidRDefault="00CF076E" w:rsidP="00E71CEB">
      <w:pPr>
        <w:pStyle w:val="ListParagraph"/>
        <w:numPr>
          <w:ilvl w:val="0"/>
          <w:numId w:val="6"/>
        </w:numPr>
        <w:ind w:left="426" w:hanging="371"/>
        <w:jc w:val="both"/>
        <w:rPr>
          <w:rFonts w:ascii="Garamond" w:hAnsi="Garamond"/>
        </w:rPr>
      </w:pPr>
      <w:r w:rsidRPr="00381F61">
        <w:rPr>
          <w:rFonts w:ascii="Garamond" w:hAnsi="Garamond"/>
          <w:b/>
        </w:rPr>
        <w:t>Tax incentives are regressive:</w:t>
      </w:r>
      <w:r w:rsidRPr="00381F61">
        <w:rPr>
          <w:rFonts w:ascii="Garamond" w:hAnsi="Garamond"/>
        </w:rPr>
        <w:t xml:space="preserve">  The rich can afford to contribute more and so capture most of the value of the concessions</w:t>
      </w:r>
      <w:r w:rsidRPr="00381F61">
        <w:rPr>
          <w:rStyle w:val="FootnoteReference"/>
          <w:rFonts w:ascii="Garamond" w:hAnsi="Garamond"/>
        </w:rPr>
        <w:footnoteReference w:id="115"/>
      </w:r>
      <w:r w:rsidRPr="00381F61">
        <w:rPr>
          <w:rFonts w:ascii="Garamond" w:hAnsi="Garamond"/>
        </w:rPr>
        <w:t>.  Poorer taxpayers, who cannot afford to save, help pay for the cost of the tax concessions (‘my tax concession is someone else’s tax cost’).</w:t>
      </w:r>
    </w:p>
    <w:p w14:paraId="2B8E25A5" w14:textId="77777777" w:rsidR="00CF076E" w:rsidRPr="00381F61" w:rsidRDefault="00CF076E" w:rsidP="00E71CEB">
      <w:pPr>
        <w:pStyle w:val="ListParagraph"/>
        <w:ind w:left="426" w:hanging="371"/>
        <w:jc w:val="both"/>
        <w:rPr>
          <w:rFonts w:ascii="Garamond" w:hAnsi="Garamond"/>
          <w:sz w:val="8"/>
          <w:szCs w:val="8"/>
        </w:rPr>
      </w:pPr>
    </w:p>
    <w:p w14:paraId="0746F0A1" w14:textId="77777777" w:rsidR="00CF076E" w:rsidRPr="00381F61" w:rsidRDefault="00CF076E" w:rsidP="00E71CEB">
      <w:pPr>
        <w:pStyle w:val="ListParagraph"/>
        <w:numPr>
          <w:ilvl w:val="0"/>
          <w:numId w:val="6"/>
        </w:numPr>
        <w:ind w:left="426" w:hanging="371"/>
        <w:jc w:val="both"/>
        <w:rPr>
          <w:rFonts w:ascii="Garamond" w:hAnsi="Garamond"/>
        </w:rPr>
      </w:pPr>
      <w:r w:rsidRPr="00381F61">
        <w:rPr>
          <w:rFonts w:ascii="Garamond" w:hAnsi="Garamond"/>
          <w:b/>
        </w:rPr>
        <w:t>Regulations are complex:</w:t>
      </w:r>
      <w:r w:rsidRPr="00381F61">
        <w:rPr>
          <w:rFonts w:ascii="Garamond" w:hAnsi="Garamond"/>
        </w:rPr>
        <w:t xml:space="preserve"> Savings that attract the concessionary treatment must be kept under EET for decades so the regulations that control the money’s entry, accumulation and exit are necessarily intricate</w:t>
      </w:r>
      <w:r w:rsidRPr="00381F61">
        <w:rPr>
          <w:rStyle w:val="FootnoteReference"/>
          <w:rFonts w:ascii="Garamond" w:hAnsi="Garamond"/>
        </w:rPr>
        <w:footnoteReference w:id="116"/>
      </w:r>
      <w:r w:rsidRPr="00381F61">
        <w:rPr>
          <w:rFonts w:ascii="Garamond" w:hAnsi="Garamond"/>
        </w:rPr>
        <w:t>.  As individuals game the system, the regulations inevitably become more complex and more expensive to administer.</w:t>
      </w:r>
    </w:p>
    <w:p w14:paraId="478A011E" w14:textId="77777777" w:rsidR="00CF076E" w:rsidRPr="00381F61" w:rsidRDefault="00CF076E" w:rsidP="00E71CEB">
      <w:pPr>
        <w:ind w:left="426" w:hanging="371"/>
        <w:jc w:val="both"/>
        <w:rPr>
          <w:rFonts w:ascii="Garamond" w:hAnsi="Garamond"/>
          <w:sz w:val="8"/>
          <w:szCs w:val="8"/>
        </w:rPr>
      </w:pPr>
    </w:p>
    <w:p w14:paraId="1459B152" w14:textId="77777777" w:rsidR="00CF076E" w:rsidRPr="00381F61" w:rsidRDefault="00CF076E" w:rsidP="00E71CEB">
      <w:pPr>
        <w:pStyle w:val="ListParagraph"/>
        <w:numPr>
          <w:ilvl w:val="0"/>
          <w:numId w:val="6"/>
        </w:numPr>
        <w:ind w:left="426" w:hanging="371"/>
        <w:jc w:val="both"/>
        <w:rPr>
          <w:rFonts w:ascii="Garamond" w:hAnsi="Garamond"/>
        </w:rPr>
      </w:pPr>
      <w:r w:rsidRPr="00381F61">
        <w:rPr>
          <w:rFonts w:ascii="Garamond" w:hAnsi="Garamond"/>
          <w:b/>
        </w:rPr>
        <w:t>Distortionary:</w:t>
      </w:r>
      <w:r w:rsidRPr="00381F61">
        <w:rPr>
          <w:rFonts w:ascii="Garamond" w:hAnsi="Garamond"/>
        </w:rPr>
        <w:t xml:space="preserve"> Tax concessions ‘label’ a particular form of behaviour as preferable to other equivalent behaviour.  EET-approved retirement saving schemes are seemingly better for savers than, say, a bank account that retains the TTE treatment.  Advocates for tax incentives should show why locked-up savings are better for a country than accessible equivalents</w:t>
      </w:r>
      <w:r w:rsidRPr="00381F61">
        <w:rPr>
          <w:rStyle w:val="FootnoteReference"/>
          <w:rFonts w:ascii="Garamond" w:hAnsi="Garamond"/>
        </w:rPr>
        <w:footnoteReference w:id="117"/>
      </w:r>
      <w:r w:rsidRPr="00381F61">
        <w:rPr>
          <w:rFonts w:ascii="Garamond" w:hAnsi="Garamond"/>
        </w:rPr>
        <w:t>.</w:t>
      </w:r>
    </w:p>
    <w:p w14:paraId="4FF44CF6" w14:textId="77777777" w:rsidR="00CF076E" w:rsidRPr="00381F61" w:rsidRDefault="00CF076E" w:rsidP="00E71CEB">
      <w:pPr>
        <w:ind w:left="426"/>
        <w:jc w:val="both"/>
        <w:rPr>
          <w:rFonts w:ascii="Garamond" w:hAnsi="Garamond"/>
          <w:sz w:val="8"/>
          <w:szCs w:val="8"/>
        </w:rPr>
      </w:pPr>
    </w:p>
    <w:p w14:paraId="6A395FB8" w14:textId="09385A0F" w:rsidR="00CF076E" w:rsidRPr="00381F61" w:rsidRDefault="00CF076E" w:rsidP="00E71CEB">
      <w:pPr>
        <w:pStyle w:val="ListParagraph"/>
        <w:ind w:left="426"/>
        <w:jc w:val="both"/>
        <w:rPr>
          <w:rFonts w:ascii="Garamond" w:hAnsi="Garamond"/>
        </w:rPr>
      </w:pPr>
      <w:r w:rsidRPr="00381F61">
        <w:rPr>
          <w:rFonts w:ascii="Garamond" w:hAnsi="Garamond"/>
        </w:rPr>
        <w:t>Tax incentives also distort ‘signals’.  Fund managers should aim to deliver real returns (more than inflation) to savers.  That task is much easier under EET by comparison with an environment where all ‘income’ is taxed.  Coupled with the fact that EET savings are locked-in until retirement, fund managers do not have to work as hard to achieve real returns</w:t>
      </w:r>
      <w:r w:rsidR="00A74A10" w:rsidRPr="00381F61">
        <w:rPr>
          <w:rFonts w:ascii="Garamond" w:hAnsi="Garamond"/>
        </w:rPr>
        <w:t xml:space="preserve"> or to retain existing business</w:t>
      </w:r>
      <w:r w:rsidRPr="00381F61">
        <w:rPr>
          <w:rFonts w:ascii="Garamond" w:hAnsi="Garamond"/>
        </w:rPr>
        <w:t>.</w:t>
      </w:r>
    </w:p>
    <w:p w14:paraId="3619F454" w14:textId="77777777" w:rsidR="00CF076E" w:rsidRPr="00381F61" w:rsidRDefault="00CF076E" w:rsidP="00E71CEB">
      <w:pPr>
        <w:pStyle w:val="ListParagraph"/>
        <w:ind w:left="426"/>
        <w:jc w:val="both"/>
        <w:rPr>
          <w:rFonts w:ascii="Garamond" w:hAnsi="Garamond"/>
          <w:sz w:val="8"/>
          <w:szCs w:val="8"/>
        </w:rPr>
      </w:pPr>
    </w:p>
    <w:p w14:paraId="1CBF163B" w14:textId="77777777" w:rsidR="00CF076E" w:rsidRPr="00381F61" w:rsidRDefault="00CF076E" w:rsidP="00E71CEB">
      <w:pPr>
        <w:pStyle w:val="ListParagraph"/>
        <w:ind w:left="426"/>
        <w:jc w:val="both"/>
        <w:rPr>
          <w:rFonts w:ascii="Garamond" w:hAnsi="Garamond"/>
        </w:rPr>
      </w:pPr>
      <w:r w:rsidRPr="00381F61">
        <w:rPr>
          <w:rFonts w:ascii="Garamond" w:hAnsi="Garamond"/>
        </w:rPr>
        <w:t>Also, savers themselves do not capture the full value of EET concessions.  Savers can afford to be less sensitive to the fees charged by managers of EET savings compared with their TTE equivalents.  That special treatment increases the risks of capture by managers and promoters.  Locking EET savings up until retirement increases those risks.</w:t>
      </w:r>
    </w:p>
    <w:p w14:paraId="03570E87" w14:textId="77777777" w:rsidR="000D0AD8" w:rsidRPr="00381F61" w:rsidRDefault="000D0AD8" w:rsidP="00E71CEB">
      <w:pPr>
        <w:pStyle w:val="ListParagraph"/>
        <w:ind w:left="426"/>
        <w:jc w:val="both"/>
        <w:rPr>
          <w:rFonts w:ascii="Garamond" w:hAnsi="Garamond"/>
          <w:sz w:val="8"/>
          <w:szCs w:val="8"/>
        </w:rPr>
      </w:pPr>
    </w:p>
    <w:p w14:paraId="3DD50472" w14:textId="5CE6CD82" w:rsidR="000D0AD8" w:rsidRPr="00381F61" w:rsidRDefault="000D0AD8" w:rsidP="00E71CEB">
      <w:pPr>
        <w:pStyle w:val="ListParagraph"/>
        <w:ind w:left="426"/>
        <w:jc w:val="both"/>
        <w:rPr>
          <w:rFonts w:ascii="Garamond" w:hAnsi="Garamond"/>
        </w:rPr>
      </w:pPr>
      <w:r w:rsidRPr="00381F61">
        <w:rPr>
          <w:rFonts w:ascii="Garamond" w:hAnsi="Garamond"/>
        </w:rPr>
        <w:t xml:space="preserve">There is also a suggestion of an unintended consequence </w:t>
      </w:r>
      <w:r w:rsidR="00E22350" w:rsidRPr="00381F61">
        <w:rPr>
          <w:rFonts w:ascii="Garamond" w:hAnsi="Garamond"/>
        </w:rPr>
        <w:t xml:space="preserve">of New Zealand’s TTE regime.  </w:t>
      </w:r>
      <w:r w:rsidR="00596F35" w:rsidRPr="00381F61">
        <w:rPr>
          <w:rFonts w:ascii="Garamond" w:hAnsi="Garamond"/>
        </w:rPr>
        <w:t>Andrew Coleman</w:t>
      </w:r>
      <w:r w:rsidR="00596F35" w:rsidRPr="00381F61">
        <w:rPr>
          <w:rStyle w:val="FootnoteReference"/>
          <w:rFonts w:ascii="Garamond" w:hAnsi="Garamond"/>
        </w:rPr>
        <w:footnoteReference w:id="118"/>
      </w:r>
      <w:r w:rsidR="00596F35" w:rsidRPr="00381F61">
        <w:rPr>
          <w:rFonts w:ascii="Garamond" w:hAnsi="Garamond"/>
        </w:rPr>
        <w:t xml:space="preserve"> thinks it may be a cause of New Zealand’s runaway house prices.  Housing has a more favourable tax treatment than retirement saving so disadvantaging the latter.</w:t>
      </w:r>
      <w:r w:rsidR="00B813CB" w:rsidRPr="00381F61">
        <w:rPr>
          <w:rFonts w:ascii="Garamond" w:hAnsi="Garamond"/>
        </w:rPr>
        <w:t xml:space="preserve">  Because it seems politically difficult to fix the tax treatment of </w:t>
      </w:r>
      <w:r w:rsidR="00B478A1" w:rsidRPr="00381F61">
        <w:rPr>
          <w:rFonts w:ascii="Garamond" w:hAnsi="Garamond"/>
        </w:rPr>
        <w:t>housing</w:t>
      </w:r>
      <w:r w:rsidR="00B813CB" w:rsidRPr="00381F61">
        <w:rPr>
          <w:rFonts w:ascii="Garamond" w:hAnsi="Garamond"/>
        </w:rPr>
        <w:t xml:space="preserve"> </w:t>
      </w:r>
      <w:r w:rsidR="00321B61" w:rsidRPr="00381F61">
        <w:rPr>
          <w:rFonts w:ascii="Garamond" w:hAnsi="Garamond"/>
        </w:rPr>
        <w:t>it may be preferable to</w:t>
      </w:r>
      <w:r w:rsidR="00B813CB" w:rsidRPr="00381F61">
        <w:rPr>
          <w:rFonts w:ascii="Garamond" w:hAnsi="Garamond"/>
        </w:rPr>
        <w:t xml:space="preserve"> move to the internationally more usual EET</w:t>
      </w:r>
      <w:r w:rsidR="00321B61" w:rsidRPr="00381F61">
        <w:rPr>
          <w:rFonts w:ascii="Garamond" w:hAnsi="Garamond"/>
        </w:rPr>
        <w:t xml:space="preserve"> for retirement savings</w:t>
      </w:r>
      <w:r w:rsidR="00B813CB" w:rsidRPr="00381F61">
        <w:rPr>
          <w:rFonts w:ascii="Garamond" w:hAnsi="Garamond"/>
        </w:rPr>
        <w:t>.</w:t>
      </w:r>
      <w:r w:rsidR="00B478A1" w:rsidRPr="00381F61">
        <w:rPr>
          <w:rFonts w:ascii="Garamond" w:hAnsi="Garamond"/>
        </w:rPr>
        <w:t xml:space="preserve">  The trouble with this argument is the absence of direct evidence of the linkage</w:t>
      </w:r>
      <w:r w:rsidR="009C2C3F" w:rsidRPr="00381F61">
        <w:rPr>
          <w:rFonts w:ascii="Garamond" w:hAnsi="Garamond"/>
        </w:rPr>
        <w:t>, as the author himself acknowledges</w:t>
      </w:r>
      <w:r w:rsidR="00B478A1" w:rsidRPr="00381F61">
        <w:rPr>
          <w:rFonts w:ascii="Garamond" w:hAnsi="Garamond"/>
        </w:rPr>
        <w:t>.  There may be a correlation</w:t>
      </w:r>
      <w:r w:rsidR="00974C3E" w:rsidRPr="00381F61">
        <w:rPr>
          <w:rFonts w:ascii="Garamond" w:hAnsi="Garamond"/>
        </w:rPr>
        <w:t xml:space="preserve"> or </w:t>
      </w:r>
      <w:r w:rsidR="001A0E06" w:rsidRPr="00381F61">
        <w:rPr>
          <w:rFonts w:ascii="Garamond" w:hAnsi="Garamond"/>
        </w:rPr>
        <w:t xml:space="preserve">even </w:t>
      </w:r>
      <w:r w:rsidR="00974C3E" w:rsidRPr="00381F61">
        <w:rPr>
          <w:rFonts w:ascii="Garamond" w:hAnsi="Garamond"/>
        </w:rPr>
        <w:t>a coincidence of timing</w:t>
      </w:r>
      <w:r w:rsidR="00B478A1" w:rsidRPr="00381F61">
        <w:rPr>
          <w:rFonts w:ascii="Garamond" w:hAnsi="Garamond"/>
        </w:rPr>
        <w:t xml:space="preserve"> but, unless a direct link is established, this seems a poor justification for re</w:t>
      </w:r>
      <w:r w:rsidR="00974C3E" w:rsidRPr="00381F61">
        <w:rPr>
          <w:rFonts w:ascii="Garamond" w:hAnsi="Garamond"/>
        </w:rPr>
        <w:t>-</w:t>
      </w:r>
      <w:r w:rsidR="00B478A1" w:rsidRPr="00381F61">
        <w:rPr>
          <w:rFonts w:ascii="Garamond" w:hAnsi="Garamond"/>
        </w:rPr>
        <w:t>introducing the distortions of EET to retirement savings.  New Zealand may be the only country to have TTE but is not the only country with significant recent increases in house prices.</w:t>
      </w:r>
    </w:p>
    <w:p w14:paraId="69C4957F" w14:textId="77777777" w:rsidR="00CF076E" w:rsidRPr="00381F61" w:rsidRDefault="00CF076E" w:rsidP="00E71CEB">
      <w:pPr>
        <w:ind w:left="426" w:hanging="371"/>
        <w:jc w:val="both"/>
        <w:rPr>
          <w:rFonts w:ascii="Garamond" w:hAnsi="Garamond"/>
          <w:sz w:val="8"/>
          <w:szCs w:val="8"/>
        </w:rPr>
      </w:pPr>
    </w:p>
    <w:p w14:paraId="35A80E97" w14:textId="1B2AE153" w:rsidR="00CF076E" w:rsidRPr="00381F61" w:rsidRDefault="00CF076E" w:rsidP="00E71CEB">
      <w:pPr>
        <w:pStyle w:val="ListParagraph"/>
        <w:numPr>
          <w:ilvl w:val="0"/>
          <w:numId w:val="6"/>
        </w:numPr>
        <w:ind w:left="426" w:hanging="371"/>
        <w:jc w:val="both"/>
        <w:rPr>
          <w:rFonts w:ascii="Garamond" w:hAnsi="Garamond"/>
          <w:b/>
        </w:rPr>
      </w:pPr>
      <w:r w:rsidRPr="00381F61">
        <w:rPr>
          <w:rFonts w:ascii="Garamond" w:hAnsi="Garamond"/>
          <w:b/>
        </w:rPr>
        <w:t xml:space="preserve">Inequitable: </w:t>
      </w:r>
      <w:r w:rsidRPr="00381F61">
        <w:rPr>
          <w:rFonts w:ascii="Garamond" w:hAnsi="Garamond"/>
        </w:rPr>
        <w:t>As with compulsion at Tier 2</w:t>
      </w:r>
      <w:r w:rsidR="007072D8" w:rsidRPr="00381F61">
        <w:rPr>
          <w:rFonts w:ascii="Garamond" w:hAnsi="Garamond"/>
        </w:rPr>
        <w:t xml:space="preserve"> (see the next section </w:t>
      </w:r>
      <w:r w:rsidR="000856CF" w:rsidRPr="00381F61">
        <w:rPr>
          <w:rFonts w:ascii="Garamond" w:hAnsi="Garamond"/>
        </w:rPr>
        <w:t>10</w:t>
      </w:r>
      <w:r w:rsidR="007072D8" w:rsidRPr="00381F61">
        <w:rPr>
          <w:rFonts w:ascii="Garamond" w:hAnsi="Garamond"/>
        </w:rPr>
        <w:t>)</w:t>
      </w:r>
      <w:r w:rsidRPr="00381F61">
        <w:rPr>
          <w:rFonts w:ascii="Garamond" w:hAnsi="Garamond"/>
        </w:rPr>
        <w:t xml:space="preserve">, a </w:t>
      </w:r>
      <w:r w:rsidR="007072D8" w:rsidRPr="00381F61">
        <w:rPr>
          <w:rFonts w:ascii="Garamond" w:hAnsi="Garamond"/>
        </w:rPr>
        <w:t xml:space="preserve">retirement income </w:t>
      </w:r>
      <w:r w:rsidRPr="00381F61">
        <w:rPr>
          <w:rFonts w:ascii="Garamond" w:hAnsi="Garamond"/>
        </w:rPr>
        <w:t>policy driven by work-based income necessarily favours higher income earners.  This is a separate point from the regressive nature of tax concessions (paragraph (a)</w:t>
      </w:r>
      <w:r w:rsidR="007072D8" w:rsidRPr="00381F61">
        <w:rPr>
          <w:rFonts w:ascii="Garamond" w:hAnsi="Garamond"/>
        </w:rPr>
        <w:t xml:space="preserve"> above</w:t>
      </w:r>
      <w:r w:rsidRPr="00381F61">
        <w:rPr>
          <w:rFonts w:ascii="Garamond" w:hAnsi="Garamond"/>
        </w:rPr>
        <w:t xml:space="preserve">).  Those with higher rates of pay increases and more complete working lives tend to save more when saving rates are set in relation to pay.  They arrive at retirement with larger retirement accumulations both in money terms and as a proportion of pay.  Tax concessions that favour occupational </w:t>
      </w:r>
      <w:r w:rsidR="00E20BB0" w:rsidRPr="00381F61">
        <w:rPr>
          <w:rFonts w:ascii="Garamond" w:hAnsi="Garamond"/>
        </w:rPr>
        <w:t xml:space="preserve">saving </w:t>
      </w:r>
      <w:r w:rsidRPr="00381F61">
        <w:rPr>
          <w:rFonts w:ascii="Garamond" w:hAnsi="Garamond"/>
        </w:rPr>
        <w:t>schemes tend to institutionalise these inequalities.</w:t>
      </w:r>
    </w:p>
    <w:p w14:paraId="0B448E73" w14:textId="77777777" w:rsidR="00CF076E" w:rsidRPr="00381F61" w:rsidRDefault="00CF076E" w:rsidP="00E71CEB">
      <w:pPr>
        <w:pStyle w:val="ListParagraph"/>
        <w:ind w:left="426"/>
        <w:jc w:val="both"/>
        <w:rPr>
          <w:rFonts w:ascii="Garamond" w:hAnsi="Garamond"/>
          <w:b/>
          <w:sz w:val="8"/>
          <w:szCs w:val="8"/>
        </w:rPr>
      </w:pPr>
    </w:p>
    <w:p w14:paraId="5C17C94F" w14:textId="77777777" w:rsidR="004C07A6" w:rsidRPr="00381F61" w:rsidRDefault="004C07A6" w:rsidP="00E71CEB">
      <w:pPr>
        <w:pStyle w:val="ListParagraph"/>
        <w:numPr>
          <w:ilvl w:val="0"/>
          <w:numId w:val="6"/>
        </w:numPr>
        <w:ind w:left="426" w:hanging="371"/>
        <w:jc w:val="both"/>
        <w:rPr>
          <w:rFonts w:ascii="Garamond" w:hAnsi="Garamond"/>
          <w:b/>
        </w:rPr>
      </w:pPr>
      <w:r w:rsidRPr="00381F61">
        <w:rPr>
          <w:rFonts w:ascii="Garamond" w:hAnsi="Garamond"/>
          <w:b/>
        </w:rPr>
        <w:t>Deadweight costs</w:t>
      </w:r>
      <w:r w:rsidR="00CF076E" w:rsidRPr="00381F61">
        <w:rPr>
          <w:rFonts w:ascii="Garamond" w:hAnsi="Garamond"/>
          <w:b/>
        </w:rPr>
        <w:t>:</w:t>
      </w:r>
      <w:r w:rsidRPr="00381F61">
        <w:rPr>
          <w:rFonts w:ascii="Garamond" w:hAnsi="Garamond"/>
        </w:rPr>
        <w:t xml:space="preserve">  T</w:t>
      </w:r>
      <w:r w:rsidR="00CF076E" w:rsidRPr="00381F61">
        <w:rPr>
          <w:rFonts w:ascii="Garamond" w:hAnsi="Garamond"/>
        </w:rPr>
        <w:t>he</w:t>
      </w:r>
      <w:r w:rsidRPr="00381F61">
        <w:rPr>
          <w:rFonts w:ascii="Garamond" w:hAnsi="Garamond"/>
        </w:rPr>
        <w:t>re are</w:t>
      </w:r>
      <w:r w:rsidR="00CF076E" w:rsidRPr="00381F61">
        <w:rPr>
          <w:rFonts w:ascii="Garamond" w:hAnsi="Garamond"/>
        </w:rPr>
        <w:t xml:space="preserve"> ‘deadweight’ losses to the economy of collecting the extra taxes needed to finance the more fiscally expensive, front-loaded EET environment.  These costs reflect the value of the opportunities that are effectively lost when taxation diverts labour and capital from their best uses</w:t>
      </w:r>
      <w:r w:rsidR="00B77F28" w:rsidRPr="00381F61">
        <w:rPr>
          <w:rStyle w:val="FootnoteReference"/>
          <w:rFonts w:ascii="Garamond" w:hAnsi="Garamond"/>
        </w:rPr>
        <w:footnoteReference w:id="119"/>
      </w:r>
      <w:r w:rsidR="00CF076E" w:rsidRPr="00381F61">
        <w:rPr>
          <w:rFonts w:ascii="Garamond" w:hAnsi="Garamond"/>
        </w:rPr>
        <w:t xml:space="preserve">.  </w:t>
      </w:r>
    </w:p>
    <w:p w14:paraId="754ABE46" w14:textId="77777777" w:rsidR="004C07A6" w:rsidRPr="00381F61" w:rsidRDefault="004C07A6" w:rsidP="004C07A6">
      <w:pPr>
        <w:jc w:val="both"/>
        <w:rPr>
          <w:rFonts w:ascii="Garamond" w:hAnsi="Garamond"/>
          <w:sz w:val="8"/>
          <w:szCs w:val="8"/>
        </w:rPr>
      </w:pPr>
    </w:p>
    <w:p w14:paraId="60199237" w14:textId="6DAEF4CB" w:rsidR="00CF076E" w:rsidRPr="00381F61" w:rsidRDefault="004C07A6" w:rsidP="00E71CEB">
      <w:pPr>
        <w:pStyle w:val="ListParagraph"/>
        <w:numPr>
          <w:ilvl w:val="0"/>
          <w:numId w:val="6"/>
        </w:numPr>
        <w:ind w:left="426" w:hanging="371"/>
        <w:jc w:val="both"/>
        <w:rPr>
          <w:rFonts w:ascii="Garamond" w:hAnsi="Garamond"/>
          <w:b/>
        </w:rPr>
      </w:pPr>
      <w:r w:rsidRPr="00381F61">
        <w:rPr>
          <w:rFonts w:ascii="Garamond" w:hAnsi="Garamond"/>
          <w:b/>
        </w:rPr>
        <w:t xml:space="preserve">Loss of flexibility: </w:t>
      </w:r>
      <w:r w:rsidR="00CF076E" w:rsidRPr="00381F61">
        <w:rPr>
          <w:rFonts w:ascii="Garamond" w:hAnsi="Garamond"/>
        </w:rPr>
        <w:t>Next, individuals face costs through a loss of flexibility.  Savings might be better spent from a lifetime perspective on an earlier financial crisis (such as a health condition</w:t>
      </w:r>
      <w:r w:rsidR="00E95A33" w:rsidRPr="00381F61">
        <w:rPr>
          <w:rFonts w:ascii="Garamond" w:hAnsi="Garamond"/>
        </w:rPr>
        <w:t xml:space="preserve"> or housing issue</w:t>
      </w:r>
      <w:r w:rsidR="00CF076E" w:rsidRPr="00381F61">
        <w:rPr>
          <w:rFonts w:ascii="Garamond" w:hAnsi="Garamond"/>
        </w:rPr>
        <w:t xml:space="preserve">) or on a more productive investment, such as buying and building a business or reducing debt.  Compulsory private provision at Tier 2 </w:t>
      </w:r>
      <w:r w:rsidR="00495C86" w:rsidRPr="00381F61">
        <w:rPr>
          <w:rFonts w:ascii="Garamond" w:hAnsi="Garamond"/>
        </w:rPr>
        <w:t xml:space="preserve">(covered in the next section 10) </w:t>
      </w:r>
      <w:r w:rsidR="00CF076E" w:rsidRPr="00381F61">
        <w:rPr>
          <w:rFonts w:ascii="Garamond" w:hAnsi="Garamond"/>
        </w:rPr>
        <w:t>faces parallel difficulties.</w:t>
      </w:r>
    </w:p>
    <w:p w14:paraId="500B29E9" w14:textId="77777777" w:rsidR="00CF076E" w:rsidRPr="00381F61" w:rsidRDefault="00CF076E" w:rsidP="00E71CEB">
      <w:pPr>
        <w:ind w:left="426" w:hanging="371"/>
        <w:jc w:val="both"/>
        <w:rPr>
          <w:rFonts w:ascii="Garamond" w:hAnsi="Garamond"/>
          <w:sz w:val="8"/>
          <w:szCs w:val="8"/>
        </w:rPr>
      </w:pPr>
    </w:p>
    <w:p w14:paraId="5753B8FE" w14:textId="77777777" w:rsidR="00CF076E" w:rsidRPr="00381F61" w:rsidRDefault="00CF076E" w:rsidP="00E71CEB">
      <w:pPr>
        <w:pStyle w:val="ListParagraph"/>
        <w:numPr>
          <w:ilvl w:val="0"/>
          <w:numId w:val="6"/>
        </w:numPr>
        <w:ind w:left="426" w:hanging="371"/>
        <w:jc w:val="both"/>
        <w:rPr>
          <w:rFonts w:ascii="Garamond" w:hAnsi="Garamond"/>
        </w:rPr>
      </w:pPr>
      <w:r w:rsidRPr="00381F61">
        <w:rPr>
          <w:rFonts w:ascii="Garamond" w:hAnsi="Garamond"/>
          <w:b/>
        </w:rPr>
        <w:t>Do they work?</w:t>
      </w:r>
      <w:r w:rsidRPr="00381F61">
        <w:rPr>
          <w:rFonts w:ascii="Garamond" w:hAnsi="Garamond"/>
        </w:rPr>
        <w:t xml:space="preserve"> Given that all countries have tax concessions for retirement saving, we might expect studies that demonstrate the ‘value for money’ test.  Do tax incentives actually increase savings?  The answer is ‘possibly not’ despite very large sums that accumulate in tax-favoured schemes.  It’s very difficult, perhaps impossible, to work out because we do not know what might have happened in the absence of the incentives; what economists call the ‘counter-factual’</w:t>
      </w:r>
      <w:r w:rsidRPr="00381F61">
        <w:rPr>
          <w:rStyle w:val="FootnoteReference"/>
          <w:rFonts w:ascii="Garamond" w:hAnsi="Garamond"/>
        </w:rPr>
        <w:footnoteReference w:id="120"/>
      </w:r>
      <w:r w:rsidRPr="00381F61">
        <w:rPr>
          <w:rFonts w:ascii="Garamond" w:hAnsi="Garamond"/>
        </w:rPr>
        <w:t>.  Some studies suggest the overall impact on the quantum of savings and national saving rates is doubtful</w:t>
      </w:r>
      <w:r w:rsidRPr="00381F61">
        <w:rPr>
          <w:rStyle w:val="FootnoteReference"/>
          <w:rFonts w:ascii="Garamond" w:hAnsi="Garamond"/>
        </w:rPr>
        <w:footnoteReference w:id="121"/>
      </w:r>
      <w:r w:rsidRPr="00381F61">
        <w:rPr>
          <w:rFonts w:ascii="Garamond" w:hAnsi="Garamond"/>
        </w:rPr>
        <w:t>.</w:t>
      </w:r>
    </w:p>
    <w:p w14:paraId="41ECD0F3" w14:textId="77777777" w:rsidR="00CF076E" w:rsidRPr="00381F61" w:rsidRDefault="00CF076E" w:rsidP="00E71CEB">
      <w:pPr>
        <w:pStyle w:val="ListParagraph"/>
        <w:ind w:left="426"/>
        <w:jc w:val="both"/>
        <w:rPr>
          <w:rFonts w:ascii="Garamond" w:hAnsi="Garamond"/>
          <w:sz w:val="8"/>
          <w:szCs w:val="8"/>
        </w:rPr>
      </w:pPr>
    </w:p>
    <w:p w14:paraId="3518CA9A" w14:textId="6E78DABB" w:rsidR="00CF076E" w:rsidRPr="00381F61" w:rsidRDefault="00CF076E" w:rsidP="00E71CEB">
      <w:pPr>
        <w:pStyle w:val="ListParagraph"/>
        <w:ind w:left="426"/>
        <w:jc w:val="both"/>
        <w:rPr>
          <w:rFonts w:ascii="Garamond" w:hAnsi="Garamond"/>
        </w:rPr>
      </w:pPr>
      <w:r w:rsidRPr="00381F61">
        <w:rPr>
          <w:rFonts w:ascii="Garamond" w:hAnsi="Garamond"/>
        </w:rPr>
        <w:t xml:space="preserve">In fact, if households as a whole were </w:t>
      </w:r>
      <w:r w:rsidRPr="00381F61">
        <w:rPr>
          <w:rFonts w:ascii="Garamond" w:hAnsi="Garamond"/>
          <w:i/>
        </w:rPr>
        <w:t>perfectly</w:t>
      </w:r>
      <w:r w:rsidRPr="00381F61">
        <w:rPr>
          <w:rFonts w:ascii="Garamond" w:hAnsi="Garamond"/>
        </w:rPr>
        <w:t xml:space="preserve"> rational, they would allow for the value of tax concessions when setting target retirement saving levels.  The annual amounts required to meet a given target are less</w:t>
      </w:r>
      <w:r w:rsidR="004C07A6" w:rsidRPr="00381F61">
        <w:rPr>
          <w:rFonts w:ascii="Garamond" w:hAnsi="Garamond"/>
        </w:rPr>
        <w:t xml:space="preserve"> if those savings are subsidised through favourable tax treatment</w:t>
      </w:r>
      <w:r w:rsidRPr="00381F61">
        <w:rPr>
          <w:rFonts w:ascii="Garamond" w:hAnsi="Garamond"/>
        </w:rPr>
        <w:t>.  We should therefore expect lower annual levels of household saving in a tax-favoured EET environment than under TTE because of the large value of the concessions given by taxpayers to the saver’s lifetime saving project.  Given that tax breaks seem not to ‘improve’ the quantum of savings</w:t>
      </w:r>
      <w:r w:rsidR="004C07A6" w:rsidRPr="00381F61">
        <w:rPr>
          <w:rFonts w:ascii="Garamond" w:hAnsi="Garamond"/>
        </w:rPr>
        <w:t xml:space="preserve"> (along with the other difficulties described above)</w:t>
      </w:r>
      <w:r w:rsidRPr="00381F61">
        <w:rPr>
          <w:rFonts w:ascii="Garamond" w:hAnsi="Garamond"/>
        </w:rPr>
        <w:t>, the expensive, complex concessions in an EET environment arguably become pointless.</w:t>
      </w:r>
    </w:p>
    <w:p w14:paraId="132144FF" w14:textId="77777777" w:rsidR="00CF076E" w:rsidRPr="00381F61" w:rsidRDefault="00CF076E" w:rsidP="00E71CEB">
      <w:pPr>
        <w:ind w:left="426"/>
        <w:jc w:val="both"/>
        <w:rPr>
          <w:rFonts w:ascii="Garamond" w:hAnsi="Garamond"/>
        </w:rPr>
      </w:pPr>
    </w:p>
    <w:p w14:paraId="7E60B650" w14:textId="3290CEC4" w:rsidR="00CF076E" w:rsidRPr="00381F61" w:rsidRDefault="00CF076E" w:rsidP="00E71CEB">
      <w:pPr>
        <w:jc w:val="both"/>
        <w:rPr>
          <w:rFonts w:ascii="Garamond" w:hAnsi="Garamond"/>
        </w:rPr>
      </w:pPr>
      <w:r w:rsidRPr="00381F61">
        <w:rPr>
          <w:rFonts w:ascii="Garamond" w:hAnsi="Garamond"/>
        </w:rPr>
        <w:t>As a result, while tax policy (or a matching contribution that has similar characteristics to a concession</w:t>
      </w:r>
      <w:r w:rsidR="00FA6002" w:rsidRPr="00381F61">
        <w:rPr>
          <w:rFonts w:ascii="Garamond" w:hAnsi="Garamond"/>
        </w:rPr>
        <w:t xml:space="preserve"> such as KiwiSaver’s ‘member tax credit’</w:t>
      </w:r>
      <w:r w:rsidRPr="00381F61">
        <w:rPr>
          <w:rFonts w:ascii="Garamond" w:hAnsi="Garamond"/>
        </w:rPr>
        <w:t>) encourages contributions to a retirement saving vehicle (public, occupational or retail), we should expect EET-based incentives to have little</w:t>
      </w:r>
      <w:r w:rsidR="0044203E" w:rsidRPr="00381F61">
        <w:rPr>
          <w:rFonts w:ascii="Garamond" w:hAnsi="Garamond"/>
        </w:rPr>
        <w:t>, long-term</w:t>
      </w:r>
      <w:r w:rsidRPr="00381F61">
        <w:rPr>
          <w:rFonts w:ascii="Garamond" w:hAnsi="Garamond"/>
        </w:rPr>
        <w:t xml:space="preserve"> effect on nat</w:t>
      </w:r>
      <w:r w:rsidR="006B04F4" w:rsidRPr="00381F61">
        <w:rPr>
          <w:rFonts w:ascii="Garamond" w:hAnsi="Garamond"/>
        </w:rPr>
        <w:t>ional saving.</w:t>
      </w:r>
      <w:r w:rsidR="009C648E" w:rsidRPr="00381F61">
        <w:rPr>
          <w:rFonts w:ascii="Garamond" w:hAnsi="Garamond"/>
        </w:rPr>
        <w:t xml:space="preserve">  There have been remarkably few studies as to whether tax breaks work to improve national saving levels and we have offered some inter</w:t>
      </w:r>
      <w:r w:rsidR="008D348E" w:rsidRPr="00381F61">
        <w:rPr>
          <w:rFonts w:ascii="Garamond" w:hAnsi="Garamond"/>
        </w:rPr>
        <w:t>national evidence</w:t>
      </w:r>
      <w:r w:rsidR="009875F0" w:rsidRPr="00381F61">
        <w:rPr>
          <w:rFonts w:ascii="Garamond" w:hAnsi="Garamond"/>
        </w:rPr>
        <w:t xml:space="preserve"> on that issue</w:t>
      </w:r>
      <w:r w:rsidR="009C648E" w:rsidRPr="00381F61">
        <w:rPr>
          <w:rFonts w:ascii="Garamond" w:hAnsi="Garamond"/>
        </w:rPr>
        <w:t xml:space="preserve">.  Further work is needed both to identify overseas studies and to understand the effect of KiwiSaver subsidies on New Zealanders’ </w:t>
      </w:r>
      <w:r w:rsidR="00EE06D1" w:rsidRPr="00381F61">
        <w:rPr>
          <w:rFonts w:ascii="Garamond" w:hAnsi="Garamond"/>
        </w:rPr>
        <w:t xml:space="preserve">recent </w:t>
      </w:r>
      <w:r w:rsidR="009C648E" w:rsidRPr="00381F61">
        <w:rPr>
          <w:rFonts w:ascii="Garamond" w:hAnsi="Garamond"/>
        </w:rPr>
        <w:t>behaviour.  We have more</w:t>
      </w:r>
      <w:r w:rsidR="009875F0" w:rsidRPr="00381F61">
        <w:rPr>
          <w:rFonts w:ascii="Garamond" w:hAnsi="Garamond"/>
        </w:rPr>
        <w:t xml:space="preserve"> to say on this in section 1</w:t>
      </w:r>
      <w:r w:rsidR="000856CF" w:rsidRPr="00381F61">
        <w:rPr>
          <w:rFonts w:ascii="Garamond" w:hAnsi="Garamond"/>
        </w:rPr>
        <w:t>1</w:t>
      </w:r>
      <w:r w:rsidR="009875F0" w:rsidRPr="00381F61">
        <w:rPr>
          <w:rFonts w:ascii="Garamond" w:hAnsi="Garamond"/>
        </w:rPr>
        <w:t xml:space="preserve"> (T</w:t>
      </w:r>
      <w:r w:rsidR="009C648E" w:rsidRPr="00381F61">
        <w:rPr>
          <w:rFonts w:ascii="Garamond" w:hAnsi="Garamond"/>
        </w:rPr>
        <w:t xml:space="preserve">he role of </w:t>
      </w:r>
      <w:r w:rsidR="00F60F48" w:rsidRPr="00381F61">
        <w:rPr>
          <w:rFonts w:ascii="Garamond" w:hAnsi="Garamond"/>
        </w:rPr>
        <w:t xml:space="preserve">the </w:t>
      </w:r>
      <w:r w:rsidR="009C648E" w:rsidRPr="00381F61">
        <w:rPr>
          <w:rFonts w:ascii="Garamond" w:hAnsi="Garamond"/>
        </w:rPr>
        <w:t>government).</w:t>
      </w:r>
    </w:p>
    <w:p w14:paraId="0CF7097E" w14:textId="77777777" w:rsidR="00EC24E4" w:rsidRPr="00381F61" w:rsidRDefault="00EC24E4" w:rsidP="00E71CEB">
      <w:pPr>
        <w:jc w:val="both"/>
        <w:rPr>
          <w:rFonts w:ascii="Garamond" w:hAnsi="Garamond"/>
        </w:rPr>
      </w:pPr>
    </w:p>
    <w:p w14:paraId="3DC3AE0C" w14:textId="620AF262" w:rsidR="00F60F48" w:rsidRPr="00381F61" w:rsidRDefault="00F60F48" w:rsidP="00E71CEB">
      <w:pPr>
        <w:jc w:val="both"/>
        <w:rPr>
          <w:rFonts w:ascii="Garamond" w:hAnsi="Garamond"/>
        </w:rPr>
      </w:pPr>
      <w:r w:rsidRPr="00381F61">
        <w:rPr>
          <w:rFonts w:ascii="Garamond" w:hAnsi="Garamond"/>
        </w:rPr>
        <w:t>There is no doubt that the financial services industry favours tax incentives for retirement saving and that alone should give us pause</w:t>
      </w:r>
      <w:r w:rsidR="001163AE" w:rsidRPr="00381F61">
        <w:rPr>
          <w:rFonts w:ascii="Garamond" w:hAnsi="Garamond"/>
        </w:rPr>
        <w:t xml:space="preserve"> for thought</w:t>
      </w:r>
      <w:r w:rsidRPr="00381F61">
        <w:rPr>
          <w:rFonts w:ascii="Garamond" w:hAnsi="Garamond"/>
        </w:rPr>
        <w:t xml:space="preserve">.  It is so much easier to generate new business when there is a time-dependent </w:t>
      </w:r>
      <w:r w:rsidR="001163AE" w:rsidRPr="00381F61">
        <w:rPr>
          <w:rFonts w:ascii="Garamond" w:hAnsi="Garamond"/>
        </w:rPr>
        <w:t>amount paid for by taxpayers</w:t>
      </w:r>
      <w:r w:rsidRPr="00381F61">
        <w:rPr>
          <w:rFonts w:ascii="Garamond" w:hAnsi="Garamond"/>
        </w:rPr>
        <w:t>.</w:t>
      </w:r>
    </w:p>
    <w:p w14:paraId="1637B52A" w14:textId="77777777" w:rsidR="00F60F48" w:rsidRPr="00381F61" w:rsidRDefault="00F60F48" w:rsidP="00E71CEB">
      <w:pPr>
        <w:jc w:val="both"/>
        <w:rPr>
          <w:rFonts w:ascii="Garamond" w:hAnsi="Garamond"/>
        </w:rPr>
      </w:pPr>
    </w:p>
    <w:p w14:paraId="2850C850" w14:textId="7337CD79" w:rsidR="00252FB0" w:rsidRPr="00381F61" w:rsidRDefault="00EC24E4" w:rsidP="001E6A72">
      <w:pPr>
        <w:jc w:val="both"/>
        <w:rPr>
          <w:rFonts w:ascii="Garamond" w:hAnsi="Garamond"/>
        </w:rPr>
      </w:pPr>
      <w:r w:rsidRPr="00381F61">
        <w:rPr>
          <w:rFonts w:ascii="Garamond" w:hAnsi="Garamond"/>
        </w:rPr>
        <w:t xml:space="preserve">Given that tax breaks for retirement saving are expensive, complex, inequitable, distortionary, regressive and seemingly don’t work, it’s difficult to understand why </w:t>
      </w:r>
      <w:r w:rsidR="001E6A72" w:rsidRPr="00381F61">
        <w:rPr>
          <w:rFonts w:ascii="Garamond" w:hAnsi="Garamond"/>
        </w:rPr>
        <w:t xml:space="preserve">any </w:t>
      </w:r>
      <w:r w:rsidRPr="00381F61">
        <w:rPr>
          <w:rFonts w:ascii="Garamond" w:hAnsi="Garamond"/>
        </w:rPr>
        <w:t>government might be interested in using tax to increase subsidies to savings.</w:t>
      </w:r>
    </w:p>
    <w:p w14:paraId="2492D22A" w14:textId="77777777" w:rsidR="00252FB0" w:rsidRPr="00381F61" w:rsidRDefault="00252FB0" w:rsidP="001E6A72">
      <w:pPr>
        <w:jc w:val="both"/>
        <w:rPr>
          <w:rFonts w:ascii="Garamond" w:hAnsi="Garamond"/>
        </w:rPr>
      </w:pPr>
    </w:p>
    <w:p w14:paraId="436153ED" w14:textId="1EDB408F" w:rsidR="00AA781F" w:rsidRPr="00381F61" w:rsidRDefault="00AA781F" w:rsidP="00AA781F">
      <w:pPr>
        <w:jc w:val="both"/>
        <w:rPr>
          <w:rFonts w:ascii="Garamond" w:hAnsi="Garamond"/>
          <w:b/>
        </w:rPr>
      </w:pPr>
      <w:r w:rsidRPr="00381F61">
        <w:rPr>
          <w:rFonts w:ascii="Garamond" w:hAnsi="Garamond"/>
          <w:b/>
        </w:rPr>
        <w:t xml:space="preserve">Tax Working Group (TWG) – </w:t>
      </w:r>
      <w:r w:rsidR="00A60D57" w:rsidRPr="00381F61">
        <w:rPr>
          <w:rFonts w:ascii="Garamond" w:hAnsi="Garamond"/>
          <w:b/>
        </w:rPr>
        <w:t xml:space="preserve">evidence-free </w:t>
      </w:r>
      <w:r w:rsidRPr="00381F61">
        <w:rPr>
          <w:rFonts w:ascii="Garamond" w:hAnsi="Garamond"/>
          <w:b/>
        </w:rPr>
        <w:t>recommendations on KiwiSaver</w:t>
      </w:r>
    </w:p>
    <w:p w14:paraId="61D86C95" w14:textId="7F0A5AF0" w:rsidR="00AA781F" w:rsidRPr="00381F61" w:rsidRDefault="00AA781F" w:rsidP="00AA781F">
      <w:pPr>
        <w:jc w:val="both"/>
        <w:rPr>
          <w:rFonts w:ascii="Garamond" w:hAnsi="Garamond"/>
          <w:b/>
        </w:rPr>
      </w:pPr>
    </w:p>
    <w:p w14:paraId="4B4F9562" w14:textId="2E2BB28B" w:rsidR="00923C06" w:rsidRPr="00381F61" w:rsidRDefault="00923C06" w:rsidP="00AA781F">
      <w:pPr>
        <w:jc w:val="both"/>
        <w:rPr>
          <w:rFonts w:ascii="Garamond" w:hAnsi="Garamond"/>
        </w:rPr>
      </w:pPr>
      <w:r w:rsidRPr="00381F61">
        <w:rPr>
          <w:rFonts w:ascii="Garamond" w:hAnsi="Garamond"/>
        </w:rPr>
        <w:t xml:space="preserve">In 2018, the TWG was asked to “consider the future of tax” and in particular, to investigate the design and implementation of a capital gains tax.  The TWG’s brief was to “…provide recommendations to Government that would improve the fairness, balance and structure of the tax system over the next ten years” (see </w:t>
      </w:r>
      <w:hyperlink r:id="rId41" w:history="1">
        <w:r w:rsidRPr="00381F61">
          <w:rPr>
            <w:rStyle w:val="Hyperlink"/>
            <w:rFonts w:ascii="Garamond" w:hAnsi="Garamond"/>
          </w:rPr>
          <w:t>here</w:t>
        </w:r>
      </w:hyperlink>
      <w:r w:rsidRPr="00381F61">
        <w:rPr>
          <w:rFonts w:ascii="Garamond" w:hAnsi="Garamond"/>
        </w:rPr>
        <w:t>).  The government’s so-called ‘starting position’ was that “…tax should operate neutrally and as much as possible in the background…” (</w:t>
      </w:r>
      <w:hyperlink r:id="rId42" w:history="1">
        <w:r w:rsidRPr="00381F61">
          <w:rPr>
            <w:rStyle w:val="Hyperlink"/>
            <w:rFonts w:ascii="Garamond" w:hAnsi="Garamond"/>
          </w:rPr>
          <w:t>here</w:t>
        </w:r>
      </w:hyperlink>
      <w:r w:rsidRPr="00381F61">
        <w:rPr>
          <w:rFonts w:ascii="Garamond" w:hAnsi="Garamond"/>
        </w:rPr>
        <w:t>).</w:t>
      </w:r>
    </w:p>
    <w:p w14:paraId="04CEBA31" w14:textId="77777777" w:rsidR="00923C06" w:rsidRPr="00381F61" w:rsidRDefault="00923C06" w:rsidP="00AA781F">
      <w:pPr>
        <w:jc w:val="both"/>
        <w:rPr>
          <w:rFonts w:ascii="Garamond" w:hAnsi="Garamond"/>
        </w:rPr>
      </w:pPr>
    </w:p>
    <w:p w14:paraId="662FB8A3" w14:textId="4692752D" w:rsidR="00923C06" w:rsidRPr="00381F61" w:rsidRDefault="00923C06" w:rsidP="00AA781F">
      <w:pPr>
        <w:jc w:val="both"/>
        <w:rPr>
          <w:rFonts w:ascii="Garamond" w:hAnsi="Garamond"/>
        </w:rPr>
      </w:pPr>
      <w:r w:rsidRPr="00381F61">
        <w:rPr>
          <w:rFonts w:ascii="Garamond" w:hAnsi="Garamond"/>
        </w:rPr>
        <w:t xml:space="preserve">It’s a pity, then, that the TWG failed its terms of reference with its recommendations on possible changes to the tax treatment of KiwiSaver.  </w:t>
      </w:r>
    </w:p>
    <w:p w14:paraId="3FFCFC0A" w14:textId="77777777" w:rsidR="00923C06" w:rsidRPr="00381F61" w:rsidRDefault="00923C06" w:rsidP="00AA781F">
      <w:pPr>
        <w:jc w:val="both"/>
        <w:rPr>
          <w:rFonts w:ascii="Garamond" w:hAnsi="Garamond"/>
        </w:rPr>
      </w:pPr>
    </w:p>
    <w:p w14:paraId="3CFF1D99" w14:textId="4FCB2952" w:rsidR="00AA781F" w:rsidRPr="00381F61" w:rsidRDefault="00AA781F" w:rsidP="00AA781F">
      <w:pPr>
        <w:jc w:val="both"/>
        <w:rPr>
          <w:rFonts w:ascii="Garamond" w:hAnsi="Garamond"/>
        </w:rPr>
      </w:pPr>
      <w:r w:rsidRPr="00381F61">
        <w:rPr>
          <w:rFonts w:ascii="Garamond" w:hAnsi="Garamond"/>
        </w:rPr>
        <w:t xml:space="preserve">The TWG’s </w:t>
      </w:r>
      <w:r w:rsidR="006158F3" w:rsidRPr="00381F61">
        <w:rPr>
          <w:rFonts w:ascii="Garamond" w:hAnsi="Garamond"/>
          <w:i/>
        </w:rPr>
        <w:t>Final report</w:t>
      </w:r>
      <w:r w:rsidR="006158F3" w:rsidRPr="00381F61">
        <w:rPr>
          <w:rFonts w:ascii="Garamond" w:hAnsi="Garamond"/>
        </w:rPr>
        <w:t xml:space="preserve"> (accessible </w:t>
      </w:r>
      <w:hyperlink r:id="rId43" w:history="1">
        <w:r w:rsidR="006158F3" w:rsidRPr="00381F61">
          <w:rPr>
            <w:rStyle w:val="Hyperlink"/>
            <w:rFonts w:ascii="Garamond" w:hAnsi="Garamond"/>
          </w:rPr>
          <w:t>here</w:t>
        </w:r>
      </w:hyperlink>
      <w:r w:rsidR="006158F3" w:rsidRPr="00381F61">
        <w:rPr>
          <w:rFonts w:ascii="Garamond" w:hAnsi="Garamond"/>
        </w:rPr>
        <w:t>) states:</w:t>
      </w:r>
    </w:p>
    <w:p w14:paraId="336C2E12" w14:textId="77777777" w:rsidR="006158F3" w:rsidRPr="00381F61" w:rsidRDefault="006158F3" w:rsidP="00AA781F">
      <w:pPr>
        <w:jc w:val="both"/>
        <w:rPr>
          <w:rFonts w:ascii="Garamond" w:hAnsi="Garamond"/>
          <w:sz w:val="8"/>
          <w:szCs w:val="8"/>
        </w:rPr>
      </w:pPr>
    </w:p>
    <w:p w14:paraId="4D898995" w14:textId="7AAD58E4" w:rsidR="004463C8" w:rsidRPr="00381F61" w:rsidRDefault="006158F3" w:rsidP="00701CA1">
      <w:pPr>
        <w:ind w:left="709"/>
        <w:rPr>
          <w:rFonts w:ascii="Garamond" w:hAnsi="Garamond"/>
          <w:sz w:val="22"/>
          <w:szCs w:val="22"/>
        </w:rPr>
      </w:pPr>
      <w:r w:rsidRPr="00381F61">
        <w:rPr>
          <w:rFonts w:ascii="Garamond" w:hAnsi="Garamond"/>
          <w:sz w:val="22"/>
          <w:szCs w:val="22"/>
        </w:rPr>
        <w:t>“</w:t>
      </w:r>
      <w:r w:rsidR="004463C8" w:rsidRPr="00381F61">
        <w:rPr>
          <w:rFonts w:ascii="Garamond" w:hAnsi="Garamond"/>
          <w:sz w:val="22"/>
          <w:szCs w:val="22"/>
        </w:rPr>
        <w:t>64. New Zealand currently offers few tax incentives for retirement savings. The Group does not see a case to radically reform the taxation of retirement savings but an increase in the tax benefits for low- and middle-income earners provided through KiwiSaver would encourage people to put more away for their retirement.” (at page 81)</w:t>
      </w:r>
    </w:p>
    <w:p w14:paraId="1B4FE4B2" w14:textId="67380F66" w:rsidR="006158F3" w:rsidRPr="00381F61" w:rsidRDefault="006158F3" w:rsidP="004463C8">
      <w:pPr>
        <w:rPr>
          <w:rFonts w:ascii="Garamond" w:hAnsi="Garamond"/>
        </w:rPr>
      </w:pPr>
    </w:p>
    <w:p w14:paraId="6CB39D89" w14:textId="4DC451DC" w:rsidR="004463C8" w:rsidRPr="00381F61" w:rsidRDefault="004463C8" w:rsidP="004463C8">
      <w:pPr>
        <w:jc w:val="both"/>
        <w:rPr>
          <w:rFonts w:ascii="Garamond" w:hAnsi="Garamond"/>
        </w:rPr>
      </w:pPr>
      <w:r w:rsidRPr="00381F61">
        <w:rPr>
          <w:rFonts w:ascii="Garamond" w:hAnsi="Garamond"/>
        </w:rPr>
        <w:t xml:space="preserve">The TWG sees no “case to radically reform the taxation for retirement savings” but then </w:t>
      </w:r>
      <w:r w:rsidR="007312F6" w:rsidRPr="00381F61">
        <w:rPr>
          <w:rFonts w:ascii="Garamond" w:hAnsi="Garamond"/>
        </w:rPr>
        <w:t xml:space="preserve">inconsistently </w:t>
      </w:r>
      <w:r w:rsidRPr="00381F61">
        <w:rPr>
          <w:rFonts w:ascii="Garamond" w:hAnsi="Garamond"/>
        </w:rPr>
        <w:t>suggest</w:t>
      </w:r>
      <w:r w:rsidR="00C848D1" w:rsidRPr="00381F61">
        <w:rPr>
          <w:rFonts w:ascii="Garamond" w:hAnsi="Garamond"/>
        </w:rPr>
        <w:t>ed</w:t>
      </w:r>
      <w:r w:rsidRPr="00381F61">
        <w:rPr>
          <w:rFonts w:ascii="Garamond" w:hAnsi="Garamond"/>
        </w:rPr>
        <w:t xml:space="preserve"> the </w:t>
      </w:r>
      <w:r w:rsidR="00045B23" w:rsidRPr="00381F61">
        <w:rPr>
          <w:rFonts w:ascii="Garamond" w:hAnsi="Garamond"/>
        </w:rPr>
        <w:t xml:space="preserve">potential </w:t>
      </w:r>
      <w:r w:rsidRPr="00381F61">
        <w:rPr>
          <w:rFonts w:ascii="Garamond" w:hAnsi="Garamond"/>
        </w:rPr>
        <w:t xml:space="preserve">addition of </w:t>
      </w:r>
      <w:r w:rsidR="007312F6" w:rsidRPr="00381F61">
        <w:rPr>
          <w:rFonts w:ascii="Garamond" w:hAnsi="Garamond"/>
        </w:rPr>
        <w:t>significant</w:t>
      </w:r>
      <w:r w:rsidRPr="00381F61">
        <w:rPr>
          <w:rFonts w:ascii="Garamond" w:hAnsi="Garamond"/>
        </w:rPr>
        <w:t xml:space="preserve"> subsidies for KiwiSaver that would overturn the way just KiwiSaver savings are treated.  Here is the range of possibilities (summarised at page 93):</w:t>
      </w:r>
    </w:p>
    <w:p w14:paraId="40764965" w14:textId="77777777" w:rsidR="002B234B" w:rsidRPr="00381F61" w:rsidRDefault="002B234B" w:rsidP="004463C8">
      <w:pPr>
        <w:jc w:val="both"/>
        <w:rPr>
          <w:rFonts w:ascii="Garamond" w:hAnsi="Garamond"/>
          <w:sz w:val="8"/>
          <w:szCs w:val="8"/>
        </w:rPr>
      </w:pPr>
    </w:p>
    <w:p w14:paraId="6A93E6C0" w14:textId="640B4924" w:rsidR="001C5C72" w:rsidRPr="00381F61" w:rsidRDefault="001C5C72" w:rsidP="00701CA1">
      <w:pPr>
        <w:pStyle w:val="ListParagraph"/>
        <w:numPr>
          <w:ilvl w:val="0"/>
          <w:numId w:val="67"/>
        </w:numPr>
        <w:rPr>
          <w:rFonts w:ascii="Garamond" w:hAnsi="Garamond"/>
        </w:rPr>
      </w:pPr>
      <w:r w:rsidRPr="00381F61">
        <w:rPr>
          <w:rFonts w:ascii="Garamond" w:hAnsi="Garamond"/>
        </w:rPr>
        <w:t>“Remove ESCT on employer’s matching contribution of 3% of the salary to KiwiSaver, for members earning up to $48,000 per year.” – cost about $220 million a year;</w:t>
      </w:r>
    </w:p>
    <w:p w14:paraId="5A4D795E" w14:textId="7F853A43" w:rsidR="001C5C72" w:rsidRPr="00381F61" w:rsidRDefault="001C5C72" w:rsidP="00701CA1">
      <w:pPr>
        <w:pStyle w:val="ListParagraph"/>
        <w:numPr>
          <w:ilvl w:val="0"/>
          <w:numId w:val="67"/>
        </w:numPr>
        <w:rPr>
          <w:rFonts w:ascii="Garamond" w:hAnsi="Garamond"/>
        </w:rPr>
      </w:pPr>
      <w:r w:rsidRPr="00381F61">
        <w:rPr>
          <w:rFonts w:ascii="Garamond" w:hAnsi="Garamond"/>
        </w:rPr>
        <w:t xml:space="preserve">“Remove ESCT on employer’s matching contribution of 3% of the salary to KiwiSaver. The amount of ESCT that is exempt is reduced by 6 cents per dollar of income over $48,000 (so no exemption for employees earning over $70,000).” – cost about $340 </w:t>
      </w:r>
      <w:r w:rsidR="003328D2" w:rsidRPr="00381F61">
        <w:rPr>
          <w:rFonts w:ascii="Garamond" w:hAnsi="Garamond"/>
        </w:rPr>
        <w:t xml:space="preserve">million </w:t>
      </w:r>
      <w:r w:rsidRPr="00381F61">
        <w:rPr>
          <w:rFonts w:ascii="Garamond" w:hAnsi="Garamond"/>
        </w:rPr>
        <w:t>a year;</w:t>
      </w:r>
    </w:p>
    <w:p w14:paraId="01860FAC" w14:textId="72017DB6" w:rsidR="001C5C72" w:rsidRPr="00381F61" w:rsidRDefault="001C5C72" w:rsidP="00701CA1">
      <w:pPr>
        <w:pStyle w:val="ListParagraph"/>
        <w:numPr>
          <w:ilvl w:val="0"/>
          <w:numId w:val="67"/>
        </w:numPr>
        <w:rPr>
          <w:rFonts w:ascii="Garamond" w:hAnsi="Garamond"/>
        </w:rPr>
      </w:pPr>
      <w:r w:rsidRPr="00381F61">
        <w:rPr>
          <w:rFonts w:ascii="Garamond" w:hAnsi="Garamond"/>
        </w:rPr>
        <w:t>“Reduce lower PIE rates by five percentage points for KiwiSaver funds (5.5%, 12.5%, 28%).” – cost about $12</w:t>
      </w:r>
      <w:r w:rsidR="003328D2" w:rsidRPr="00381F61">
        <w:rPr>
          <w:rFonts w:ascii="Garamond" w:hAnsi="Garamond"/>
        </w:rPr>
        <w:t>6</w:t>
      </w:r>
      <w:r w:rsidRPr="00381F61">
        <w:rPr>
          <w:rFonts w:ascii="Garamond" w:hAnsi="Garamond"/>
        </w:rPr>
        <w:t xml:space="preserve"> million a year; </w:t>
      </w:r>
    </w:p>
    <w:p w14:paraId="5A78C117" w14:textId="3EA953B5" w:rsidR="001C5C72" w:rsidRPr="00381F61" w:rsidRDefault="001C5C72" w:rsidP="00701CA1">
      <w:pPr>
        <w:pStyle w:val="ListParagraph"/>
        <w:numPr>
          <w:ilvl w:val="0"/>
          <w:numId w:val="67"/>
        </w:numPr>
        <w:rPr>
          <w:rFonts w:ascii="Garamond" w:hAnsi="Garamond"/>
        </w:rPr>
      </w:pPr>
      <w:r w:rsidRPr="00381F61">
        <w:rPr>
          <w:rFonts w:ascii="Garamond" w:hAnsi="Garamond"/>
        </w:rPr>
        <w:t xml:space="preserve">“Increase member tax credit from $0.50 per $1 of contribution to $0.75 per $1 of contribution.” – cost about $520 million a year; </w:t>
      </w:r>
    </w:p>
    <w:p w14:paraId="0644E4CA" w14:textId="595899FB" w:rsidR="001C5C72" w:rsidRPr="00381F61" w:rsidRDefault="001C5C72" w:rsidP="00701CA1">
      <w:pPr>
        <w:pStyle w:val="ListParagraph"/>
        <w:numPr>
          <w:ilvl w:val="0"/>
          <w:numId w:val="67"/>
        </w:numPr>
        <w:rPr>
          <w:rFonts w:ascii="Garamond" w:hAnsi="Garamond"/>
        </w:rPr>
      </w:pPr>
      <w:r w:rsidRPr="00381F61">
        <w:rPr>
          <w:rFonts w:ascii="Garamond" w:hAnsi="Garamond"/>
        </w:rPr>
        <w:t>“Primary caregiver KiwiSaver member receives full member tax credit in year of child’s birth regardless of their KiwiSaver contributions. – cost about $1</w:t>
      </w:r>
      <w:r w:rsidR="003328D2" w:rsidRPr="00381F61">
        <w:rPr>
          <w:rFonts w:ascii="Garamond" w:hAnsi="Garamond"/>
        </w:rPr>
        <w:t>4</w:t>
      </w:r>
      <w:r w:rsidRPr="00381F61">
        <w:rPr>
          <w:rFonts w:ascii="Garamond" w:hAnsi="Garamond"/>
        </w:rPr>
        <w:t xml:space="preserve"> million a year.</w:t>
      </w:r>
    </w:p>
    <w:p w14:paraId="700EA967" w14:textId="77777777" w:rsidR="001C5C72" w:rsidRPr="00381F61" w:rsidRDefault="001C5C72" w:rsidP="001C5C72">
      <w:pPr>
        <w:jc w:val="both"/>
        <w:rPr>
          <w:rFonts w:ascii="Garamond" w:hAnsi="Garamond"/>
        </w:rPr>
      </w:pPr>
    </w:p>
    <w:p w14:paraId="2BF57F8B" w14:textId="35191846" w:rsidR="004463C8" w:rsidRPr="00381F61" w:rsidRDefault="001C5C72" w:rsidP="00701CA1">
      <w:pPr>
        <w:jc w:val="both"/>
        <w:rPr>
          <w:rFonts w:ascii="Garamond" w:hAnsi="Garamond"/>
        </w:rPr>
      </w:pPr>
      <w:r w:rsidRPr="00381F61">
        <w:rPr>
          <w:rFonts w:ascii="Garamond" w:hAnsi="Garamond"/>
        </w:rPr>
        <w:t xml:space="preserve">(Note: options 1. and 2. </w:t>
      </w:r>
      <w:r w:rsidR="00C848D1" w:rsidRPr="00381F61">
        <w:rPr>
          <w:rFonts w:ascii="Garamond" w:hAnsi="Garamond"/>
        </w:rPr>
        <w:t xml:space="preserve">were </w:t>
      </w:r>
      <w:r w:rsidRPr="00381F61">
        <w:rPr>
          <w:rFonts w:ascii="Garamond" w:hAnsi="Garamond"/>
        </w:rPr>
        <w:t>alternatives)</w:t>
      </w:r>
    </w:p>
    <w:p w14:paraId="5F0258BF" w14:textId="7D85D3F1" w:rsidR="00AA781F" w:rsidRPr="00381F61" w:rsidRDefault="00AA781F" w:rsidP="00AA781F">
      <w:pPr>
        <w:jc w:val="both"/>
        <w:rPr>
          <w:rFonts w:ascii="Garamond" w:hAnsi="Garamond"/>
          <w:b/>
        </w:rPr>
      </w:pPr>
    </w:p>
    <w:p w14:paraId="1220CAC0" w14:textId="7CED4949" w:rsidR="001C5C72" w:rsidRPr="00381F61" w:rsidRDefault="001C5C72" w:rsidP="00AA781F">
      <w:pPr>
        <w:jc w:val="both"/>
        <w:rPr>
          <w:rFonts w:ascii="Garamond" w:hAnsi="Garamond"/>
        </w:rPr>
      </w:pPr>
      <w:r w:rsidRPr="00381F61">
        <w:rPr>
          <w:rFonts w:ascii="Garamond" w:hAnsi="Garamond"/>
        </w:rPr>
        <w:t>The total estimated annual cost of options 2, 3, 4 and 5 would be</w:t>
      </w:r>
      <w:r w:rsidR="003328D2" w:rsidRPr="00381F61">
        <w:rPr>
          <w:rFonts w:ascii="Garamond" w:hAnsi="Garamond"/>
        </w:rPr>
        <w:t xml:space="preserve"> about $1 billion a year.</w:t>
      </w:r>
    </w:p>
    <w:p w14:paraId="3621622B" w14:textId="39BFCDC9" w:rsidR="003328D2" w:rsidRPr="00381F61" w:rsidRDefault="003328D2" w:rsidP="00AA781F">
      <w:pPr>
        <w:jc w:val="both"/>
        <w:rPr>
          <w:rFonts w:ascii="Garamond" w:hAnsi="Garamond"/>
        </w:rPr>
      </w:pPr>
    </w:p>
    <w:p w14:paraId="0E465A69" w14:textId="121F9668" w:rsidR="003328D2" w:rsidRPr="00381F61" w:rsidRDefault="003328D2" w:rsidP="00AA781F">
      <w:pPr>
        <w:jc w:val="both"/>
        <w:rPr>
          <w:rFonts w:ascii="Garamond" w:hAnsi="Garamond"/>
        </w:rPr>
      </w:pPr>
      <w:r w:rsidRPr="00381F61">
        <w:rPr>
          <w:rFonts w:ascii="Garamond" w:hAnsi="Garamond"/>
        </w:rPr>
        <w:t>In section 14 below (KiwiSaver: in the new environment</w:t>
      </w:r>
      <w:r w:rsidR="00A1151A" w:rsidRPr="00381F61">
        <w:rPr>
          <w:rFonts w:ascii="Garamond" w:hAnsi="Garamond"/>
        </w:rPr>
        <w:t>, what is the role for KiwiSaver?</w:t>
      </w:r>
      <w:r w:rsidRPr="00381F61">
        <w:rPr>
          <w:rFonts w:ascii="Garamond" w:hAnsi="Garamond"/>
        </w:rPr>
        <w:t>), we point out the absence of any evidence that KiwiSaver has ‘improved’ New Zealanders’</w:t>
      </w:r>
      <w:r w:rsidRPr="00381F61">
        <w:rPr>
          <w:rFonts w:ascii="Garamond" w:hAnsi="Garamond"/>
          <w:b/>
        </w:rPr>
        <w:t xml:space="preserve"> </w:t>
      </w:r>
      <w:r w:rsidRPr="00381F61">
        <w:rPr>
          <w:rFonts w:ascii="Garamond" w:hAnsi="Garamond"/>
        </w:rPr>
        <w:t>retirement saving practices; indeed, whether there is any evidence that they needed to</w:t>
      </w:r>
      <w:r w:rsidR="00045B23" w:rsidRPr="00381F61">
        <w:rPr>
          <w:rFonts w:ascii="Garamond" w:hAnsi="Garamond"/>
        </w:rPr>
        <w:t xml:space="preserve"> make such ‘improvements’</w:t>
      </w:r>
      <w:r w:rsidRPr="00381F61">
        <w:rPr>
          <w:rFonts w:ascii="Garamond" w:hAnsi="Garamond"/>
        </w:rPr>
        <w:t>.  The TWG did not concern itself with that question at all.  It just assumed that increasing the present subsidies to KiwiSaver is a ‘good thing’.  The TWG’s recommendations are another example of evidence-free policymaking.</w:t>
      </w:r>
    </w:p>
    <w:p w14:paraId="2945A910" w14:textId="7073A014" w:rsidR="003328D2" w:rsidRPr="00381F61" w:rsidRDefault="003328D2" w:rsidP="00AA781F">
      <w:pPr>
        <w:jc w:val="both"/>
        <w:rPr>
          <w:rFonts w:ascii="Garamond" w:hAnsi="Garamond"/>
        </w:rPr>
      </w:pPr>
    </w:p>
    <w:p w14:paraId="4333D773" w14:textId="608C89D8" w:rsidR="00AA44A9" w:rsidRPr="00381F61" w:rsidRDefault="00AA44A9" w:rsidP="00AA44A9">
      <w:pPr>
        <w:jc w:val="both"/>
        <w:rPr>
          <w:rFonts w:ascii="Garamond" w:hAnsi="Garamond"/>
        </w:rPr>
      </w:pPr>
      <w:r w:rsidRPr="00381F61">
        <w:rPr>
          <w:rFonts w:ascii="Garamond" w:hAnsi="Garamond"/>
        </w:rPr>
        <w:t>While the government has stated that it will not introduce a capital gains tax, it left open the possibility of adopting other recommendations of the TWG.  The Minister of Finance stated:</w:t>
      </w:r>
    </w:p>
    <w:p w14:paraId="0A90FA64" w14:textId="77777777" w:rsidR="00AA44A9" w:rsidRPr="00381F61" w:rsidRDefault="00AA44A9" w:rsidP="00AA44A9">
      <w:pPr>
        <w:jc w:val="both"/>
        <w:rPr>
          <w:rFonts w:ascii="Garamond" w:hAnsi="Garamond"/>
          <w:sz w:val="8"/>
          <w:szCs w:val="8"/>
        </w:rPr>
      </w:pPr>
    </w:p>
    <w:p w14:paraId="36DD3A35" w14:textId="357B50EF" w:rsidR="00AA44A9" w:rsidRPr="00381F61" w:rsidRDefault="00AA44A9" w:rsidP="00891E0F">
      <w:pPr>
        <w:ind w:left="567"/>
        <w:jc w:val="both"/>
        <w:rPr>
          <w:rFonts w:ascii="Garamond" w:hAnsi="Garamond"/>
          <w:sz w:val="22"/>
          <w:szCs w:val="22"/>
        </w:rPr>
      </w:pPr>
      <w:r w:rsidRPr="00381F61">
        <w:rPr>
          <w:rFonts w:ascii="Garamond" w:hAnsi="Garamond"/>
          <w:sz w:val="22"/>
          <w:szCs w:val="22"/>
        </w:rPr>
        <w:t>“The final [TWG] report covered all aspects of the tax system, and a number of the recommendations will now be considered for inclusion in the Government’s Tax Policy Work Programme…”</w:t>
      </w:r>
      <w:r w:rsidRPr="00381F61">
        <w:rPr>
          <w:rStyle w:val="FootnoteReference"/>
          <w:rFonts w:ascii="Garamond" w:hAnsi="Garamond"/>
          <w:sz w:val="22"/>
          <w:szCs w:val="22"/>
        </w:rPr>
        <w:footnoteReference w:id="122"/>
      </w:r>
    </w:p>
    <w:p w14:paraId="56DCB8A4" w14:textId="77777777" w:rsidR="00AA44A9" w:rsidRPr="00381F61" w:rsidRDefault="00AA44A9" w:rsidP="00AA44A9">
      <w:pPr>
        <w:jc w:val="both"/>
        <w:rPr>
          <w:rFonts w:ascii="Garamond" w:hAnsi="Garamond"/>
        </w:rPr>
      </w:pPr>
    </w:p>
    <w:p w14:paraId="1ED1143B" w14:textId="41FC0B62" w:rsidR="003328D2" w:rsidRPr="00381F61" w:rsidRDefault="003328D2" w:rsidP="00AA781F">
      <w:pPr>
        <w:jc w:val="both"/>
        <w:rPr>
          <w:rFonts w:ascii="Garamond" w:hAnsi="Garamond"/>
        </w:rPr>
      </w:pPr>
      <w:r w:rsidRPr="00381F61">
        <w:rPr>
          <w:rFonts w:ascii="Garamond" w:hAnsi="Garamond"/>
        </w:rPr>
        <w:t xml:space="preserve">We look forward to seeing evidence that current subsidies to KiwiSaver are ‘working’ before </w:t>
      </w:r>
      <w:r w:rsidR="00045B23" w:rsidRPr="00381F61">
        <w:rPr>
          <w:rFonts w:ascii="Garamond" w:hAnsi="Garamond"/>
        </w:rPr>
        <w:t xml:space="preserve">we </w:t>
      </w:r>
      <w:r w:rsidR="00475DC6" w:rsidRPr="00381F61">
        <w:rPr>
          <w:rFonts w:ascii="Garamond" w:hAnsi="Garamond"/>
        </w:rPr>
        <w:t xml:space="preserve">think New Zealand </w:t>
      </w:r>
      <w:r w:rsidR="00045B23" w:rsidRPr="00381F61">
        <w:rPr>
          <w:rFonts w:ascii="Garamond" w:hAnsi="Garamond"/>
        </w:rPr>
        <w:t>need</w:t>
      </w:r>
      <w:r w:rsidR="00475DC6" w:rsidRPr="00381F61">
        <w:rPr>
          <w:rFonts w:ascii="Garamond" w:hAnsi="Garamond"/>
        </w:rPr>
        <w:t>s</w:t>
      </w:r>
      <w:r w:rsidR="00045B23" w:rsidRPr="00381F61">
        <w:rPr>
          <w:rFonts w:ascii="Garamond" w:hAnsi="Garamond"/>
        </w:rPr>
        <w:t xml:space="preserve"> to wonder whether taxpayers should spend another $1 billion a year on KiwiSaver.</w:t>
      </w:r>
    </w:p>
    <w:p w14:paraId="50735FD6" w14:textId="7BA60866" w:rsidR="001C5C72" w:rsidRPr="00381F61" w:rsidRDefault="001C5C72" w:rsidP="00AA781F">
      <w:pPr>
        <w:jc w:val="both"/>
        <w:rPr>
          <w:rFonts w:ascii="Garamond" w:hAnsi="Garamond"/>
          <w:b/>
        </w:rPr>
      </w:pPr>
    </w:p>
    <w:p w14:paraId="7BF86780" w14:textId="60D9BE30" w:rsidR="00AA781F" w:rsidRPr="00381F61" w:rsidRDefault="00AA781F" w:rsidP="00AA781F">
      <w:pPr>
        <w:jc w:val="both"/>
        <w:rPr>
          <w:rFonts w:ascii="Garamond" w:hAnsi="Garamond"/>
        </w:rPr>
      </w:pPr>
      <w:r w:rsidRPr="00381F61">
        <w:rPr>
          <w:rFonts w:ascii="Garamond" w:hAnsi="Garamond"/>
          <w:b/>
        </w:rPr>
        <w:t>Terms of reference for 2019 Review</w:t>
      </w:r>
    </w:p>
    <w:p w14:paraId="03A79848" w14:textId="77777777" w:rsidR="00AA781F" w:rsidRPr="00381F61" w:rsidRDefault="00AA781F" w:rsidP="00AA781F">
      <w:pPr>
        <w:jc w:val="both"/>
        <w:rPr>
          <w:rFonts w:ascii="Garamond" w:hAnsi="Garamond"/>
        </w:rPr>
      </w:pPr>
    </w:p>
    <w:p w14:paraId="4F89C285" w14:textId="79F1DF69" w:rsidR="00AA781F" w:rsidRPr="00381F61" w:rsidRDefault="00AA781F" w:rsidP="00AA781F">
      <w:pPr>
        <w:jc w:val="both"/>
        <w:rPr>
          <w:rFonts w:ascii="Garamond" w:hAnsi="Garamond"/>
        </w:rPr>
      </w:pPr>
      <w:r w:rsidRPr="00381F61">
        <w:rPr>
          <w:rFonts w:ascii="Garamond" w:hAnsi="Garamond"/>
        </w:rPr>
        <w:t xml:space="preserve">There was no mention in the Terms of Reference for the Retirement Commissioner’s 2019 Review of the issues associated with tax-based incentives for retirement saving.  </w:t>
      </w:r>
      <w:r w:rsidR="00045B23" w:rsidRPr="00381F61">
        <w:rPr>
          <w:rFonts w:ascii="Garamond" w:hAnsi="Garamond"/>
        </w:rPr>
        <w:t>In the light of the TWG’s recommendations, this seems to be a significant gap.</w:t>
      </w:r>
    </w:p>
    <w:p w14:paraId="72F84347" w14:textId="77777777" w:rsidR="00AA781F" w:rsidRPr="00381F61" w:rsidRDefault="00AA781F" w:rsidP="00AA781F">
      <w:pPr>
        <w:jc w:val="both"/>
        <w:rPr>
          <w:rFonts w:ascii="Garamond" w:hAnsi="Garamond"/>
        </w:rPr>
      </w:pPr>
    </w:p>
    <w:p w14:paraId="3939E844" w14:textId="4FEF0F8A" w:rsidR="00AA781F" w:rsidRPr="00381F61" w:rsidRDefault="00AA781F" w:rsidP="00AA781F">
      <w:pPr>
        <w:jc w:val="both"/>
        <w:rPr>
          <w:rFonts w:ascii="Garamond" w:hAnsi="Garamond"/>
        </w:rPr>
      </w:pPr>
      <w:r w:rsidRPr="00381F61">
        <w:rPr>
          <w:rFonts w:ascii="Garamond" w:hAnsi="Garamond"/>
        </w:rPr>
        <w:t>We do not, therefore, expect the 2019 Review to address this issue.  However, at some stage the following questions will need to be addressed.  Ignoring these will not make them go away.</w:t>
      </w:r>
    </w:p>
    <w:p w14:paraId="48C78B2E" w14:textId="77777777" w:rsidR="00EC24E4" w:rsidRPr="00381F61" w:rsidRDefault="00EC24E4" w:rsidP="00E71CEB">
      <w:pPr>
        <w:jc w:val="both"/>
        <w:rPr>
          <w:rFonts w:ascii="Garamond" w:hAnsi="Garamond"/>
        </w:rPr>
      </w:pPr>
    </w:p>
    <w:p w14:paraId="6C5FFBF9" w14:textId="30A12DCB" w:rsidR="006B04F4" w:rsidRPr="00381F61" w:rsidRDefault="006B04F4" w:rsidP="00E71CEB">
      <w:pPr>
        <w:jc w:val="both"/>
        <w:rPr>
          <w:rFonts w:ascii="Garamond" w:hAnsi="Garamond"/>
          <w:b/>
        </w:rPr>
      </w:pPr>
      <w:r w:rsidRPr="00381F61">
        <w:rPr>
          <w:rFonts w:ascii="Garamond" w:hAnsi="Garamond"/>
          <w:b/>
        </w:rPr>
        <w:t xml:space="preserve">Questions New Zealand </w:t>
      </w:r>
      <w:r w:rsidR="00A256AB" w:rsidRPr="00381F61">
        <w:rPr>
          <w:rFonts w:ascii="Garamond" w:hAnsi="Garamond"/>
          <w:b/>
        </w:rPr>
        <w:t xml:space="preserve">needs </w:t>
      </w:r>
      <w:r w:rsidRPr="00381F61">
        <w:rPr>
          <w:rFonts w:ascii="Garamond" w:hAnsi="Garamond"/>
          <w:b/>
        </w:rPr>
        <w:t>to discuss</w:t>
      </w:r>
      <w:r w:rsidR="00A256AB" w:rsidRPr="00381F61">
        <w:rPr>
          <w:rFonts w:ascii="Garamond" w:hAnsi="Garamond"/>
          <w:b/>
        </w:rPr>
        <w:t xml:space="preserve"> on tax subsidies for saving:</w:t>
      </w:r>
    </w:p>
    <w:p w14:paraId="29F33FC1" w14:textId="77777777" w:rsidR="004E0D0E" w:rsidRPr="00381F61" w:rsidRDefault="004E0D0E" w:rsidP="00E71CEB">
      <w:pPr>
        <w:jc w:val="both"/>
        <w:rPr>
          <w:rFonts w:ascii="Garamond" w:hAnsi="Garamond"/>
          <w:b/>
        </w:rPr>
      </w:pPr>
    </w:p>
    <w:p w14:paraId="5BD78AE1" w14:textId="49E4338A" w:rsidR="002D5EFE" w:rsidRPr="00381F61" w:rsidRDefault="002D5EFE" w:rsidP="00E71CEB">
      <w:pPr>
        <w:pStyle w:val="ListParagraph"/>
        <w:numPr>
          <w:ilvl w:val="0"/>
          <w:numId w:val="27"/>
        </w:numPr>
        <w:jc w:val="both"/>
        <w:rPr>
          <w:rFonts w:ascii="Garamond" w:hAnsi="Garamond"/>
        </w:rPr>
      </w:pPr>
      <w:r w:rsidRPr="00381F61">
        <w:rPr>
          <w:rFonts w:ascii="Garamond" w:hAnsi="Garamond"/>
        </w:rPr>
        <w:t xml:space="preserve">Why does our government have a particular interest in the way New Zealanders save for retirement?  That ‘interest’ is currently expressed through KiwiSaver (that we </w:t>
      </w:r>
      <w:r w:rsidR="00E95A33" w:rsidRPr="00381F61">
        <w:rPr>
          <w:rFonts w:ascii="Garamond" w:hAnsi="Garamond"/>
        </w:rPr>
        <w:t>discuss</w:t>
      </w:r>
      <w:r w:rsidRPr="00381F61">
        <w:rPr>
          <w:rFonts w:ascii="Garamond" w:hAnsi="Garamond"/>
        </w:rPr>
        <w:t xml:space="preserve"> in section 1</w:t>
      </w:r>
      <w:r w:rsidR="000856CF" w:rsidRPr="00381F61">
        <w:rPr>
          <w:rFonts w:ascii="Garamond" w:hAnsi="Garamond"/>
        </w:rPr>
        <w:t>4</w:t>
      </w:r>
      <w:r w:rsidRPr="00381F61">
        <w:rPr>
          <w:rFonts w:ascii="Garamond" w:hAnsi="Garamond"/>
        </w:rPr>
        <w:t xml:space="preserve"> below) and through </w:t>
      </w:r>
      <w:r w:rsidR="00475DC6" w:rsidRPr="00381F61">
        <w:rPr>
          <w:rFonts w:ascii="Garamond" w:hAnsi="Garamond"/>
        </w:rPr>
        <w:t xml:space="preserve">current </w:t>
      </w:r>
      <w:r w:rsidRPr="00381F61">
        <w:rPr>
          <w:rFonts w:ascii="Garamond" w:hAnsi="Garamond"/>
        </w:rPr>
        <w:t>tax breaks given both to KiwiSaver (</w:t>
      </w:r>
      <w:r w:rsidR="00E9472B" w:rsidRPr="00381F61">
        <w:rPr>
          <w:rFonts w:ascii="Garamond" w:hAnsi="Garamond"/>
        </w:rPr>
        <w:t>estimated cost in the 201</w:t>
      </w:r>
      <w:r w:rsidR="00475DC6" w:rsidRPr="00381F61">
        <w:rPr>
          <w:rFonts w:ascii="Garamond" w:hAnsi="Garamond"/>
        </w:rPr>
        <w:t>9</w:t>
      </w:r>
      <w:r w:rsidR="00E9472B" w:rsidRPr="00381F61">
        <w:rPr>
          <w:rFonts w:ascii="Garamond" w:hAnsi="Garamond"/>
        </w:rPr>
        <w:t xml:space="preserve"> year: $</w:t>
      </w:r>
      <w:r w:rsidR="00475DC6" w:rsidRPr="00381F61">
        <w:rPr>
          <w:rFonts w:ascii="Garamond" w:hAnsi="Garamond"/>
        </w:rPr>
        <w:t>801</w:t>
      </w:r>
      <w:r w:rsidR="00E9472B" w:rsidRPr="00381F61">
        <w:rPr>
          <w:rFonts w:ascii="Garamond" w:hAnsi="Garamond"/>
        </w:rPr>
        <w:t xml:space="preserve"> m</w:t>
      </w:r>
      <w:r w:rsidR="00B60AE7" w:rsidRPr="00381F61">
        <w:rPr>
          <w:rFonts w:ascii="Garamond" w:hAnsi="Garamond"/>
        </w:rPr>
        <w:t>,</w:t>
      </w:r>
      <w:r w:rsidR="00E9472B" w:rsidRPr="00381F61">
        <w:rPr>
          <w:rFonts w:ascii="Garamond" w:hAnsi="Garamond"/>
        </w:rPr>
        <w:t xml:space="preserve"> rising to $840</w:t>
      </w:r>
      <w:r w:rsidR="0090538D" w:rsidRPr="00381F61">
        <w:rPr>
          <w:rFonts w:ascii="Garamond" w:hAnsi="Garamond"/>
        </w:rPr>
        <w:t xml:space="preserve"> m</w:t>
      </w:r>
      <w:r w:rsidR="00E9472B" w:rsidRPr="00381F61">
        <w:rPr>
          <w:rFonts w:ascii="Garamond" w:hAnsi="Garamond"/>
        </w:rPr>
        <w:t xml:space="preserve"> by 2019/20) and to the concessionary tax treatment of ‘</w:t>
      </w:r>
      <w:r w:rsidR="009875F0" w:rsidRPr="00381F61">
        <w:rPr>
          <w:rFonts w:ascii="Garamond" w:hAnsi="Garamond"/>
        </w:rPr>
        <w:t>Portfolio Investment Entities’ – there is more on that in section 1</w:t>
      </w:r>
      <w:r w:rsidR="000856CF" w:rsidRPr="00381F61">
        <w:rPr>
          <w:rFonts w:ascii="Garamond" w:hAnsi="Garamond"/>
        </w:rPr>
        <w:t>7</w:t>
      </w:r>
      <w:r w:rsidR="00E95A33" w:rsidRPr="00381F61">
        <w:rPr>
          <w:rFonts w:ascii="Garamond" w:hAnsi="Garamond"/>
        </w:rPr>
        <w:t xml:space="preserve"> </w:t>
      </w:r>
      <w:r w:rsidR="009875F0" w:rsidRPr="00381F61">
        <w:rPr>
          <w:rFonts w:ascii="Garamond" w:hAnsi="Garamond"/>
        </w:rPr>
        <w:t>(Income tax and saving vehicles</w:t>
      </w:r>
      <w:r w:rsidR="00E9472B" w:rsidRPr="00381F61">
        <w:rPr>
          <w:rFonts w:ascii="Garamond" w:hAnsi="Garamond"/>
        </w:rPr>
        <w:t>).  Where are the cost/benefit analyses to support these direct</w:t>
      </w:r>
      <w:r w:rsidR="006966FE" w:rsidRPr="00381F61">
        <w:rPr>
          <w:rFonts w:ascii="Garamond" w:hAnsi="Garamond"/>
        </w:rPr>
        <w:t>, costly</w:t>
      </w:r>
      <w:r w:rsidR="00E9472B" w:rsidRPr="00381F61">
        <w:rPr>
          <w:rFonts w:ascii="Garamond" w:hAnsi="Garamond"/>
        </w:rPr>
        <w:t xml:space="preserve"> interventions in New Zealanders’ saving behaviour?</w:t>
      </w:r>
    </w:p>
    <w:p w14:paraId="641D28D8" w14:textId="77777777" w:rsidR="00104F08" w:rsidRPr="00381F61" w:rsidRDefault="00104F08" w:rsidP="00E71CEB">
      <w:pPr>
        <w:pStyle w:val="ListParagraph"/>
        <w:jc w:val="both"/>
        <w:rPr>
          <w:rFonts w:ascii="Garamond" w:hAnsi="Garamond"/>
        </w:rPr>
      </w:pPr>
    </w:p>
    <w:p w14:paraId="39525DA5" w14:textId="10F2D0CB" w:rsidR="006B04F4" w:rsidRPr="00381F61" w:rsidRDefault="002D5EFE" w:rsidP="00E71CEB">
      <w:pPr>
        <w:pStyle w:val="ListParagraph"/>
        <w:numPr>
          <w:ilvl w:val="0"/>
          <w:numId w:val="27"/>
        </w:numPr>
        <w:jc w:val="both"/>
        <w:rPr>
          <w:rFonts w:ascii="Garamond" w:hAnsi="Garamond"/>
        </w:rPr>
      </w:pPr>
      <w:r w:rsidRPr="00381F61">
        <w:rPr>
          <w:rFonts w:ascii="Garamond" w:hAnsi="Garamond"/>
        </w:rPr>
        <w:t>Are we correct</w:t>
      </w:r>
      <w:r w:rsidR="004E0D0E" w:rsidRPr="00381F61">
        <w:rPr>
          <w:rFonts w:ascii="Garamond" w:hAnsi="Garamond"/>
        </w:rPr>
        <w:t xml:space="preserve"> that tax breaks for retirement saving are complex, distortionary, expensive, regressive and inequitable?</w:t>
      </w:r>
    </w:p>
    <w:p w14:paraId="4DB4CE78" w14:textId="77777777" w:rsidR="00104F08" w:rsidRPr="00381F61" w:rsidRDefault="00104F08" w:rsidP="00E71CEB">
      <w:pPr>
        <w:ind w:left="709"/>
        <w:jc w:val="both"/>
        <w:rPr>
          <w:rFonts w:ascii="Garamond" w:hAnsi="Garamond"/>
        </w:rPr>
      </w:pPr>
    </w:p>
    <w:p w14:paraId="73E18D00" w14:textId="529A14AA" w:rsidR="004E0D0E" w:rsidRPr="00381F61" w:rsidRDefault="004E0D0E" w:rsidP="00E71CEB">
      <w:pPr>
        <w:pStyle w:val="ListParagraph"/>
        <w:numPr>
          <w:ilvl w:val="0"/>
          <w:numId w:val="27"/>
        </w:numPr>
        <w:jc w:val="both"/>
        <w:rPr>
          <w:rFonts w:ascii="Garamond" w:hAnsi="Garamond"/>
        </w:rPr>
      </w:pPr>
      <w:r w:rsidRPr="00381F61">
        <w:rPr>
          <w:rFonts w:ascii="Garamond" w:hAnsi="Garamond"/>
        </w:rPr>
        <w:t xml:space="preserve">Are we further </w:t>
      </w:r>
      <w:r w:rsidR="002D5EFE" w:rsidRPr="00381F61">
        <w:rPr>
          <w:rFonts w:ascii="Garamond" w:hAnsi="Garamond"/>
        </w:rPr>
        <w:t>correct that tax breaks for retirement saving</w:t>
      </w:r>
      <w:r w:rsidRPr="00381F61">
        <w:rPr>
          <w:rFonts w:ascii="Garamond" w:hAnsi="Garamond"/>
        </w:rPr>
        <w:t xml:space="preserve"> probably do not ‘work’ (if by that we mean that they probably do not raise savings overall)?</w:t>
      </w:r>
      <w:r w:rsidR="006966FE" w:rsidRPr="00381F61">
        <w:rPr>
          <w:rFonts w:ascii="Garamond" w:hAnsi="Garamond"/>
        </w:rPr>
        <w:t xml:space="preserve">  Where is the evidence that costly incentives for KiwiSaver (</w:t>
      </w:r>
      <w:r w:rsidR="00F4472C" w:rsidRPr="00381F61">
        <w:rPr>
          <w:rFonts w:ascii="Garamond" w:hAnsi="Garamond"/>
        </w:rPr>
        <w:t xml:space="preserve">an accumulated cost to taxpayers of </w:t>
      </w:r>
      <w:r w:rsidR="006966FE" w:rsidRPr="00381F61">
        <w:rPr>
          <w:rFonts w:ascii="Garamond" w:hAnsi="Garamond"/>
        </w:rPr>
        <w:t>$</w:t>
      </w:r>
      <w:r w:rsidR="00475DC6" w:rsidRPr="00381F61">
        <w:rPr>
          <w:rFonts w:ascii="Garamond" w:hAnsi="Garamond"/>
        </w:rPr>
        <w:t>10.1</w:t>
      </w:r>
      <w:r w:rsidR="006966FE" w:rsidRPr="00381F61">
        <w:rPr>
          <w:rFonts w:ascii="Garamond" w:hAnsi="Garamond"/>
        </w:rPr>
        <w:t xml:space="preserve"> billion to date) have increased household savings?</w:t>
      </w:r>
      <w:r w:rsidR="004C07A6" w:rsidRPr="00381F61">
        <w:rPr>
          <w:rFonts w:ascii="Garamond" w:hAnsi="Garamond"/>
        </w:rPr>
        <w:t xml:space="preserve">  We describe what evidence there is on KiwiSaver’s impact in section 1</w:t>
      </w:r>
      <w:r w:rsidR="000856CF" w:rsidRPr="00381F61">
        <w:rPr>
          <w:rFonts w:ascii="Garamond" w:hAnsi="Garamond"/>
        </w:rPr>
        <w:t>4</w:t>
      </w:r>
      <w:r w:rsidR="004C07A6" w:rsidRPr="00381F61">
        <w:rPr>
          <w:rFonts w:ascii="Garamond" w:hAnsi="Garamond"/>
        </w:rPr>
        <w:t xml:space="preserve"> below.</w:t>
      </w:r>
    </w:p>
    <w:p w14:paraId="3FB701E5" w14:textId="77777777" w:rsidR="00104F08" w:rsidRPr="00381F61" w:rsidRDefault="00104F08" w:rsidP="00E71CEB">
      <w:pPr>
        <w:ind w:left="709"/>
        <w:jc w:val="both"/>
        <w:rPr>
          <w:rFonts w:ascii="Garamond" w:hAnsi="Garamond"/>
        </w:rPr>
      </w:pPr>
    </w:p>
    <w:p w14:paraId="7A11D370" w14:textId="270A1278" w:rsidR="004E0D0E" w:rsidRPr="00381F61" w:rsidRDefault="004E0D0E" w:rsidP="00E71CEB">
      <w:pPr>
        <w:pStyle w:val="ListParagraph"/>
        <w:numPr>
          <w:ilvl w:val="0"/>
          <w:numId w:val="27"/>
        </w:numPr>
        <w:jc w:val="both"/>
        <w:rPr>
          <w:rFonts w:ascii="Garamond" w:hAnsi="Garamond"/>
        </w:rPr>
      </w:pPr>
      <w:r w:rsidRPr="00381F61">
        <w:rPr>
          <w:rFonts w:ascii="Garamond" w:hAnsi="Garamond"/>
        </w:rPr>
        <w:t xml:space="preserve">If </w:t>
      </w:r>
      <w:r w:rsidR="009875F0" w:rsidRPr="00381F61">
        <w:rPr>
          <w:rFonts w:ascii="Garamond" w:hAnsi="Garamond"/>
        </w:rPr>
        <w:t>the answers to either question 2 or 3</w:t>
      </w:r>
      <w:r w:rsidRPr="00381F61">
        <w:rPr>
          <w:rFonts w:ascii="Garamond" w:hAnsi="Garamond"/>
        </w:rPr>
        <w:t xml:space="preserve"> above are ‘yes’, </w:t>
      </w:r>
      <w:r w:rsidR="009C648E" w:rsidRPr="00381F61">
        <w:rPr>
          <w:rFonts w:ascii="Garamond" w:hAnsi="Garamond"/>
        </w:rPr>
        <w:t>can we agree</w:t>
      </w:r>
      <w:r w:rsidRPr="00381F61">
        <w:rPr>
          <w:rFonts w:ascii="Garamond" w:hAnsi="Garamond"/>
        </w:rPr>
        <w:t xml:space="preserve"> that the government should not try to ‘incentivise’ people to save particular amounts in a particular way and in particular investment vehicles for a particular purpose?</w:t>
      </w:r>
    </w:p>
    <w:p w14:paraId="5AD2FBA0" w14:textId="77777777" w:rsidR="00FD6D4E" w:rsidRPr="00381F61" w:rsidRDefault="00FD6D4E" w:rsidP="00FD6D4E">
      <w:pPr>
        <w:pStyle w:val="ListParagraph"/>
        <w:rPr>
          <w:rFonts w:ascii="Garamond" w:hAnsi="Garamond"/>
        </w:rPr>
      </w:pPr>
    </w:p>
    <w:p w14:paraId="487345E2" w14:textId="25887F10" w:rsidR="00FD6D4E" w:rsidRPr="00381F61" w:rsidRDefault="00FD6D4E" w:rsidP="00E71CEB">
      <w:pPr>
        <w:pStyle w:val="ListParagraph"/>
        <w:numPr>
          <w:ilvl w:val="0"/>
          <w:numId w:val="27"/>
        </w:numPr>
        <w:jc w:val="both"/>
        <w:rPr>
          <w:rFonts w:ascii="Garamond" w:hAnsi="Garamond"/>
        </w:rPr>
      </w:pPr>
      <w:r w:rsidRPr="00381F61">
        <w:rPr>
          <w:rFonts w:ascii="Garamond" w:hAnsi="Garamond"/>
        </w:rPr>
        <w:t xml:space="preserve">Does the presence of tax incentives increase economic growth </w:t>
      </w:r>
      <w:r w:rsidR="00245776" w:rsidRPr="00381F61">
        <w:rPr>
          <w:rFonts w:ascii="Garamond" w:hAnsi="Garamond"/>
        </w:rPr>
        <w:t xml:space="preserve">or productivity </w:t>
      </w:r>
      <w:r w:rsidRPr="00381F61">
        <w:rPr>
          <w:rFonts w:ascii="Garamond" w:hAnsi="Garamond"/>
        </w:rPr>
        <w:t xml:space="preserve">above the level that it would </w:t>
      </w:r>
      <w:r w:rsidR="00CC3BB2" w:rsidRPr="00381F61">
        <w:rPr>
          <w:rFonts w:ascii="Garamond" w:hAnsi="Garamond"/>
        </w:rPr>
        <w:t xml:space="preserve">have </w:t>
      </w:r>
      <w:r w:rsidRPr="00381F61">
        <w:rPr>
          <w:rFonts w:ascii="Garamond" w:hAnsi="Garamond"/>
        </w:rPr>
        <w:t>be</w:t>
      </w:r>
      <w:r w:rsidR="00CC3BB2" w:rsidRPr="00381F61">
        <w:rPr>
          <w:rFonts w:ascii="Garamond" w:hAnsi="Garamond"/>
        </w:rPr>
        <w:t>en</w:t>
      </w:r>
      <w:r w:rsidRPr="00381F61">
        <w:rPr>
          <w:rFonts w:ascii="Garamond" w:hAnsi="Garamond"/>
        </w:rPr>
        <w:t xml:space="preserve"> if they </w:t>
      </w:r>
      <w:r w:rsidR="00CC3BB2" w:rsidRPr="00381F61">
        <w:rPr>
          <w:rFonts w:ascii="Garamond" w:hAnsi="Garamond"/>
        </w:rPr>
        <w:t>had</w:t>
      </w:r>
      <w:r w:rsidRPr="00381F61">
        <w:rPr>
          <w:rFonts w:ascii="Garamond" w:hAnsi="Garamond"/>
        </w:rPr>
        <w:t xml:space="preserve"> not </w:t>
      </w:r>
      <w:r w:rsidR="00CC3BB2" w:rsidRPr="00381F61">
        <w:rPr>
          <w:rFonts w:ascii="Garamond" w:hAnsi="Garamond"/>
        </w:rPr>
        <w:t xml:space="preserve">been </w:t>
      </w:r>
      <w:r w:rsidRPr="00381F61">
        <w:rPr>
          <w:rFonts w:ascii="Garamond" w:hAnsi="Garamond"/>
        </w:rPr>
        <w:t>there?</w:t>
      </w:r>
    </w:p>
    <w:p w14:paraId="0A670FEC" w14:textId="77777777" w:rsidR="00A97583" w:rsidRPr="00381F61" w:rsidRDefault="00A97583" w:rsidP="00E71CEB">
      <w:pPr>
        <w:jc w:val="both"/>
        <w:rPr>
          <w:rFonts w:ascii="Garamond" w:hAnsi="Garamond"/>
        </w:rPr>
      </w:pPr>
      <w:r w:rsidRPr="00381F61">
        <w:rPr>
          <w:rFonts w:ascii="Garamond" w:hAnsi="Garamond"/>
        </w:rPr>
        <w:br w:type="page"/>
      </w:r>
    </w:p>
    <w:p w14:paraId="483CF3F4" w14:textId="3808C046" w:rsidR="00A97583" w:rsidRPr="00381F61" w:rsidRDefault="00F519BC" w:rsidP="00E71CEB">
      <w:pPr>
        <w:jc w:val="both"/>
        <w:rPr>
          <w:rFonts w:ascii="Garamond" w:hAnsi="Garamond"/>
          <w:b/>
        </w:rPr>
      </w:pPr>
      <w:r w:rsidRPr="00381F61">
        <w:rPr>
          <w:rFonts w:ascii="Garamond" w:hAnsi="Garamond"/>
          <w:b/>
        </w:rPr>
        <w:t>10</w:t>
      </w:r>
      <w:r w:rsidR="00A97583" w:rsidRPr="00381F61">
        <w:rPr>
          <w:rFonts w:ascii="Garamond" w:hAnsi="Garamond"/>
          <w:b/>
        </w:rPr>
        <w:t xml:space="preserve">. </w:t>
      </w:r>
      <w:r w:rsidR="004A3931" w:rsidRPr="00381F61">
        <w:rPr>
          <w:rFonts w:ascii="Garamond" w:hAnsi="Garamond"/>
          <w:b/>
        </w:rPr>
        <w:tab/>
      </w:r>
      <w:r w:rsidR="00435253" w:rsidRPr="00381F61">
        <w:rPr>
          <w:rFonts w:ascii="Garamond" w:hAnsi="Garamond"/>
          <w:b/>
        </w:rPr>
        <w:t>On compulsory private provision</w:t>
      </w:r>
      <w:r w:rsidR="0015492D" w:rsidRPr="00381F61">
        <w:rPr>
          <w:rStyle w:val="FootnoteReference"/>
          <w:rFonts w:ascii="Garamond" w:hAnsi="Garamond"/>
          <w:b/>
        </w:rPr>
        <w:footnoteReference w:id="123"/>
      </w:r>
    </w:p>
    <w:p w14:paraId="450AE5FA" w14:textId="77777777" w:rsidR="00CF076E" w:rsidRPr="00381F61" w:rsidRDefault="00CF076E" w:rsidP="00E71CEB">
      <w:pPr>
        <w:jc w:val="both"/>
        <w:rPr>
          <w:rFonts w:ascii="Garamond" w:hAnsi="Garamond"/>
          <w:b/>
        </w:rPr>
      </w:pPr>
    </w:p>
    <w:p w14:paraId="3B14A313" w14:textId="3A387702" w:rsidR="006B04F4" w:rsidRPr="00381F61" w:rsidRDefault="009C648E" w:rsidP="00E71CEB">
      <w:pPr>
        <w:jc w:val="both"/>
        <w:rPr>
          <w:rFonts w:ascii="Garamond" w:hAnsi="Garamond"/>
        </w:rPr>
      </w:pPr>
      <w:r w:rsidRPr="00381F61">
        <w:rPr>
          <w:rFonts w:ascii="Garamond" w:hAnsi="Garamond"/>
        </w:rPr>
        <w:t>Many</w:t>
      </w:r>
      <w:r w:rsidR="006B04F4" w:rsidRPr="00381F61">
        <w:rPr>
          <w:rFonts w:ascii="Garamond" w:hAnsi="Garamond"/>
        </w:rPr>
        <w:t xml:space="preserve"> New Zealanders think we should </w:t>
      </w:r>
      <w:r w:rsidR="00204CF3" w:rsidRPr="00381F61">
        <w:rPr>
          <w:rFonts w:ascii="Garamond" w:hAnsi="Garamond"/>
        </w:rPr>
        <w:t xml:space="preserve">all </w:t>
      </w:r>
      <w:r w:rsidR="006B04F4" w:rsidRPr="00381F61">
        <w:rPr>
          <w:rFonts w:ascii="Garamond" w:hAnsi="Garamond"/>
        </w:rPr>
        <w:t xml:space="preserve">be forced to save for retirement in compulsory saving accounts.  Others go further and suggest that all welfare spending </w:t>
      </w:r>
      <w:r w:rsidR="00251E07" w:rsidRPr="00381F61">
        <w:rPr>
          <w:rFonts w:ascii="Garamond" w:hAnsi="Garamond"/>
        </w:rPr>
        <w:t xml:space="preserve">in New Zealand </w:t>
      </w:r>
      <w:r w:rsidR="006B04F4" w:rsidRPr="00381F61">
        <w:rPr>
          <w:rFonts w:ascii="Garamond" w:hAnsi="Garamond"/>
        </w:rPr>
        <w:t xml:space="preserve">should be financed through compulsory saving accounts, </w:t>
      </w:r>
      <w:r w:rsidR="00A87E4B" w:rsidRPr="00381F61">
        <w:rPr>
          <w:rFonts w:ascii="Garamond" w:hAnsi="Garamond"/>
        </w:rPr>
        <w:t>s</w:t>
      </w:r>
      <w:r w:rsidR="006B04F4" w:rsidRPr="00381F61">
        <w:rPr>
          <w:rFonts w:ascii="Garamond" w:hAnsi="Garamond"/>
        </w:rPr>
        <w:t>uch as happens in Singapore</w:t>
      </w:r>
      <w:r w:rsidR="008C2FA3" w:rsidRPr="00381F61">
        <w:rPr>
          <w:rStyle w:val="FootnoteReference"/>
          <w:rFonts w:ascii="Garamond" w:hAnsi="Garamond"/>
        </w:rPr>
        <w:footnoteReference w:id="124"/>
      </w:r>
      <w:r w:rsidR="006B04F4" w:rsidRPr="00381F61">
        <w:rPr>
          <w:rFonts w:ascii="Garamond" w:hAnsi="Garamond"/>
        </w:rPr>
        <w:t xml:space="preserve">. </w:t>
      </w:r>
    </w:p>
    <w:p w14:paraId="01B9E55A" w14:textId="77777777" w:rsidR="006B04F4" w:rsidRPr="00381F61" w:rsidRDefault="006B04F4" w:rsidP="00E71CEB">
      <w:pPr>
        <w:jc w:val="both"/>
        <w:rPr>
          <w:rFonts w:ascii="Garamond" w:hAnsi="Garamond"/>
        </w:rPr>
      </w:pPr>
    </w:p>
    <w:p w14:paraId="23EC9E8F" w14:textId="31B12AFA" w:rsidR="00CF076E" w:rsidRPr="00381F61" w:rsidRDefault="00CF076E" w:rsidP="00E71CEB">
      <w:pPr>
        <w:jc w:val="both"/>
        <w:rPr>
          <w:rFonts w:ascii="Garamond" w:hAnsi="Garamond"/>
        </w:rPr>
      </w:pPr>
      <w:r w:rsidRPr="00381F61">
        <w:rPr>
          <w:rFonts w:ascii="Garamond" w:hAnsi="Garamond"/>
        </w:rPr>
        <w:t>The compulsory, defined contribution</w:t>
      </w:r>
      <w:r w:rsidR="00EE06D1" w:rsidRPr="00381F61">
        <w:rPr>
          <w:rFonts w:ascii="Garamond" w:hAnsi="Garamond"/>
        </w:rPr>
        <w:t>,</w:t>
      </w:r>
      <w:r w:rsidRPr="00381F61">
        <w:rPr>
          <w:rFonts w:ascii="Garamond" w:hAnsi="Garamond"/>
        </w:rPr>
        <w:t xml:space="preserve"> Tier 2 </w:t>
      </w:r>
      <w:r w:rsidR="008C2FA3" w:rsidRPr="00381F61">
        <w:rPr>
          <w:rFonts w:ascii="Garamond" w:hAnsi="Garamond"/>
        </w:rPr>
        <w:t xml:space="preserve">retirement savings </w:t>
      </w:r>
      <w:r w:rsidRPr="00381F61">
        <w:rPr>
          <w:rFonts w:ascii="Garamond" w:hAnsi="Garamond"/>
        </w:rPr>
        <w:t>scheme, adopted by Chile in 1981, copied by Australia in 1986 and by many other countries since, tries to force citizens (and their employers in some cases) to set aside financial claims and to lock those up until the state pension age</w:t>
      </w:r>
      <w:r w:rsidRPr="00381F61">
        <w:rPr>
          <w:rStyle w:val="FootnoteReference"/>
          <w:rFonts w:ascii="Garamond" w:hAnsi="Garamond"/>
        </w:rPr>
        <w:footnoteReference w:id="125"/>
      </w:r>
      <w:r w:rsidRPr="00381F61">
        <w:rPr>
          <w:rFonts w:ascii="Garamond" w:hAnsi="Garamond"/>
        </w:rPr>
        <w:t xml:space="preserve">.  From then, there are varying degrees of control on what Tier 2 savings can be used for and usually close links between the Tier 2 benefit and the Tier 1 pension.  These vary from a direct offset (Sweden) to a complex array of income- and asset-tests that embrace most financial assets, including the </w:t>
      </w:r>
      <w:r w:rsidR="00251E07" w:rsidRPr="00381F61">
        <w:rPr>
          <w:rFonts w:ascii="Garamond" w:hAnsi="Garamond"/>
        </w:rPr>
        <w:t xml:space="preserve">proceeds of the </w:t>
      </w:r>
      <w:r w:rsidRPr="00381F61">
        <w:rPr>
          <w:rFonts w:ascii="Garamond" w:hAnsi="Garamond"/>
        </w:rPr>
        <w:t>Tier 2 accumulation itself (Australia)</w:t>
      </w:r>
      <w:r w:rsidR="00A148AE" w:rsidRPr="00381F61">
        <w:rPr>
          <w:rStyle w:val="FootnoteReference"/>
          <w:rFonts w:ascii="Garamond" w:hAnsi="Garamond"/>
        </w:rPr>
        <w:footnoteReference w:id="126"/>
      </w:r>
      <w:r w:rsidRPr="00381F61">
        <w:rPr>
          <w:rFonts w:ascii="Garamond" w:hAnsi="Garamond"/>
        </w:rPr>
        <w:t xml:space="preserve">. </w:t>
      </w:r>
    </w:p>
    <w:p w14:paraId="478B8E9E" w14:textId="77777777" w:rsidR="00CF076E" w:rsidRPr="00381F61" w:rsidRDefault="00CF076E" w:rsidP="00E71CEB">
      <w:pPr>
        <w:jc w:val="both"/>
        <w:rPr>
          <w:rFonts w:ascii="Garamond" w:hAnsi="Garamond"/>
        </w:rPr>
      </w:pPr>
    </w:p>
    <w:p w14:paraId="4FEB25DB" w14:textId="7C17AE4C" w:rsidR="00CF076E" w:rsidRPr="00381F61" w:rsidRDefault="00CF076E" w:rsidP="00E71CEB">
      <w:pPr>
        <w:jc w:val="both"/>
        <w:rPr>
          <w:rFonts w:ascii="Garamond" w:hAnsi="Garamond"/>
        </w:rPr>
      </w:pPr>
      <w:r w:rsidRPr="00381F61">
        <w:rPr>
          <w:rFonts w:ascii="Garamond" w:hAnsi="Garamond"/>
        </w:rPr>
        <w:t xml:space="preserve">There are </w:t>
      </w:r>
      <w:r w:rsidR="001A5D5E" w:rsidRPr="00381F61">
        <w:rPr>
          <w:rFonts w:ascii="Garamond" w:hAnsi="Garamond"/>
        </w:rPr>
        <w:t xml:space="preserve">four </w:t>
      </w:r>
      <w:r w:rsidRPr="00381F61">
        <w:rPr>
          <w:rFonts w:ascii="Garamond" w:hAnsi="Garamond"/>
        </w:rPr>
        <w:t>main sets of difficulties with the kinds of arrangements promoted most notably by the World Bank in 1994</w:t>
      </w:r>
      <w:r w:rsidRPr="00381F61">
        <w:rPr>
          <w:rStyle w:val="FootnoteReference"/>
          <w:rFonts w:ascii="Garamond" w:hAnsi="Garamond"/>
        </w:rPr>
        <w:footnoteReference w:id="127"/>
      </w:r>
      <w:r w:rsidRPr="00381F61">
        <w:rPr>
          <w:rFonts w:ascii="Garamond" w:hAnsi="Garamond"/>
        </w:rPr>
        <w:t>:</w:t>
      </w:r>
    </w:p>
    <w:p w14:paraId="0B180FF7" w14:textId="77777777" w:rsidR="00CF076E" w:rsidRPr="00381F61" w:rsidRDefault="00CF076E" w:rsidP="00E71CEB">
      <w:pPr>
        <w:ind w:left="426"/>
        <w:jc w:val="both"/>
        <w:rPr>
          <w:rFonts w:ascii="Garamond" w:hAnsi="Garamond"/>
          <w:sz w:val="8"/>
          <w:szCs w:val="8"/>
        </w:rPr>
      </w:pPr>
    </w:p>
    <w:p w14:paraId="35291C32" w14:textId="1EC4F9B1" w:rsidR="00CF076E" w:rsidRPr="00381F61" w:rsidRDefault="00CF076E" w:rsidP="00E71CEB">
      <w:pPr>
        <w:pStyle w:val="ListParagraph"/>
        <w:numPr>
          <w:ilvl w:val="0"/>
          <w:numId w:val="5"/>
        </w:numPr>
        <w:ind w:left="851"/>
        <w:jc w:val="both"/>
        <w:rPr>
          <w:rFonts w:ascii="Garamond" w:hAnsi="Garamond"/>
        </w:rPr>
      </w:pPr>
      <w:r w:rsidRPr="00381F61">
        <w:rPr>
          <w:rFonts w:ascii="Garamond" w:hAnsi="Garamond"/>
        </w:rPr>
        <w:t xml:space="preserve">Controlling human behaviour over as many as seven decades - from first employment to death </w:t>
      </w:r>
      <w:r w:rsidR="005E14BB" w:rsidRPr="00381F61">
        <w:rPr>
          <w:rFonts w:ascii="Garamond" w:hAnsi="Garamond"/>
        </w:rPr>
        <w:t>after</w:t>
      </w:r>
      <w:r w:rsidRPr="00381F61">
        <w:rPr>
          <w:rFonts w:ascii="Garamond" w:hAnsi="Garamond"/>
        </w:rPr>
        <w:t xml:space="preserve"> retirement – seems too difficult.  It starts with convincing everyone to join.  Success here seems correlated to a country’s overall governance standards: the higher those standards, the more likely it is that ‘compulsion’ means ‘everyone joining’.  The World Bank itself concludes that this defining characteristic of Tier 2 schemes seems not to be working in most of Latin America</w:t>
      </w:r>
      <w:r w:rsidRPr="00381F61">
        <w:rPr>
          <w:rStyle w:val="FootnoteReference"/>
          <w:rFonts w:ascii="Garamond" w:hAnsi="Garamond"/>
        </w:rPr>
        <w:footnoteReference w:id="128"/>
      </w:r>
      <w:r w:rsidRPr="00381F61">
        <w:rPr>
          <w:rFonts w:ascii="Garamond" w:hAnsi="Garamond"/>
        </w:rPr>
        <w:t>.</w:t>
      </w:r>
    </w:p>
    <w:p w14:paraId="052B7D1D" w14:textId="77777777" w:rsidR="00CF076E" w:rsidRPr="00381F61" w:rsidRDefault="00CF076E" w:rsidP="00E71CEB">
      <w:pPr>
        <w:pStyle w:val="ListParagraph"/>
        <w:ind w:left="851"/>
        <w:jc w:val="both"/>
        <w:rPr>
          <w:rFonts w:ascii="Garamond" w:hAnsi="Garamond"/>
          <w:sz w:val="8"/>
          <w:szCs w:val="8"/>
        </w:rPr>
      </w:pPr>
    </w:p>
    <w:p w14:paraId="706B77EE" w14:textId="77777777" w:rsidR="00CF076E" w:rsidRPr="00381F61" w:rsidRDefault="00CF076E" w:rsidP="00E71CEB">
      <w:pPr>
        <w:pStyle w:val="ListParagraph"/>
        <w:numPr>
          <w:ilvl w:val="0"/>
          <w:numId w:val="5"/>
        </w:numPr>
        <w:ind w:left="851"/>
        <w:jc w:val="both"/>
        <w:rPr>
          <w:rFonts w:ascii="Garamond" w:hAnsi="Garamond"/>
        </w:rPr>
      </w:pPr>
      <w:r w:rsidRPr="00381F61">
        <w:rPr>
          <w:rFonts w:ascii="Garamond" w:hAnsi="Garamond"/>
        </w:rPr>
        <w:t>‘Compulsory’ Tier 2 schemes inevitably require thickets of regulations that become more complex over time.  There is so much to control and so many who might prefer to do something else; and they are constantly thinking of new ways to avoid Tier 2 or to mitigate its effects.</w:t>
      </w:r>
    </w:p>
    <w:p w14:paraId="2595456B" w14:textId="77777777" w:rsidR="00E01A8F" w:rsidRPr="00381F61" w:rsidRDefault="00E01A8F" w:rsidP="00043E1D">
      <w:pPr>
        <w:jc w:val="both"/>
        <w:rPr>
          <w:rFonts w:ascii="Garamond" w:hAnsi="Garamond"/>
          <w:sz w:val="8"/>
          <w:szCs w:val="8"/>
        </w:rPr>
      </w:pPr>
    </w:p>
    <w:p w14:paraId="04C5FA93" w14:textId="4CC4DDF3" w:rsidR="00E01A8F" w:rsidRPr="00381F61" w:rsidRDefault="00B108BC" w:rsidP="00E71CEB">
      <w:pPr>
        <w:pStyle w:val="ListParagraph"/>
        <w:numPr>
          <w:ilvl w:val="0"/>
          <w:numId w:val="5"/>
        </w:numPr>
        <w:ind w:left="851"/>
        <w:jc w:val="both"/>
        <w:rPr>
          <w:rFonts w:ascii="Garamond" w:hAnsi="Garamond"/>
        </w:rPr>
      </w:pPr>
      <w:r w:rsidRPr="00381F61">
        <w:rPr>
          <w:rFonts w:ascii="Garamond" w:hAnsi="Garamond"/>
        </w:rPr>
        <w:t>Tier 2 schemes must be directed</w:t>
      </w:r>
      <w:r w:rsidR="001C64EF" w:rsidRPr="00381F61">
        <w:rPr>
          <w:rFonts w:ascii="Garamond" w:hAnsi="Garamond"/>
        </w:rPr>
        <w:t xml:space="preserve"> by the government even if, as in Australia, they are not actually </w:t>
      </w:r>
      <w:r w:rsidR="00C13B6D" w:rsidRPr="00381F61">
        <w:rPr>
          <w:rFonts w:ascii="Garamond" w:hAnsi="Garamond"/>
        </w:rPr>
        <w:t>run by the government.  ‘P</w:t>
      </w:r>
      <w:r w:rsidR="001C64EF" w:rsidRPr="00381F61">
        <w:rPr>
          <w:rFonts w:ascii="Garamond" w:hAnsi="Garamond"/>
        </w:rPr>
        <w:t>rivately’</w:t>
      </w:r>
      <w:r w:rsidR="00C13B6D" w:rsidRPr="00381F61">
        <w:rPr>
          <w:rFonts w:ascii="Garamond" w:hAnsi="Garamond"/>
        </w:rPr>
        <w:t xml:space="preserve"> managed schemes </w:t>
      </w:r>
      <w:r w:rsidR="001C64EF" w:rsidRPr="00381F61">
        <w:rPr>
          <w:rFonts w:ascii="Garamond" w:hAnsi="Garamond"/>
        </w:rPr>
        <w:t>cannot avoid the constant oversight of regulatory authorities.  Australia</w:t>
      </w:r>
      <w:r w:rsidR="00044EAA" w:rsidRPr="00381F61">
        <w:rPr>
          <w:rFonts w:ascii="Garamond" w:hAnsi="Garamond"/>
        </w:rPr>
        <w:t>’s Productivity Commission</w:t>
      </w:r>
      <w:r w:rsidR="001C64EF" w:rsidRPr="00381F61">
        <w:rPr>
          <w:rFonts w:ascii="Garamond" w:hAnsi="Garamond"/>
        </w:rPr>
        <w:t xml:space="preserve"> </w:t>
      </w:r>
      <w:r w:rsidR="00044EAA" w:rsidRPr="00381F61">
        <w:rPr>
          <w:rFonts w:ascii="Garamond" w:hAnsi="Garamond"/>
        </w:rPr>
        <w:t>has conducted</w:t>
      </w:r>
      <w:r w:rsidR="001C64EF" w:rsidRPr="00381F61">
        <w:rPr>
          <w:rFonts w:ascii="Garamond" w:hAnsi="Garamond"/>
        </w:rPr>
        <w:t xml:space="preserve"> such a review to “assess the competitiveness and efficiency of the superannuation system”</w:t>
      </w:r>
      <w:r w:rsidR="001C64EF" w:rsidRPr="00381F61">
        <w:rPr>
          <w:rStyle w:val="FootnoteReference"/>
          <w:rFonts w:ascii="Garamond" w:hAnsi="Garamond"/>
        </w:rPr>
        <w:footnoteReference w:id="129"/>
      </w:r>
      <w:r w:rsidR="001C64EF" w:rsidRPr="00381F61">
        <w:rPr>
          <w:rFonts w:ascii="Garamond" w:hAnsi="Garamond"/>
        </w:rPr>
        <w:t xml:space="preserve">.  </w:t>
      </w:r>
      <w:r w:rsidR="001A118E" w:rsidRPr="00381F61">
        <w:rPr>
          <w:rFonts w:ascii="Garamond" w:hAnsi="Garamond"/>
        </w:rPr>
        <w:t>It i</w:t>
      </w:r>
      <w:r w:rsidR="00280D55" w:rsidRPr="00381F61">
        <w:rPr>
          <w:rFonts w:ascii="Garamond" w:hAnsi="Garamond"/>
        </w:rPr>
        <w:t>s far from the first review</w:t>
      </w:r>
      <w:r w:rsidR="001A118E" w:rsidRPr="00381F61">
        <w:rPr>
          <w:rFonts w:ascii="Garamond" w:hAnsi="Garamond"/>
        </w:rPr>
        <w:t xml:space="preserve">.  </w:t>
      </w:r>
      <w:r w:rsidR="001C64EF" w:rsidRPr="00381F61">
        <w:rPr>
          <w:rFonts w:ascii="Garamond" w:hAnsi="Garamond"/>
        </w:rPr>
        <w:t>The government has delivered a lucrative business to the financial services industry and must</w:t>
      </w:r>
      <w:r w:rsidR="000A7425" w:rsidRPr="00381F61">
        <w:rPr>
          <w:rFonts w:ascii="Garamond" w:hAnsi="Garamond"/>
        </w:rPr>
        <w:t xml:space="preserve"> inevitably, on the members’ behalf,</w:t>
      </w:r>
      <w:r w:rsidR="001C64EF" w:rsidRPr="00381F61">
        <w:rPr>
          <w:rFonts w:ascii="Garamond" w:hAnsi="Garamond"/>
        </w:rPr>
        <w:t xml:space="preserve"> be deeply involved in the oversight of all aspects of that business</w:t>
      </w:r>
      <w:r w:rsidR="00280D55" w:rsidRPr="00381F61">
        <w:rPr>
          <w:rFonts w:ascii="Garamond" w:hAnsi="Garamond"/>
        </w:rPr>
        <w:t xml:space="preserve">, especially </w:t>
      </w:r>
      <w:r w:rsidR="00191C4F" w:rsidRPr="00381F61">
        <w:rPr>
          <w:rFonts w:ascii="Garamond" w:hAnsi="Garamond"/>
        </w:rPr>
        <w:t>as</w:t>
      </w:r>
      <w:r w:rsidR="00280D55" w:rsidRPr="00381F61">
        <w:rPr>
          <w:rFonts w:ascii="Garamond" w:hAnsi="Garamond"/>
        </w:rPr>
        <w:t xml:space="preserve"> it </w:t>
      </w:r>
      <w:r w:rsidR="00191C4F" w:rsidRPr="00381F61">
        <w:rPr>
          <w:rFonts w:ascii="Garamond" w:hAnsi="Garamond"/>
        </w:rPr>
        <w:t xml:space="preserve">also </w:t>
      </w:r>
      <w:r w:rsidR="00280D55" w:rsidRPr="00381F61">
        <w:rPr>
          <w:rFonts w:ascii="Garamond" w:hAnsi="Garamond"/>
        </w:rPr>
        <w:t>indirectly affects the future cost of Tier 1</w:t>
      </w:r>
      <w:r w:rsidR="00DC16EA" w:rsidRPr="00381F61">
        <w:rPr>
          <w:rFonts w:ascii="Garamond" w:hAnsi="Garamond"/>
        </w:rPr>
        <w:t xml:space="preserve"> through the means-tests</w:t>
      </w:r>
      <w:r w:rsidR="001C64EF" w:rsidRPr="00381F61">
        <w:rPr>
          <w:rFonts w:ascii="Garamond" w:hAnsi="Garamond"/>
        </w:rPr>
        <w:t>.</w:t>
      </w:r>
    </w:p>
    <w:p w14:paraId="65E4E0B7" w14:textId="77777777" w:rsidR="00CF076E" w:rsidRPr="00381F61" w:rsidRDefault="00CF076E" w:rsidP="00E71CEB">
      <w:pPr>
        <w:ind w:left="851"/>
        <w:jc w:val="both"/>
        <w:rPr>
          <w:rFonts w:ascii="Garamond" w:hAnsi="Garamond"/>
          <w:sz w:val="8"/>
          <w:szCs w:val="8"/>
        </w:rPr>
      </w:pPr>
    </w:p>
    <w:p w14:paraId="6BE6A2D7" w14:textId="1B85617C" w:rsidR="00B13D34" w:rsidRPr="00381F61" w:rsidRDefault="00CF076E" w:rsidP="00E71CEB">
      <w:pPr>
        <w:pStyle w:val="ListParagraph"/>
        <w:numPr>
          <w:ilvl w:val="0"/>
          <w:numId w:val="5"/>
        </w:numPr>
        <w:ind w:left="851"/>
        <w:jc w:val="both"/>
        <w:rPr>
          <w:rFonts w:ascii="Garamond" w:hAnsi="Garamond"/>
        </w:rPr>
      </w:pPr>
      <w:r w:rsidRPr="00381F61">
        <w:rPr>
          <w:rFonts w:ascii="Garamond" w:hAnsi="Garamond"/>
        </w:rPr>
        <w:t>Given the natural propensity of individuals to set their own objectives and timetables, even if the Tier 2 scheme successfully captures the memberships and mandated contributions, the rules cannot prevent members’ changing their other behaviour to compensate.  Australia provides some good examples of this.  First, the income/asset-tests that link Tier 2 (and all other assets) to Tier 1 are numbingly intricate and intrusive</w:t>
      </w:r>
      <w:r w:rsidRPr="00381F61">
        <w:rPr>
          <w:rStyle w:val="FootnoteReference"/>
          <w:rFonts w:ascii="Garamond" w:hAnsi="Garamond"/>
        </w:rPr>
        <w:footnoteReference w:id="130"/>
      </w:r>
      <w:r w:rsidRPr="00381F61">
        <w:rPr>
          <w:rFonts w:ascii="Garamond" w:hAnsi="Garamond"/>
        </w:rPr>
        <w:t>.  Next Australians seem to arrive at retirement with greater debt, having effectively ‘pre-spent’ their retirement savings</w:t>
      </w:r>
      <w:r w:rsidRPr="00381F61">
        <w:rPr>
          <w:rStyle w:val="FootnoteReference"/>
          <w:rFonts w:ascii="Garamond" w:hAnsi="Garamond"/>
        </w:rPr>
        <w:footnoteReference w:id="131"/>
      </w:r>
      <w:r w:rsidRPr="00381F61">
        <w:rPr>
          <w:rFonts w:ascii="Garamond" w:hAnsi="Garamond"/>
        </w:rPr>
        <w:t>.  Australians also seem to retire early to collect their Tier</w:t>
      </w:r>
      <w:r w:rsidR="009C648E" w:rsidRPr="00381F61">
        <w:rPr>
          <w:rFonts w:ascii="Garamond" w:hAnsi="Garamond"/>
        </w:rPr>
        <w:t> </w:t>
      </w:r>
      <w:r w:rsidRPr="00381F61">
        <w:rPr>
          <w:rFonts w:ascii="Garamond" w:hAnsi="Garamond"/>
        </w:rPr>
        <w:t>2 saving accounts</w:t>
      </w:r>
      <w:r w:rsidRPr="00381F61">
        <w:rPr>
          <w:rStyle w:val="FootnoteReference"/>
          <w:rFonts w:ascii="Garamond" w:hAnsi="Garamond"/>
        </w:rPr>
        <w:footnoteReference w:id="132"/>
      </w:r>
      <w:r w:rsidRPr="00381F61">
        <w:rPr>
          <w:rFonts w:ascii="Garamond" w:hAnsi="Garamond"/>
        </w:rPr>
        <w:t xml:space="preserve"> and spend those before the means-tested Tier 1 pension starts</w:t>
      </w:r>
      <w:r w:rsidRPr="00381F61">
        <w:rPr>
          <w:rStyle w:val="FootnoteReference"/>
          <w:rFonts w:ascii="Garamond" w:hAnsi="Garamond"/>
        </w:rPr>
        <w:footnoteReference w:id="133"/>
      </w:r>
      <w:r w:rsidRPr="00381F61">
        <w:rPr>
          <w:rFonts w:ascii="Garamond" w:hAnsi="Garamond"/>
        </w:rPr>
        <w:t xml:space="preserve">.  </w:t>
      </w:r>
      <w:r w:rsidR="00CA2022" w:rsidRPr="00381F61">
        <w:rPr>
          <w:rFonts w:ascii="Garamond" w:hAnsi="Garamond"/>
        </w:rPr>
        <w:t>Finally, the necessary means-tests directly affect post-‘retirement’ labour force participation rates.  We have more to say on this in section 1</w:t>
      </w:r>
      <w:r w:rsidR="000856CF" w:rsidRPr="00381F61">
        <w:rPr>
          <w:rFonts w:ascii="Garamond" w:hAnsi="Garamond"/>
        </w:rPr>
        <w:t>6</w:t>
      </w:r>
      <w:r w:rsidR="00CA2022" w:rsidRPr="00381F61">
        <w:rPr>
          <w:rFonts w:ascii="Garamond" w:hAnsi="Garamond"/>
        </w:rPr>
        <w:t xml:space="preserve"> below (When do New Zealanders retire?).  In 2010, the participation rate for age 65+ </w:t>
      </w:r>
      <w:r w:rsidR="00320F70" w:rsidRPr="00381F61">
        <w:rPr>
          <w:rFonts w:ascii="Garamond" w:hAnsi="Garamond"/>
        </w:rPr>
        <w:t xml:space="preserve">in New Zealand </w:t>
      </w:r>
      <w:r w:rsidR="00CA2022" w:rsidRPr="00381F61">
        <w:rPr>
          <w:rFonts w:ascii="Garamond" w:hAnsi="Garamond"/>
        </w:rPr>
        <w:t xml:space="preserve">was </w:t>
      </w:r>
      <w:r w:rsidR="00E86424" w:rsidRPr="00381F61">
        <w:rPr>
          <w:rFonts w:ascii="Garamond" w:hAnsi="Garamond"/>
        </w:rPr>
        <w:t>17%</w:t>
      </w:r>
      <w:r w:rsidR="00A21B12" w:rsidRPr="00381F61">
        <w:rPr>
          <w:rStyle w:val="FootnoteReference"/>
          <w:rFonts w:ascii="Garamond" w:hAnsi="Garamond"/>
        </w:rPr>
        <w:footnoteReference w:id="134"/>
      </w:r>
      <w:r w:rsidR="00E86424" w:rsidRPr="00381F61">
        <w:rPr>
          <w:rFonts w:ascii="Garamond" w:hAnsi="Garamond"/>
        </w:rPr>
        <w:t xml:space="preserve">; in Australia, </w:t>
      </w:r>
      <w:r w:rsidR="00320F70" w:rsidRPr="00381F61">
        <w:rPr>
          <w:rFonts w:ascii="Garamond" w:hAnsi="Garamond"/>
        </w:rPr>
        <w:t>it was 10.7%</w:t>
      </w:r>
      <w:r w:rsidR="00320F70" w:rsidRPr="00381F61">
        <w:rPr>
          <w:rStyle w:val="FootnoteReference"/>
          <w:rFonts w:ascii="Garamond" w:hAnsi="Garamond"/>
        </w:rPr>
        <w:footnoteReference w:id="135"/>
      </w:r>
      <w:r w:rsidR="00320F70" w:rsidRPr="00381F61">
        <w:rPr>
          <w:rFonts w:ascii="Garamond" w:hAnsi="Garamond"/>
        </w:rPr>
        <w:t xml:space="preserve">.  </w:t>
      </w:r>
      <w:r w:rsidR="00B13D34" w:rsidRPr="00381F61">
        <w:rPr>
          <w:rFonts w:ascii="Garamond" w:hAnsi="Garamond"/>
        </w:rPr>
        <w:t xml:space="preserve">It’s not possible to put all of that difference down to means-tests but it is </w:t>
      </w:r>
      <w:r w:rsidR="00DB3AFE" w:rsidRPr="00381F61">
        <w:rPr>
          <w:rFonts w:ascii="Garamond" w:hAnsi="Garamond"/>
        </w:rPr>
        <w:t xml:space="preserve">likely to be a </w:t>
      </w:r>
      <w:r w:rsidR="004B0F93" w:rsidRPr="00381F61">
        <w:rPr>
          <w:rFonts w:ascii="Garamond" w:hAnsi="Garamond"/>
        </w:rPr>
        <w:t>significant</w:t>
      </w:r>
      <w:r w:rsidR="00DB3AFE" w:rsidRPr="00381F61">
        <w:rPr>
          <w:rFonts w:ascii="Garamond" w:hAnsi="Garamond"/>
        </w:rPr>
        <w:t xml:space="preserve"> influence</w:t>
      </w:r>
      <w:r w:rsidR="00B13D34" w:rsidRPr="00381F61">
        <w:rPr>
          <w:rFonts w:ascii="Garamond" w:hAnsi="Garamond"/>
        </w:rPr>
        <w:t>.</w:t>
      </w:r>
    </w:p>
    <w:p w14:paraId="08AE1EAE" w14:textId="77777777" w:rsidR="00B13D34" w:rsidRPr="00381F61" w:rsidRDefault="00B13D34" w:rsidP="00646919">
      <w:pPr>
        <w:jc w:val="both"/>
        <w:rPr>
          <w:rFonts w:ascii="Garamond" w:hAnsi="Garamond"/>
          <w:sz w:val="8"/>
          <w:szCs w:val="8"/>
        </w:rPr>
      </w:pPr>
    </w:p>
    <w:p w14:paraId="188DC50B" w14:textId="0A01F8B0" w:rsidR="00CF076E" w:rsidRPr="00381F61" w:rsidRDefault="00CF076E" w:rsidP="00646919">
      <w:pPr>
        <w:pStyle w:val="ListParagraph"/>
        <w:ind w:left="851"/>
        <w:jc w:val="both"/>
        <w:rPr>
          <w:rFonts w:ascii="Garamond" w:hAnsi="Garamond"/>
        </w:rPr>
      </w:pPr>
      <w:r w:rsidRPr="00381F61">
        <w:rPr>
          <w:rFonts w:ascii="Garamond" w:hAnsi="Garamond"/>
        </w:rPr>
        <w:t xml:space="preserve">There is no way governments </w:t>
      </w:r>
      <w:r w:rsidR="00A25F7F" w:rsidRPr="00381F61">
        <w:rPr>
          <w:rFonts w:ascii="Garamond" w:hAnsi="Garamond"/>
        </w:rPr>
        <w:t>can</w:t>
      </w:r>
      <w:r w:rsidRPr="00381F61">
        <w:rPr>
          <w:rFonts w:ascii="Garamond" w:hAnsi="Garamond"/>
        </w:rPr>
        <w:t xml:space="preserve"> control offsetting financial behaviour.  If governments want the Tier 2 scheme to increase self-provision for retirement, we should expect evidence that is in fact happening.  Counting the money in the Tier 2 scheme’s accounts (an approach favoured by financial service providers) does not tell us what is happening to household wealth</w:t>
      </w:r>
      <w:r w:rsidRPr="00381F61">
        <w:rPr>
          <w:rStyle w:val="FootnoteReference"/>
          <w:rFonts w:ascii="Garamond" w:hAnsi="Garamond"/>
        </w:rPr>
        <w:footnoteReference w:id="136"/>
      </w:r>
      <w:r w:rsidRPr="00381F61">
        <w:rPr>
          <w:rFonts w:ascii="Garamond" w:hAnsi="Garamond"/>
        </w:rPr>
        <w:t>.</w:t>
      </w:r>
    </w:p>
    <w:p w14:paraId="11CCF471" w14:textId="77777777" w:rsidR="00CF076E" w:rsidRPr="00381F61" w:rsidRDefault="00CF076E" w:rsidP="00E71CEB">
      <w:pPr>
        <w:ind w:left="426"/>
        <w:jc w:val="both"/>
        <w:rPr>
          <w:rFonts w:ascii="Garamond" w:hAnsi="Garamond"/>
        </w:rPr>
      </w:pPr>
    </w:p>
    <w:p w14:paraId="7ECA446D" w14:textId="6F76C0CA" w:rsidR="00CF076E" w:rsidRPr="00381F61" w:rsidRDefault="00CF076E" w:rsidP="00E71CEB">
      <w:pPr>
        <w:pStyle w:val="ListParagraph"/>
        <w:ind w:left="0"/>
        <w:jc w:val="both"/>
        <w:rPr>
          <w:rFonts w:ascii="Garamond" w:hAnsi="Garamond"/>
        </w:rPr>
      </w:pPr>
      <w:r w:rsidRPr="00381F61">
        <w:rPr>
          <w:rFonts w:ascii="Garamond" w:hAnsi="Garamond"/>
        </w:rPr>
        <w:t xml:space="preserve">Whether or not existing compulsory, pre-funded Tier 2 schemes increase household savings (or even national saving) should be a central question asked by countries that are considering such a scheme.  Countries </w:t>
      </w:r>
      <w:r w:rsidRPr="00381F61">
        <w:rPr>
          <w:rFonts w:ascii="Garamond" w:hAnsi="Garamond"/>
          <w:i/>
        </w:rPr>
        <w:t>with</w:t>
      </w:r>
      <w:r w:rsidRPr="00381F61">
        <w:rPr>
          <w:rFonts w:ascii="Garamond" w:hAnsi="Garamond"/>
        </w:rPr>
        <w:t xml:space="preserve"> such a scheme should ask the same question.  The answer is very likely to be equivocal and will probably fail to justify compulsory private provision as a public policy plank</w:t>
      </w:r>
      <w:r w:rsidR="000D331D" w:rsidRPr="00381F61">
        <w:rPr>
          <w:rStyle w:val="FootnoteReference"/>
          <w:rFonts w:ascii="Garamond" w:hAnsi="Garamond"/>
        </w:rPr>
        <w:footnoteReference w:id="137"/>
      </w:r>
      <w:r w:rsidRPr="00381F61">
        <w:rPr>
          <w:rFonts w:ascii="Garamond" w:hAnsi="Garamond"/>
        </w:rPr>
        <w:t>.</w:t>
      </w:r>
    </w:p>
    <w:p w14:paraId="30AFFE56" w14:textId="77777777" w:rsidR="00CF076E" w:rsidRPr="00381F61" w:rsidRDefault="00CF076E" w:rsidP="00E71CEB">
      <w:pPr>
        <w:pStyle w:val="ListParagraph"/>
        <w:ind w:left="0"/>
        <w:jc w:val="both"/>
        <w:rPr>
          <w:rFonts w:ascii="Garamond" w:hAnsi="Garamond"/>
        </w:rPr>
      </w:pPr>
    </w:p>
    <w:p w14:paraId="6ABD0314" w14:textId="66E12DF7" w:rsidR="00CF076E" w:rsidRPr="00381F61" w:rsidRDefault="00CF076E" w:rsidP="00E71CEB">
      <w:pPr>
        <w:pStyle w:val="ListParagraph"/>
        <w:ind w:left="0"/>
        <w:jc w:val="both"/>
        <w:rPr>
          <w:rFonts w:ascii="Garamond" w:hAnsi="Garamond"/>
        </w:rPr>
      </w:pPr>
      <w:r w:rsidRPr="00381F61">
        <w:rPr>
          <w:rFonts w:ascii="Garamond" w:hAnsi="Garamond"/>
        </w:rPr>
        <w:t xml:space="preserve">Governments need clarity around the objectives of such an intrusive strategy.  If the real problem is the likely future cost of the Tier 1 pension, that should be addressed directly, leaving citizens to decide what </w:t>
      </w:r>
      <w:r w:rsidR="0084642F" w:rsidRPr="00381F61">
        <w:rPr>
          <w:rFonts w:ascii="Garamond" w:hAnsi="Garamond"/>
        </w:rPr>
        <w:t xml:space="preserve">future </w:t>
      </w:r>
      <w:r w:rsidRPr="00381F61">
        <w:rPr>
          <w:rFonts w:ascii="Garamond" w:hAnsi="Garamond"/>
        </w:rPr>
        <w:t xml:space="preserve">cuts might mean for them.  Compulsory Tier 2 schemes may improve the depth of capital markets and that may have been </w:t>
      </w:r>
      <w:r w:rsidR="00C80994" w:rsidRPr="00381F61">
        <w:rPr>
          <w:rFonts w:ascii="Garamond" w:hAnsi="Garamond"/>
        </w:rPr>
        <w:t xml:space="preserve">a </w:t>
      </w:r>
      <w:r w:rsidRPr="00381F61">
        <w:rPr>
          <w:rFonts w:ascii="Garamond" w:hAnsi="Garamond"/>
        </w:rPr>
        <w:t>justification for Chile’s scheme in 1981</w:t>
      </w:r>
      <w:r w:rsidR="00F60F48" w:rsidRPr="00381F61">
        <w:rPr>
          <w:rFonts w:ascii="Garamond" w:hAnsi="Garamond"/>
        </w:rPr>
        <w:t>,</w:t>
      </w:r>
      <w:r w:rsidRPr="00381F61">
        <w:rPr>
          <w:rFonts w:ascii="Garamond" w:hAnsi="Garamond"/>
        </w:rPr>
        <w:t xml:space="preserve"> but the </w:t>
      </w:r>
      <w:r w:rsidR="00CA2022" w:rsidRPr="00381F61">
        <w:rPr>
          <w:rFonts w:ascii="Garamond" w:hAnsi="Garamond"/>
        </w:rPr>
        <w:t xml:space="preserve">downside </w:t>
      </w:r>
      <w:r w:rsidRPr="00381F61">
        <w:rPr>
          <w:rFonts w:ascii="Garamond" w:hAnsi="Garamond"/>
        </w:rPr>
        <w:t xml:space="preserve">is that Tier 2 </w:t>
      </w:r>
      <w:r w:rsidR="00A25F7F" w:rsidRPr="00381F61">
        <w:rPr>
          <w:rFonts w:ascii="Garamond" w:hAnsi="Garamond"/>
        </w:rPr>
        <w:t>will be</w:t>
      </w:r>
      <w:r w:rsidRPr="00381F61">
        <w:rPr>
          <w:rFonts w:ascii="Garamond" w:hAnsi="Garamond"/>
        </w:rPr>
        <w:t xml:space="preserve"> captured by the financial services sector.  The current level of compulsory contributions is unlikely ever to be considered ‘enough’ by that sector as the messages in Australia that now call for a lift from the new </w:t>
      </w:r>
      <w:r w:rsidR="001A5D5E" w:rsidRPr="00381F61">
        <w:rPr>
          <w:rFonts w:ascii="Garamond" w:hAnsi="Garamond"/>
        </w:rPr>
        <w:t xml:space="preserve">2025 </w:t>
      </w:r>
      <w:r w:rsidRPr="00381F61">
        <w:rPr>
          <w:rFonts w:ascii="Garamond" w:hAnsi="Garamond"/>
        </w:rPr>
        <w:t>limit of 12% to an eventual 15% of pay</w:t>
      </w:r>
      <w:r w:rsidR="00FB718D" w:rsidRPr="00381F61">
        <w:rPr>
          <w:rStyle w:val="FootnoteReference"/>
          <w:rFonts w:ascii="Garamond" w:hAnsi="Garamond"/>
        </w:rPr>
        <w:footnoteReference w:id="138"/>
      </w:r>
      <w:r w:rsidRPr="00381F61">
        <w:rPr>
          <w:rFonts w:ascii="Garamond" w:hAnsi="Garamond"/>
        </w:rPr>
        <w:t>.</w:t>
      </w:r>
    </w:p>
    <w:p w14:paraId="15A69FC2" w14:textId="6FA5F8E4" w:rsidR="001A5D5E" w:rsidRPr="00381F61" w:rsidRDefault="001A5D5E" w:rsidP="00E71CEB">
      <w:pPr>
        <w:pStyle w:val="ListParagraph"/>
        <w:ind w:left="0"/>
        <w:jc w:val="both"/>
        <w:rPr>
          <w:rFonts w:ascii="Garamond" w:hAnsi="Garamond"/>
        </w:rPr>
      </w:pPr>
    </w:p>
    <w:p w14:paraId="4D4A42F4" w14:textId="5C890B7A" w:rsidR="001A5D5E" w:rsidRPr="00381F61" w:rsidRDefault="001A5D5E" w:rsidP="00E71CEB">
      <w:pPr>
        <w:pStyle w:val="ListParagraph"/>
        <w:ind w:left="0"/>
        <w:jc w:val="both"/>
        <w:rPr>
          <w:rFonts w:ascii="Garamond" w:hAnsi="Garamond"/>
        </w:rPr>
      </w:pPr>
      <w:r w:rsidRPr="00381F61">
        <w:rPr>
          <w:rFonts w:ascii="Garamond" w:hAnsi="Garamond"/>
        </w:rPr>
        <w:t xml:space="preserve">Some of the difficulties we describe may explain why more than half of the countries that introduced compulsory Tier </w:t>
      </w:r>
      <w:r w:rsidR="00B77B58" w:rsidRPr="00381F61">
        <w:rPr>
          <w:rFonts w:ascii="Garamond" w:hAnsi="Garamond"/>
        </w:rPr>
        <w:t>2 saving schemes are unwinding them.  The ILO reported recently that, of the 30 countries that started such schemes between 1981 and 2014, 18 have gone back, either partly or fully.  The report describes this as “three decades of failure”</w:t>
      </w:r>
      <w:r w:rsidR="00B77B58" w:rsidRPr="00381F61">
        <w:rPr>
          <w:rStyle w:val="FootnoteReference"/>
          <w:rFonts w:ascii="Garamond" w:hAnsi="Garamond"/>
        </w:rPr>
        <w:footnoteReference w:id="139"/>
      </w:r>
      <w:r w:rsidR="00B77B58" w:rsidRPr="00381F61">
        <w:rPr>
          <w:rFonts w:ascii="Garamond" w:hAnsi="Garamond"/>
        </w:rPr>
        <w:t>.</w:t>
      </w:r>
    </w:p>
    <w:p w14:paraId="0D662D82" w14:textId="77777777" w:rsidR="00CF076E" w:rsidRPr="00381F61" w:rsidRDefault="00CF076E" w:rsidP="00E71CEB">
      <w:pPr>
        <w:jc w:val="both"/>
        <w:rPr>
          <w:rFonts w:ascii="Garamond" w:hAnsi="Garamond"/>
        </w:rPr>
      </w:pPr>
    </w:p>
    <w:p w14:paraId="08C87421" w14:textId="78F59A78" w:rsidR="00CF076E" w:rsidRPr="00381F61" w:rsidRDefault="00CF076E" w:rsidP="00E71CEB">
      <w:pPr>
        <w:pStyle w:val="ListParagraph"/>
        <w:ind w:left="0"/>
        <w:jc w:val="both"/>
        <w:rPr>
          <w:rFonts w:ascii="Garamond" w:hAnsi="Garamond"/>
        </w:rPr>
      </w:pPr>
      <w:r w:rsidRPr="00381F61">
        <w:rPr>
          <w:rFonts w:ascii="Garamond" w:hAnsi="Garamond"/>
        </w:rPr>
        <w:t>Compulsory private provision has similar versions of the difficulties described for tax concessions (</w:t>
      </w:r>
      <w:r w:rsidR="000856CF" w:rsidRPr="00381F61">
        <w:rPr>
          <w:rFonts w:ascii="Garamond" w:hAnsi="Garamond"/>
        </w:rPr>
        <w:t>section 9</w:t>
      </w:r>
      <w:r w:rsidR="007117E7" w:rsidRPr="00381F61">
        <w:rPr>
          <w:rFonts w:ascii="Garamond" w:hAnsi="Garamond"/>
        </w:rPr>
        <w:t xml:space="preserve">, </w:t>
      </w:r>
      <w:r w:rsidRPr="00381F61">
        <w:rPr>
          <w:rFonts w:ascii="Garamond" w:hAnsi="Garamond"/>
        </w:rPr>
        <w:t>paragraphs (a) to (f) above).  They are complex (by definition), distortionary (again, by definition), expensive to administer and constrain flexibility</w:t>
      </w:r>
      <w:r w:rsidR="007117E7" w:rsidRPr="00381F61">
        <w:rPr>
          <w:rFonts w:ascii="Garamond" w:hAnsi="Garamond"/>
        </w:rPr>
        <w:t xml:space="preserve"> (by definition)</w:t>
      </w:r>
      <w:r w:rsidRPr="00381F61">
        <w:rPr>
          <w:rFonts w:ascii="Garamond" w:hAnsi="Garamond"/>
        </w:rPr>
        <w:t xml:space="preserve">.  They also suffer from the fundamental flaw that compulsion </w:t>
      </w:r>
      <w:r w:rsidR="00E01A8F" w:rsidRPr="00381F61">
        <w:rPr>
          <w:rFonts w:ascii="Garamond" w:hAnsi="Garamond"/>
        </w:rPr>
        <w:t>may</w:t>
      </w:r>
      <w:r w:rsidRPr="00381F61">
        <w:rPr>
          <w:rFonts w:ascii="Garamond" w:hAnsi="Garamond"/>
        </w:rPr>
        <w:t xml:space="preserve"> not ‘work’ (raise overall saving levels</w:t>
      </w:r>
      <w:r w:rsidR="00C352FE" w:rsidRPr="00381F61">
        <w:rPr>
          <w:rFonts w:ascii="Garamond" w:hAnsi="Garamond"/>
        </w:rPr>
        <w:t>, not just savings in compulsory accounts</w:t>
      </w:r>
      <w:r w:rsidRPr="00381F61">
        <w:rPr>
          <w:rFonts w:ascii="Garamond" w:hAnsi="Garamond"/>
        </w:rPr>
        <w:t>).</w:t>
      </w:r>
    </w:p>
    <w:p w14:paraId="0D1BBB9B" w14:textId="77777777" w:rsidR="00CF076E" w:rsidRPr="00381F61" w:rsidRDefault="00CF076E" w:rsidP="00E71CEB">
      <w:pPr>
        <w:pStyle w:val="ListParagraph"/>
        <w:ind w:left="0"/>
        <w:jc w:val="both"/>
        <w:rPr>
          <w:rFonts w:ascii="Garamond" w:hAnsi="Garamond"/>
        </w:rPr>
      </w:pPr>
    </w:p>
    <w:p w14:paraId="0C0C2D6B" w14:textId="66F9A032" w:rsidR="00CF076E" w:rsidRPr="00381F61" w:rsidRDefault="00475EFC" w:rsidP="00E71CEB">
      <w:pPr>
        <w:pStyle w:val="ListParagraph"/>
        <w:ind w:left="0"/>
        <w:jc w:val="both"/>
        <w:rPr>
          <w:rFonts w:ascii="Garamond" w:hAnsi="Garamond"/>
        </w:rPr>
      </w:pPr>
      <w:r w:rsidRPr="00381F61">
        <w:rPr>
          <w:rFonts w:ascii="Garamond" w:hAnsi="Garamond"/>
        </w:rPr>
        <w:t>We have more to say on this wider issue below in section 1</w:t>
      </w:r>
      <w:r w:rsidR="000856CF" w:rsidRPr="00381F61">
        <w:rPr>
          <w:rFonts w:ascii="Garamond" w:hAnsi="Garamond"/>
        </w:rPr>
        <w:t>5</w:t>
      </w:r>
      <w:r w:rsidRPr="00381F61">
        <w:rPr>
          <w:rFonts w:ascii="Garamond" w:hAnsi="Garamond"/>
        </w:rPr>
        <w:t xml:space="preserve"> (Households’ financial position – a proper longitudinal survey needed). </w:t>
      </w:r>
    </w:p>
    <w:p w14:paraId="4A370696" w14:textId="77777777" w:rsidR="00CF076E" w:rsidRPr="00381F61" w:rsidRDefault="00CF076E" w:rsidP="00E71CEB">
      <w:pPr>
        <w:pStyle w:val="ListParagraph"/>
        <w:ind w:left="0"/>
        <w:jc w:val="both"/>
        <w:rPr>
          <w:rFonts w:ascii="Garamond" w:hAnsi="Garamond"/>
        </w:rPr>
      </w:pPr>
    </w:p>
    <w:p w14:paraId="3C04827B" w14:textId="77777777" w:rsidR="00CF076E" w:rsidRPr="00381F61" w:rsidRDefault="00CF076E" w:rsidP="00E71CEB">
      <w:pPr>
        <w:pStyle w:val="ListParagraph"/>
        <w:ind w:left="0"/>
        <w:jc w:val="both"/>
        <w:rPr>
          <w:rFonts w:ascii="Garamond" w:hAnsi="Garamond"/>
        </w:rPr>
      </w:pPr>
      <w:r w:rsidRPr="00381F61">
        <w:rPr>
          <w:rFonts w:ascii="Garamond" w:hAnsi="Garamond"/>
        </w:rPr>
        <w:t>Just as individuals adjust their behaviour in response to public policy interventions, so too do financial service providers.  However, what’s good for providers is not necessarily good for savers or for the country</w:t>
      </w:r>
      <w:r w:rsidRPr="00381F61">
        <w:rPr>
          <w:rStyle w:val="FootnoteReference"/>
          <w:rFonts w:ascii="Garamond" w:hAnsi="Garamond"/>
        </w:rPr>
        <w:footnoteReference w:id="140"/>
      </w:r>
      <w:r w:rsidRPr="00381F61">
        <w:rPr>
          <w:rFonts w:ascii="Garamond" w:hAnsi="Garamond"/>
        </w:rPr>
        <w:t>.</w:t>
      </w:r>
    </w:p>
    <w:p w14:paraId="43DEAF9F" w14:textId="77777777" w:rsidR="00E9472B" w:rsidRPr="00381F61" w:rsidRDefault="00E9472B" w:rsidP="00E71CEB">
      <w:pPr>
        <w:pStyle w:val="ListParagraph"/>
        <w:ind w:left="0"/>
        <w:jc w:val="both"/>
        <w:rPr>
          <w:rFonts w:ascii="Garamond" w:hAnsi="Garamond"/>
        </w:rPr>
      </w:pPr>
    </w:p>
    <w:p w14:paraId="229F5E43" w14:textId="5B806377" w:rsidR="00E9472B" w:rsidRPr="00381F61" w:rsidRDefault="00E9472B" w:rsidP="00E71CEB">
      <w:pPr>
        <w:pStyle w:val="ListParagraph"/>
        <w:ind w:left="0"/>
        <w:jc w:val="both"/>
        <w:rPr>
          <w:rFonts w:ascii="Garamond" w:hAnsi="Garamond"/>
        </w:rPr>
      </w:pPr>
      <w:r w:rsidRPr="00381F61">
        <w:rPr>
          <w:rFonts w:ascii="Garamond" w:hAnsi="Garamond"/>
        </w:rPr>
        <w:t xml:space="preserve">We need more and better information about the effects of compulsory Tier 2 retirement saving schemes in other countries, but particularly in Australia.  Most of our financial institutions are owned out of Australia and there is no doubt that the </w:t>
      </w:r>
      <w:r w:rsidR="00BD66AF" w:rsidRPr="00381F61">
        <w:rPr>
          <w:rFonts w:ascii="Garamond" w:hAnsi="Garamond"/>
        </w:rPr>
        <w:t xml:space="preserve">compulsory </w:t>
      </w:r>
      <w:r w:rsidRPr="00381F61">
        <w:rPr>
          <w:rFonts w:ascii="Garamond" w:hAnsi="Garamond"/>
        </w:rPr>
        <w:t>‘SG’ regime has been good for financial service providers in that country since it was first introduced in 1986.  That is not a reason to support the introduction of compulsory retirement savings in New Zealand or an extension of KiwiSaver to that effect</w:t>
      </w:r>
      <w:r w:rsidR="00C312D1" w:rsidRPr="00381F61">
        <w:rPr>
          <w:rStyle w:val="FootnoteReference"/>
          <w:rFonts w:ascii="Garamond" w:hAnsi="Garamond"/>
        </w:rPr>
        <w:footnoteReference w:id="141"/>
      </w:r>
      <w:r w:rsidRPr="00381F61">
        <w:rPr>
          <w:rFonts w:ascii="Garamond" w:hAnsi="Garamond"/>
        </w:rPr>
        <w:t>.</w:t>
      </w:r>
    </w:p>
    <w:p w14:paraId="1FBF9DDF" w14:textId="77777777" w:rsidR="004D38B5" w:rsidRPr="00381F61" w:rsidRDefault="004D38B5" w:rsidP="00E71CEB">
      <w:pPr>
        <w:pStyle w:val="ListParagraph"/>
        <w:ind w:left="0"/>
        <w:jc w:val="both"/>
        <w:rPr>
          <w:rFonts w:ascii="Garamond" w:hAnsi="Garamond"/>
        </w:rPr>
      </w:pPr>
    </w:p>
    <w:p w14:paraId="151836DA" w14:textId="5A0C57B6" w:rsidR="004D38B5" w:rsidRPr="00381F61" w:rsidRDefault="004D38B5" w:rsidP="00E71CEB">
      <w:pPr>
        <w:pStyle w:val="ListParagraph"/>
        <w:ind w:left="0"/>
        <w:jc w:val="both"/>
        <w:rPr>
          <w:rFonts w:ascii="Garamond" w:hAnsi="Garamond"/>
        </w:rPr>
      </w:pPr>
      <w:r w:rsidRPr="00381F61">
        <w:rPr>
          <w:rFonts w:ascii="Garamond" w:hAnsi="Garamond"/>
        </w:rPr>
        <w:t>Part of the public policy justification for such an intervention in Australia is the direct linkage between private assets/incomes (including from compulsory superannuation savings</w:t>
      </w:r>
      <w:r w:rsidR="006631B7" w:rsidRPr="00381F61">
        <w:rPr>
          <w:rFonts w:ascii="Garamond" w:hAnsi="Garamond"/>
        </w:rPr>
        <w:t xml:space="preserve">) and the </w:t>
      </w:r>
      <w:r w:rsidR="00015735" w:rsidRPr="00381F61">
        <w:rPr>
          <w:rFonts w:ascii="Garamond" w:hAnsi="Garamond"/>
        </w:rPr>
        <w:t xml:space="preserve">Tier 1 </w:t>
      </w:r>
      <w:r w:rsidR="006631B7" w:rsidRPr="00381F61">
        <w:rPr>
          <w:rFonts w:ascii="Garamond" w:hAnsi="Garamond"/>
        </w:rPr>
        <w:t>Age Pension through the income and asset tests</w:t>
      </w:r>
      <w:r w:rsidR="00E01A8F" w:rsidRPr="00381F61">
        <w:rPr>
          <w:rStyle w:val="FootnoteReference"/>
          <w:rFonts w:ascii="Garamond" w:hAnsi="Garamond"/>
        </w:rPr>
        <w:footnoteReference w:id="142"/>
      </w:r>
      <w:r w:rsidR="006631B7" w:rsidRPr="00381F61">
        <w:rPr>
          <w:rFonts w:ascii="Garamond" w:hAnsi="Garamond"/>
        </w:rPr>
        <w:t xml:space="preserve">.  No such linkage was </w:t>
      </w:r>
      <w:r w:rsidR="001A5D5E" w:rsidRPr="00381F61">
        <w:rPr>
          <w:rFonts w:ascii="Garamond" w:hAnsi="Garamond"/>
        </w:rPr>
        <w:t xml:space="preserve">ever </w:t>
      </w:r>
      <w:r w:rsidR="006631B7" w:rsidRPr="00381F61">
        <w:rPr>
          <w:rFonts w:ascii="Garamond" w:hAnsi="Garamond"/>
        </w:rPr>
        <w:t xml:space="preserve">considered with KiwiSaver’s introduction but that will become an obvious issue if KiwiSaver </w:t>
      </w:r>
      <w:r w:rsidR="00C352FE" w:rsidRPr="00381F61">
        <w:rPr>
          <w:rFonts w:ascii="Garamond" w:hAnsi="Garamond"/>
        </w:rPr>
        <w:t xml:space="preserve">ever </w:t>
      </w:r>
      <w:r w:rsidR="006631B7" w:rsidRPr="00381F61">
        <w:rPr>
          <w:rFonts w:ascii="Garamond" w:hAnsi="Garamond"/>
        </w:rPr>
        <w:t>were to become compulsory</w:t>
      </w:r>
      <w:r w:rsidR="000126C7" w:rsidRPr="00381F61">
        <w:rPr>
          <w:rFonts w:ascii="Garamond" w:hAnsi="Garamond"/>
        </w:rPr>
        <w:t xml:space="preserve"> as was suggested</w:t>
      </w:r>
      <w:r w:rsidR="00F07CC4" w:rsidRPr="00381F61">
        <w:rPr>
          <w:rFonts w:ascii="Garamond" w:hAnsi="Garamond"/>
        </w:rPr>
        <w:t>, for example,</w:t>
      </w:r>
      <w:r w:rsidR="000126C7" w:rsidRPr="00381F61">
        <w:rPr>
          <w:rFonts w:ascii="Garamond" w:hAnsi="Garamond"/>
        </w:rPr>
        <w:t xml:space="preserve"> by Michael Cullen</w:t>
      </w:r>
      <w:r w:rsidR="00ED03C6" w:rsidRPr="00381F61">
        <w:rPr>
          <w:rFonts w:ascii="Garamond" w:hAnsi="Garamond"/>
        </w:rPr>
        <w:t xml:space="preserve"> in a November 2016 speech</w:t>
      </w:r>
      <w:r w:rsidR="00ED03C6" w:rsidRPr="00381F61">
        <w:rPr>
          <w:rStyle w:val="FootnoteReference"/>
          <w:rFonts w:ascii="Garamond" w:hAnsi="Garamond"/>
        </w:rPr>
        <w:footnoteReference w:id="143"/>
      </w:r>
      <w:r w:rsidR="006631B7" w:rsidRPr="00381F61">
        <w:rPr>
          <w:rFonts w:ascii="Garamond" w:hAnsi="Garamond"/>
        </w:rPr>
        <w:t>.</w:t>
      </w:r>
    </w:p>
    <w:p w14:paraId="4D7125EB" w14:textId="77777777" w:rsidR="00CF076E" w:rsidRPr="00381F61" w:rsidRDefault="00CF076E" w:rsidP="00E71CEB">
      <w:pPr>
        <w:jc w:val="both"/>
        <w:rPr>
          <w:rFonts w:ascii="Garamond" w:hAnsi="Garamond"/>
        </w:rPr>
      </w:pPr>
    </w:p>
    <w:p w14:paraId="2E655308" w14:textId="1E7BB46C" w:rsidR="001515F0" w:rsidRPr="00381F61" w:rsidRDefault="001515F0" w:rsidP="00E71CEB">
      <w:pPr>
        <w:jc w:val="both"/>
        <w:rPr>
          <w:rFonts w:ascii="Garamond" w:hAnsi="Garamond"/>
        </w:rPr>
      </w:pPr>
      <w:r w:rsidRPr="00381F61">
        <w:rPr>
          <w:rFonts w:ascii="Garamond" w:hAnsi="Garamond"/>
        </w:rPr>
        <w:t>If we force citizens to save for retirement, we are really saying that, when they reach the state pension age, they will receive a smaller state pension.  Means-tests are an almost inevitable consequence of compulsion.  If New Zealand really wants to talk about compulsion</w:t>
      </w:r>
      <w:r w:rsidR="00560669" w:rsidRPr="00381F61">
        <w:rPr>
          <w:rFonts w:ascii="Garamond" w:hAnsi="Garamond"/>
        </w:rPr>
        <w:t>,</w:t>
      </w:r>
      <w:r w:rsidRPr="00381F61">
        <w:rPr>
          <w:rFonts w:ascii="Garamond" w:hAnsi="Garamond"/>
        </w:rPr>
        <w:t xml:space="preserve"> then we also need a conversation about how to reduce the age pension by those compulsory savings.</w:t>
      </w:r>
    </w:p>
    <w:p w14:paraId="2A23C320" w14:textId="77777777" w:rsidR="001515F0" w:rsidRPr="00381F61" w:rsidRDefault="001515F0" w:rsidP="00E71CEB">
      <w:pPr>
        <w:jc w:val="both"/>
        <w:rPr>
          <w:rFonts w:ascii="Garamond" w:hAnsi="Garamond"/>
        </w:rPr>
      </w:pPr>
    </w:p>
    <w:p w14:paraId="1405565A" w14:textId="77777777" w:rsidR="00B44025" w:rsidRPr="00381F61" w:rsidRDefault="00B44025" w:rsidP="00B44025">
      <w:pPr>
        <w:jc w:val="both"/>
        <w:rPr>
          <w:rFonts w:ascii="Garamond" w:hAnsi="Garamond"/>
        </w:rPr>
      </w:pPr>
      <w:r w:rsidRPr="00381F61">
        <w:rPr>
          <w:rFonts w:ascii="Garamond" w:hAnsi="Garamond"/>
          <w:b/>
        </w:rPr>
        <w:t>Terms of reference for 2019 Review</w:t>
      </w:r>
    </w:p>
    <w:p w14:paraId="2BCE6807" w14:textId="77777777" w:rsidR="00B44025" w:rsidRPr="00381F61" w:rsidRDefault="00B44025" w:rsidP="00B44025">
      <w:pPr>
        <w:jc w:val="both"/>
        <w:rPr>
          <w:rFonts w:ascii="Garamond" w:hAnsi="Garamond"/>
        </w:rPr>
      </w:pPr>
    </w:p>
    <w:p w14:paraId="2879AA43" w14:textId="6A726584" w:rsidR="00B44025" w:rsidRPr="00381F61" w:rsidRDefault="00B44025" w:rsidP="00B44025">
      <w:pPr>
        <w:jc w:val="both"/>
        <w:rPr>
          <w:rFonts w:ascii="Garamond" w:hAnsi="Garamond"/>
        </w:rPr>
      </w:pPr>
      <w:r w:rsidRPr="00381F61">
        <w:rPr>
          <w:rFonts w:ascii="Garamond" w:hAnsi="Garamond"/>
        </w:rPr>
        <w:t>There was no mention in the Terms of Reference for the Retirement Commissioner’s 2019 Review of the issues associated with compulsory retirement saving.</w:t>
      </w:r>
    </w:p>
    <w:p w14:paraId="5E859E63" w14:textId="77777777" w:rsidR="00B44025" w:rsidRPr="00381F61" w:rsidRDefault="00B44025" w:rsidP="00B44025">
      <w:pPr>
        <w:jc w:val="both"/>
        <w:rPr>
          <w:rFonts w:ascii="Garamond" w:hAnsi="Garamond"/>
        </w:rPr>
      </w:pPr>
    </w:p>
    <w:p w14:paraId="471A11D5" w14:textId="7DE3ACEC" w:rsidR="00B44025" w:rsidRPr="00381F61" w:rsidRDefault="00B44025" w:rsidP="00B44025">
      <w:pPr>
        <w:jc w:val="both"/>
        <w:rPr>
          <w:rFonts w:ascii="Garamond" w:hAnsi="Garamond"/>
        </w:rPr>
      </w:pPr>
      <w:r w:rsidRPr="00381F61">
        <w:rPr>
          <w:rFonts w:ascii="Garamond" w:hAnsi="Garamond"/>
        </w:rPr>
        <w:t>The 2019 Review does not therefore need to address this issue.  However, if anyone suggests that compulsory retirement saving through an arrangement like Aust</w:t>
      </w:r>
      <w:r w:rsidR="00A1151A" w:rsidRPr="00381F61">
        <w:rPr>
          <w:rFonts w:ascii="Garamond" w:hAnsi="Garamond"/>
        </w:rPr>
        <w:t>r</w:t>
      </w:r>
      <w:r w:rsidRPr="00381F61">
        <w:rPr>
          <w:rFonts w:ascii="Garamond" w:hAnsi="Garamond"/>
        </w:rPr>
        <w:t>alia’s SG scheme should be part of New Zealand’s framework, we invite them to address the following questions.</w:t>
      </w:r>
    </w:p>
    <w:p w14:paraId="508E38C8" w14:textId="77777777" w:rsidR="00F2146A" w:rsidRPr="00381F61" w:rsidRDefault="00F2146A" w:rsidP="00E71CEB">
      <w:pPr>
        <w:jc w:val="both"/>
        <w:rPr>
          <w:rFonts w:ascii="Garamond" w:hAnsi="Garamond"/>
        </w:rPr>
      </w:pPr>
    </w:p>
    <w:p w14:paraId="5A3B34F6" w14:textId="378386E6" w:rsidR="009C648E" w:rsidRPr="00381F61" w:rsidRDefault="009C648E" w:rsidP="00E71CEB">
      <w:pPr>
        <w:jc w:val="both"/>
        <w:rPr>
          <w:rFonts w:ascii="Garamond" w:hAnsi="Garamond"/>
          <w:b/>
        </w:rPr>
      </w:pPr>
      <w:r w:rsidRPr="00381F61">
        <w:rPr>
          <w:rFonts w:ascii="Garamond" w:hAnsi="Garamond"/>
          <w:b/>
        </w:rPr>
        <w:t>Questions New Zealand</w:t>
      </w:r>
      <w:r w:rsidR="00A256AB" w:rsidRPr="00381F61">
        <w:rPr>
          <w:rFonts w:ascii="Garamond" w:hAnsi="Garamond"/>
          <w:b/>
        </w:rPr>
        <w:t xml:space="preserve"> </w:t>
      </w:r>
      <w:r w:rsidR="00B44025" w:rsidRPr="00381F61">
        <w:rPr>
          <w:rFonts w:ascii="Garamond" w:hAnsi="Garamond"/>
          <w:b/>
        </w:rPr>
        <w:t xml:space="preserve">might </w:t>
      </w:r>
      <w:r w:rsidR="00A256AB" w:rsidRPr="00381F61">
        <w:rPr>
          <w:rFonts w:ascii="Garamond" w:hAnsi="Garamond"/>
          <w:b/>
        </w:rPr>
        <w:t>need</w:t>
      </w:r>
      <w:r w:rsidRPr="00381F61">
        <w:rPr>
          <w:rFonts w:ascii="Garamond" w:hAnsi="Garamond"/>
          <w:b/>
        </w:rPr>
        <w:t xml:space="preserve"> to discuss</w:t>
      </w:r>
      <w:r w:rsidR="00A256AB" w:rsidRPr="00381F61">
        <w:rPr>
          <w:rFonts w:ascii="Garamond" w:hAnsi="Garamond"/>
          <w:b/>
        </w:rPr>
        <w:t xml:space="preserve"> on compulsory private provision:</w:t>
      </w:r>
    </w:p>
    <w:p w14:paraId="2C6B9A9C" w14:textId="22BEBE4F" w:rsidR="009C648E" w:rsidRPr="00381F61" w:rsidRDefault="009C648E" w:rsidP="00E71CEB">
      <w:pPr>
        <w:jc w:val="both"/>
        <w:rPr>
          <w:rFonts w:ascii="Garamond" w:hAnsi="Garamond"/>
        </w:rPr>
      </w:pPr>
    </w:p>
    <w:p w14:paraId="76533F55" w14:textId="4838F787" w:rsidR="009C648E" w:rsidRPr="00381F61" w:rsidRDefault="00E9472B" w:rsidP="00E71CEB">
      <w:pPr>
        <w:pStyle w:val="ListParagraph"/>
        <w:numPr>
          <w:ilvl w:val="0"/>
          <w:numId w:val="28"/>
        </w:numPr>
        <w:jc w:val="both"/>
        <w:rPr>
          <w:rFonts w:ascii="Garamond" w:hAnsi="Garamond"/>
        </w:rPr>
      </w:pPr>
      <w:r w:rsidRPr="00381F61">
        <w:rPr>
          <w:rFonts w:ascii="Garamond" w:hAnsi="Garamond"/>
        </w:rPr>
        <w:t>What precisely has been the effect of Australia’s SG Tier 2 retirement savings scheme on:</w:t>
      </w:r>
    </w:p>
    <w:p w14:paraId="62771FCA" w14:textId="1C3E2BE3" w:rsidR="00E9472B" w:rsidRPr="00381F61" w:rsidRDefault="00E9472B" w:rsidP="00E71CEB">
      <w:pPr>
        <w:pStyle w:val="ListParagraph"/>
        <w:numPr>
          <w:ilvl w:val="1"/>
          <w:numId w:val="28"/>
        </w:numPr>
        <w:jc w:val="both"/>
        <w:rPr>
          <w:rFonts w:ascii="Garamond" w:hAnsi="Garamond"/>
        </w:rPr>
      </w:pPr>
      <w:r w:rsidRPr="00381F61">
        <w:rPr>
          <w:rFonts w:ascii="Garamond" w:hAnsi="Garamond"/>
        </w:rPr>
        <w:t>Australians’ overall (not just retirement) saving and wealth accumulation patterns?</w:t>
      </w:r>
    </w:p>
    <w:p w14:paraId="43268360" w14:textId="1FB7D354" w:rsidR="00E9472B" w:rsidRPr="00381F61" w:rsidRDefault="00E9472B" w:rsidP="00E71CEB">
      <w:pPr>
        <w:pStyle w:val="ListParagraph"/>
        <w:numPr>
          <w:ilvl w:val="1"/>
          <w:numId w:val="28"/>
        </w:numPr>
        <w:jc w:val="both"/>
        <w:rPr>
          <w:rFonts w:ascii="Garamond" w:hAnsi="Garamond"/>
        </w:rPr>
      </w:pPr>
      <w:r w:rsidRPr="00381F61">
        <w:rPr>
          <w:rFonts w:ascii="Garamond" w:hAnsi="Garamond"/>
        </w:rPr>
        <w:t>Public policy</w:t>
      </w:r>
      <w:r w:rsidR="004D38B5" w:rsidRPr="00381F61">
        <w:rPr>
          <w:rFonts w:ascii="Garamond" w:hAnsi="Garamond"/>
        </w:rPr>
        <w:t>?</w:t>
      </w:r>
    </w:p>
    <w:p w14:paraId="281744D1" w14:textId="2BA86076" w:rsidR="004D38B5" w:rsidRPr="00381F61" w:rsidRDefault="004D38B5" w:rsidP="00E71CEB">
      <w:pPr>
        <w:pStyle w:val="ListParagraph"/>
        <w:numPr>
          <w:ilvl w:val="1"/>
          <w:numId w:val="28"/>
        </w:numPr>
        <w:jc w:val="both"/>
        <w:rPr>
          <w:rFonts w:ascii="Garamond" w:hAnsi="Garamond"/>
        </w:rPr>
      </w:pPr>
      <w:r w:rsidRPr="00381F61">
        <w:rPr>
          <w:rFonts w:ascii="Garamond" w:hAnsi="Garamond"/>
        </w:rPr>
        <w:t>Retirees’ income levels?</w:t>
      </w:r>
    </w:p>
    <w:p w14:paraId="4062DC40" w14:textId="2D4C9C2F" w:rsidR="004D38B5" w:rsidRPr="00381F61" w:rsidRDefault="004D38B5" w:rsidP="00E71CEB">
      <w:pPr>
        <w:pStyle w:val="ListParagraph"/>
        <w:numPr>
          <w:ilvl w:val="1"/>
          <w:numId w:val="28"/>
        </w:numPr>
        <w:jc w:val="both"/>
        <w:rPr>
          <w:rFonts w:ascii="Garamond" w:hAnsi="Garamond"/>
        </w:rPr>
      </w:pPr>
      <w:r w:rsidRPr="00381F61">
        <w:rPr>
          <w:rFonts w:ascii="Garamond" w:hAnsi="Garamond"/>
        </w:rPr>
        <w:t>The Australian financial services industry?</w:t>
      </w:r>
      <w:r w:rsidR="006631B7" w:rsidRPr="00381F61">
        <w:rPr>
          <w:rFonts w:ascii="Garamond" w:hAnsi="Garamond"/>
        </w:rPr>
        <w:t xml:space="preserve"> </w:t>
      </w:r>
    </w:p>
    <w:p w14:paraId="44A745BC" w14:textId="01E6B655" w:rsidR="006631B7" w:rsidRPr="00381F61" w:rsidRDefault="006631B7" w:rsidP="00E71CEB">
      <w:pPr>
        <w:pStyle w:val="ListParagraph"/>
        <w:numPr>
          <w:ilvl w:val="1"/>
          <w:numId w:val="28"/>
        </w:numPr>
        <w:jc w:val="both"/>
        <w:rPr>
          <w:rFonts w:ascii="Garamond" w:hAnsi="Garamond"/>
        </w:rPr>
      </w:pPr>
      <w:r w:rsidRPr="00381F61">
        <w:rPr>
          <w:rFonts w:ascii="Garamond" w:hAnsi="Garamond"/>
        </w:rPr>
        <w:t>Households’ business investments?</w:t>
      </w:r>
    </w:p>
    <w:p w14:paraId="249A8867" w14:textId="665C9973" w:rsidR="00C23E36" w:rsidRPr="00381F61" w:rsidRDefault="00C23E36" w:rsidP="00E71CEB">
      <w:pPr>
        <w:pStyle w:val="ListParagraph"/>
        <w:numPr>
          <w:ilvl w:val="1"/>
          <w:numId w:val="28"/>
        </w:numPr>
        <w:jc w:val="both"/>
        <w:rPr>
          <w:rFonts w:ascii="Garamond" w:hAnsi="Garamond"/>
        </w:rPr>
      </w:pPr>
      <w:r w:rsidRPr="00381F61">
        <w:rPr>
          <w:rFonts w:ascii="Garamond" w:hAnsi="Garamond"/>
        </w:rPr>
        <w:t>Labour force participation patterns</w:t>
      </w:r>
      <w:r w:rsidR="0034740A" w:rsidRPr="00381F61">
        <w:rPr>
          <w:rFonts w:ascii="Garamond" w:hAnsi="Garamond"/>
        </w:rPr>
        <w:t xml:space="preserve"> (before and after the state pension age)</w:t>
      </w:r>
      <w:r w:rsidRPr="00381F61">
        <w:rPr>
          <w:rFonts w:ascii="Garamond" w:hAnsi="Garamond"/>
        </w:rPr>
        <w:t>?</w:t>
      </w:r>
    </w:p>
    <w:p w14:paraId="119A49D2" w14:textId="77777777" w:rsidR="00104F08" w:rsidRPr="00381F61" w:rsidRDefault="00104F08" w:rsidP="00E71CEB">
      <w:pPr>
        <w:pStyle w:val="ListParagraph"/>
        <w:ind w:left="1440"/>
        <w:jc w:val="both"/>
        <w:rPr>
          <w:rFonts w:ascii="Garamond" w:hAnsi="Garamond"/>
        </w:rPr>
      </w:pPr>
    </w:p>
    <w:p w14:paraId="30DE0401" w14:textId="1417486E" w:rsidR="006B4DC4" w:rsidRPr="00381F61" w:rsidRDefault="006631B7" w:rsidP="00E71CEB">
      <w:pPr>
        <w:pStyle w:val="ListParagraph"/>
        <w:numPr>
          <w:ilvl w:val="0"/>
          <w:numId w:val="28"/>
        </w:numPr>
        <w:jc w:val="both"/>
        <w:rPr>
          <w:rFonts w:ascii="Garamond" w:hAnsi="Garamond"/>
        </w:rPr>
      </w:pPr>
      <w:r w:rsidRPr="00381F61">
        <w:rPr>
          <w:rFonts w:ascii="Garamond" w:hAnsi="Garamond"/>
        </w:rPr>
        <w:t>How do the income and asset tests work in Australia (and elsewhere, like Mexico, Chile etc</w:t>
      </w:r>
      <w:r w:rsidR="00EB1B04" w:rsidRPr="00381F61">
        <w:rPr>
          <w:rFonts w:ascii="Garamond" w:hAnsi="Garamond"/>
        </w:rPr>
        <w:t>.</w:t>
      </w:r>
      <w:r w:rsidRPr="00381F61">
        <w:rPr>
          <w:rFonts w:ascii="Garamond" w:hAnsi="Garamond"/>
        </w:rPr>
        <w:t>) and what have been the effects of those tests on Australians’ financial behaviour?</w:t>
      </w:r>
    </w:p>
    <w:p w14:paraId="55FFAED8" w14:textId="79340F5C" w:rsidR="001A5D5E" w:rsidRPr="00381F61" w:rsidRDefault="001A5D5E" w:rsidP="00CD6F06">
      <w:pPr>
        <w:ind w:left="709"/>
        <w:jc w:val="both"/>
        <w:rPr>
          <w:rFonts w:ascii="Garamond" w:hAnsi="Garamond"/>
        </w:rPr>
      </w:pPr>
    </w:p>
    <w:p w14:paraId="5D3E40E5" w14:textId="376C2087" w:rsidR="001A5D5E" w:rsidRPr="00381F61" w:rsidRDefault="001A5D5E" w:rsidP="001A5D5E">
      <w:pPr>
        <w:pStyle w:val="ListParagraph"/>
        <w:numPr>
          <w:ilvl w:val="0"/>
          <w:numId w:val="28"/>
        </w:numPr>
        <w:jc w:val="both"/>
        <w:rPr>
          <w:rFonts w:ascii="Garamond" w:hAnsi="Garamond"/>
        </w:rPr>
      </w:pPr>
      <w:r w:rsidRPr="00381F61">
        <w:rPr>
          <w:rFonts w:ascii="Garamond" w:hAnsi="Garamond"/>
        </w:rPr>
        <w:t>What lessons might New Zealand draw from the Australian experience?</w:t>
      </w:r>
    </w:p>
    <w:p w14:paraId="4A28A79F" w14:textId="77777777" w:rsidR="001A5D5E" w:rsidRPr="00381F61" w:rsidRDefault="001A5D5E" w:rsidP="00CD6F06">
      <w:pPr>
        <w:ind w:left="709"/>
        <w:jc w:val="both"/>
        <w:rPr>
          <w:rFonts w:ascii="Garamond" w:hAnsi="Garamond"/>
        </w:rPr>
      </w:pPr>
    </w:p>
    <w:p w14:paraId="670EC585" w14:textId="1AAEB17F" w:rsidR="00104F08" w:rsidRPr="00381F61" w:rsidRDefault="00DF7884" w:rsidP="00E71CEB">
      <w:pPr>
        <w:pStyle w:val="ListParagraph"/>
        <w:numPr>
          <w:ilvl w:val="0"/>
          <w:numId w:val="28"/>
        </w:numPr>
        <w:jc w:val="both"/>
        <w:rPr>
          <w:rFonts w:ascii="Garamond" w:hAnsi="Garamond"/>
        </w:rPr>
      </w:pPr>
      <w:r w:rsidRPr="00381F61">
        <w:rPr>
          <w:rFonts w:ascii="Garamond" w:hAnsi="Garamond"/>
        </w:rPr>
        <w:t>Is there any international evidence that compulsory Tier 2 savings schemes ‘work’</w:t>
      </w:r>
      <w:r w:rsidR="00015735" w:rsidRPr="00381F61">
        <w:rPr>
          <w:rFonts w:ascii="Garamond" w:hAnsi="Garamond"/>
        </w:rPr>
        <w:t xml:space="preserve"> by increasing </w:t>
      </w:r>
      <w:r w:rsidR="00C352FE" w:rsidRPr="00381F61">
        <w:rPr>
          <w:rFonts w:ascii="Garamond" w:hAnsi="Garamond"/>
        </w:rPr>
        <w:t xml:space="preserve">overall </w:t>
      </w:r>
      <w:r w:rsidR="00015735" w:rsidRPr="00381F61">
        <w:rPr>
          <w:rFonts w:ascii="Garamond" w:hAnsi="Garamond"/>
        </w:rPr>
        <w:t xml:space="preserve">household savings and </w:t>
      </w:r>
      <w:r w:rsidR="007117E7" w:rsidRPr="00381F61">
        <w:rPr>
          <w:rFonts w:ascii="Garamond" w:hAnsi="Garamond"/>
        </w:rPr>
        <w:t xml:space="preserve">by </w:t>
      </w:r>
      <w:r w:rsidR="00015735" w:rsidRPr="00381F61">
        <w:rPr>
          <w:rFonts w:ascii="Garamond" w:hAnsi="Garamond"/>
        </w:rPr>
        <w:t>improving the security of retirement income claims against the economy</w:t>
      </w:r>
      <w:r w:rsidRPr="00381F61">
        <w:rPr>
          <w:rFonts w:ascii="Garamond" w:hAnsi="Garamond"/>
        </w:rPr>
        <w:t>?</w:t>
      </w:r>
      <w:r w:rsidR="001A5D5E" w:rsidRPr="00381F61">
        <w:rPr>
          <w:rFonts w:ascii="Garamond" w:hAnsi="Garamond"/>
        </w:rPr>
        <w:t xml:space="preserve">  Why are countries that introduced compulsory Tier 2 schemes now unwinding them?</w:t>
      </w:r>
    </w:p>
    <w:p w14:paraId="45D82A31" w14:textId="77777777" w:rsidR="001A32DD" w:rsidRPr="00381F61" w:rsidRDefault="001A32DD" w:rsidP="001A32DD">
      <w:pPr>
        <w:pStyle w:val="ListParagraph"/>
        <w:rPr>
          <w:rFonts w:ascii="Garamond" w:hAnsi="Garamond"/>
        </w:rPr>
      </w:pPr>
    </w:p>
    <w:p w14:paraId="3DCBFF6C" w14:textId="72221305" w:rsidR="001A32DD" w:rsidRPr="00381F61" w:rsidRDefault="001A32DD" w:rsidP="00E71CEB">
      <w:pPr>
        <w:pStyle w:val="ListParagraph"/>
        <w:numPr>
          <w:ilvl w:val="0"/>
          <w:numId w:val="28"/>
        </w:numPr>
        <w:jc w:val="both"/>
        <w:rPr>
          <w:rFonts w:ascii="Garamond" w:hAnsi="Garamond"/>
        </w:rPr>
      </w:pPr>
      <w:r w:rsidRPr="00381F61">
        <w:rPr>
          <w:rFonts w:ascii="Garamond" w:hAnsi="Garamond"/>
        </w:rPr>
        <w:t xml:space="preserve">And what is the impact </w:t>
      </w:r>
      <w:r w:rsidR="001A5D5E" w:rsidRPr="00381F61">
        <w:rPr>
          <w:rFonts w:ascii="Garamond" w:hAnsi="Garamond"/>
        </w:rPr>
        <w:t xml:space="preserve">of compulsory Tier 2 schemes </w:t>
      </w:r>
      <w:r w:rsidRPr="00381F61">
        <w:rPr>
          <w:rFonts w:ascii="Garamond" w:hAnsi="Garamond"/>
        </w:rPr>
        <w:t xml:space="preserve">on </w:t>
      </w:r>
      <w:r w:rsidR="00CC3BB2" w:rsidRPr="00381F61">
        <w:rPr>
          <w:rFonts w:ascii="Garamond" w:hAnsi="Garamond"/>
        </w:rPr>
        <w:t xml:space="preserve">economic </w:t>
      </w:r>
      <w:r w:rsidRPr="00381F61">
        <w:rPr>
          <w:rFonts w:ascii="Garamond" w:hAnsi="Garamond"/>
        </w:rPr>
        <w:t>growth</w:t>
      </w:r>
      <w:r w:rsidR="009B6E4B" w:rsidRPr="00381F61">
        <w:rPr>
          <w:rFonts w:ascii="Garamond" w:hAnsi="Garamond"/>
        </w:rPr>
        <w:t xml:space="preserve"> and productivity</w:t>
      </w:r>
      <w:r w:rsidRPr="00381F61">
        <w:rPr>
          <w:rFonts w:ascii="Garamond" w:hAnsi="Garamond"/>
        </w:rPr>
        <w:t>?</w:t>
      </w:r>
    </w:p>
    <w:p w14:paraId="08A06FCE" w14:textId="11838951" w:rsidR="00F53413" w:rsidRPr="00381F61" w:rsidRDefault="00A97583" w:rsidP="00E71CEB">
      <w:pPr>
        <w:jc w:val="both"/>
        <w:rPr>
          <w:rFonts w:ascii="Garamond" w:hAnsi="Garamond"/>
          <w:b/>
        </w:rPr>
      </w:pPr>
      <w:r w:rsidRPr="00381F61">
        <w:rPr>
          <w:rFonts w:ascii="Garamond" w:hAnsi="Garamond"/>
        </w:rPr>
        <w:br w:type="page"/>
      </w:r>
      <w:r w:rsidR="00F53413" w:rsidRPr="00381F61">
        <w:rPr>
          <w:rFonts w:ascii="Garamond" w:hAnsi="Garamond"/>
          <w:b/>
        </w:rPr>
        <w:t>1</w:t>
      </w:r>
      <w:r w:rsidR="00F519BC" w:rsidRPr="00381F61">
        <w:rPr>
          <w:rFonts w:ascii="Garamond" w:hAnsi="Garamond"/>
          <w:b/>
        </w:rPr>
        <w:t>1</w:t>
      </w:r>
      <w:r w:rsidR="00F53413" w:rsidRPr="00381F61">
        <w:rPr>
          <w:rFonts w:ascii="Garamond" w:hAnsi="Garamond"/>
          <w:b/>
        </w:rPr>
        <w:t>.</w:t>
      </w:r>
      <w:r w:rsidR="00F53413" w:rsidRPr="00381F61">
        <w:rPr>
          <w:rFonts w:ascii="Garamond" w:hAnsi="Garamond"/>
          <w:b/>
        </w:rPr>
        <w:tab/>
        <w:t>The role of the government</w:t>
      </w:r>
      <w:r w:rsidR="0015492D" w:rsidRPr="00381F61">
        <w:rPr>
          <w:rStyle w:val="FootnoteReference"/>
          <w:rFonts w:ascii="Garamond" w:hAnsi="Garamond"/>
          <w:b/>
        </w:rPr>
        <w:footnoteReference w:id="144"/>
      </w:r>
    </w:p>
    <w:p w14:paraId="0DEDF1FA" w14:textId="77777777" w:rsidR="00F53413" w:rsidRPr="00381F61" w:rsidRDefault="00F53413" w:rsidP="00E71CEB">
      <w:pPr>
        <w:jc w:val="both"/>
        <w:rPr>
          <w:rFonts w:ascii="Garamond" w:hAnsi="Garamond"/>
          <w:b/>
        </w:rPr>
      </w:pPr>
    </w:p>
    <w:p w14:paraId="7C68C9E0" w14:textId="0110623B" w:rsidR="00F53413" w:rsidRPr="00381F61" w:rsidRDefault="004A3931" w:rsidP="00E71CEB">
      <w:pPr>
        <w:jc w:val="both"/>
        <w:rPr>
          <w:rFonts w:ascii="Garamond" w:hAnsi="Garamond"/>
        </w:rPr>
      </w:pPr>
      <w:r w:rsidRPr="00381F61">
        <w:rPr>
          <w:rFonts w:ascii="Garamond" w:hAnsi="Garamond"/>
        </w:rPr>
        <w:t xml:space="preserve">Sections </w:t>
      </w:r>
      <w:r w:rsidR="000856CF" w:rsidRPr="00381F61">
        <w:rPr>
          <w:rFonts w:ascii="Garamond" w:hAnsi="Garamond"/>
        </w:rPr>
        <w:t>9</w:t>
      </w:r>
      <w:r w:rsidRPr="00381F61">
        <w:rPr>
          <w:rFonts w:ascii="Garamond" w:hAnsi="Garamond"/>
        </w:rPr>
        <w:t xml:space="preserve"> (tax incentives) and </w:t>
      </w:r>
      <w:r w:rsidR="000856CF" w:rsidRPr="00381F61">
        <w:rPr>
          <w:rFonts w:ascii="Garamond" w:hAnsi="Garamond"/>
        </w:rPr>
        <w:t>10</w:t>
      </w:r>
      <w:r w:rsidRPr="00381F61">
        <w:rPr>
          <w:rFonts w:ascii="Garamond" w:hAnsi="Garamond"/>
        </w:rPr>
        <w:t xml:space="preserve"> (compulsory private savings)</w:t>
      </w:r>
      <w:r w:rsidR="00F53413" w:rsidRPr="00381F61">
        <w:rPr>
          <w:rFonts w:ascii="Garamond" w:hAnsi="Garamond"/>
        </w:rPr>
        <w:t xml:space="preserve"> might suggest that governments are relatively powerless when trying to </w:t>
      </w:r>
      <w:r w:rsidR="00104F08" w:rsidRPr="00381F61">
        <w:rPr>
          <w:rFonts w:ascii="Garamond" w:hAnsi="Garamond"/>
        </w:rPr>
        <w:t xml:space="preserve">directly </w:t>
      </w:r>
      <w:r w:rsidR="00F53413" w:rsidRPr="00381F61">
        <w:rPr>
          <w:rFonts w:ascii="Garamond" w:hAnsi="Garamond"/>
        </w:rPr>
        <w:t>affect individual behaviour with respect to retirement incomes.  That is far from the case.  W</w:t>
      </w:r>
      <w:r w:rsidR="00104F08" w:rsidRPr="00381F61">
        <w:rPr>
          <w:rFonts w:ascii="Garamond" w:hAnsi="Garamond"/>
        </w:rPr>
        <w:t>e suggest that</w:t>
      </w:r>
      <w:r w:rsidR="00DF7884" w:rsidRPr="00381F61">
        <w:rPr>
          <w:rFonts w:ascii="Garamond" w:hAnsi="Garamond"/>
        </w:rPr>
        <w:t>,</w:t>
      </w:r>
      <w:r w:rsidR="00104F08" w:rsidRPr="00381F61">
        <w:rPr>
          <w:rFonts w:ascii="Garamond" w:hAnsi="Garamond"/>
        </w:rPr>
        <w:t xml:space="preserve"> w</w:t>
      </w:r>
      <w:r w:rsidR="00F53413" w:rsidRPr="00381F61">
        <w:rPr>
          <w:rFonts w:ascii="Garamond" w:hAnsi="Garamond"/>
        </w:rPr>
        <w:t>hen governments think about public policy issues associated with retirement incomes, they should focus on things they have a unique capacity to influenc</w:t>
      </w:r>
      <w:r w:rsidR="00475EFC" w:rsidRPr="00381F61">
        <w:rPr>
          <w:rFonts w:ascii="Garamond" w:hAnsi="Garamond"/>
        </w:rPr>
        <w:t xml:space="preserve">e.  We </w:t>
      </w:r>
      <w:r w:rsidR="00C352FE" w:rsidRPr="00381F61">
        <w:rPr>
          <w:rFonts w:ascii="Garamond" w:hAnsi="Garamond"/>
        </w:rPr>
        <w:t>suggest</w:t>
      </w:r>
      <w:r w:rsidR="00475EFC" w:rsidRPr="00381F61">
        <w:rPr>
          <w:rFonts w:ascii="Garamond" w:hAnsi="Garamond"/>
        </w:rPr>
        <w:t xml:space="preserve"> t</w:t>
      </w:r>
      <w:r w:rsidR="00F53413" w:rsidRPr="00381F61">
        <w:rPr>
          <w:rFonts w:ascii="Garamond" w:hAnsi="Garamond"/>
        </w:rPr>
        <w:t xml:space="preserve">here are </w:t>
      </w:r>
      <w:r w:rsidR="00045F00" w:rsidRPr="00381F61">
        <w:rPr>
          <w:rFonts w:ascii="Garamond" w:hAnsi="Garamond"/>
        </w:rPr>
        <w:t xml:space="preserve">five </w:t>
      </w:r>
      <w:r w:rsidR="00F53413" w:rsidRPr="00381F61">
        <w:rPr>
          <w:rFonts w:ascii="Garamond" w:hAnsi="Garamond"/>
        </w:rPr>
        <w:t xml:space="preserve">main </w:t>
      </w:r>
      <w:r w:rsidR="00C352FE" w:rsidRPr="00381F61">
        <w:rPr>
          <w:rFonts w:ascii="Garamond" w:hAnsi="Garamond"/>
        </w:rPr>
        <w:t>‘capacities’</w:t>
      </w:r>
      <w:r w:rsidR="00F53413" w:rsidRPr="00381F61">
        <w:rPr>
          <w:rFonts w:ascii="Garamond" w:hAnsi="Garamond"/>
        </w:rPr>
        <w:t>:</w:t>
      </w:r>
    </w:p>
    <w:p w14:paraId="5B159035" w14:textId="77777777" w:rsidR="00F53413" w:rsidRPr="00381F61" w:rsidRDefault="00F53413" w:rsidP="00E71CEB">
      <w:pPr>
        <w:jc w:val="both"/>
        <w:rPr>
          <w:rFonts w:ascii="Garamond" w:hAnsi="Garamond"/>
        </w:rPr>
      </w:pPr>
    </w:p>
    <w:p w14:paraId="654A2894" w14:textId="65B404C0" w:rsidR="00F53413" w:rsidRPr="00381F61" w:rsidRDefault="00104F08" w:rsidP="00E71CEB">
      <w:pPr>
        <w:ind w:left="426"/>
        <w:jc w:val="both"/>
        <w:rPr>
          <w:rFonts w:ascii="Garamond" w:hAnsi="Garamond"/>
        </w:rPr>
      </w:pPr>
      <w:r w:rsidRPr="00381F61">
        <w:rPr>
          <w:rFonts w:ascii="Garamond" w:hAnsi="Garamond"/>
          <w:b/>
        </w:rPr>
        <w:t>1</w:t>
      </w:r>
      <w:r w:rsidR="00F519BC" w:rsidRPr="00381F61">
        <w:rPr>
          <w:rFonts w:ascii="Garamond" w:hAnsi="Garamond"/>
          <w:b/>
        </w:rPr>
        <w:t>1</w:t>
      </w:r>
      <w:r w:rsidRPr="00381F61">
        <w:rPr>
          <w:rFonts w:ascii="Garamond" w:hAnsi="Garamond"/>
          <w:b/>
        </w:rPr>
        <w:t>.1</w:t>
      </w:r>
      <w:r w:rsidR="00F53413" w:rsidRPr="00381F61">
        <w:rPr>
          <w:rFonts w:ascii="Garamond" w:hAnsi="Garamond"/>
          <w:b/>
        </w:rPr>
        <w:t xml:space="preserve"> Reducing poverty in old age:</w:t>
      </w:r>
      <w:r w:rsidR="00F53413" w:rsidRPr="00381F61">
        <w:rPr>
          <w:rFonts w:ascii="Garamond" w:hAnsi="Garamond"/>
        </w:rPr>
        <w:t xml:space="preserve">  Only governments can directly reduce or even eliminate poverty in old age through public policy interventions.  Only they have the power to tax and re-distribute.  Collecting tax from everyone today and spending that on pensions for the current old is an example.  A government cannot rely on private markets to satisfy this basic objective of public policy, or even ‘force’ private compliance with strategies that attempt to achieve that objective.</w:t>
      </w:r>
      <w:r w:rsidRPr="00381F61">
        <w:rPr>
          <w:rFonts w:ascii="Garamond" w:hAnsi="Garamond"/>
        </w:rPr>
        <w:t xml:space="preserve">  Section </w:t>
      </w:r>
      <w:r w:rsidR="000856CF" w:rsidRPr="00381F61">
        <w:rPr>
          <w:rFonts w:ascii="Garamond" w:hAnsi="Garamond"/>
        </w:rPr>
        <w:t>6</w:t>
      </w:r>
      <w:r w:rsidRPr="00381F61">
        <w:rPr>
          <w:rFonts w:ascii="Garamond" w:hAnsi="Garamond"/>
        </w:rPr>
        <w:t xml:space="preserve"> </w:t>
      </w:r>
      <w:r w:rsidR="00C352FE" w:rsidRPr="00381F61">
        <w:rPr>
          <w:rFonts w:ascii="Garamond" w:hAnsi="Garamond"/>
        </w:rPr>
        <w:t xml:space="preserve">above </w:t>
      </w:r>
      <w:r w:rsidRPr="00381F61">
        <w:rPr>
          <w:rFonts w:ascii="Garamond" w:hAnsi="Garamond"/>
        </w:rPr>
        <w:t xml:space="preserve">summarises the issues New Zealand needs to discuss with respect to </w:t>
      </w:r>
      <w:r w:rsidR="00475EFC" w:rsidRPr="00381F61">
        <w:rPr>
          <w:rFonts w:ascii="Garamond" w:hAnsi="Garamond"/>
        </w:rPr>
        <w:t xml:space="preserve">the design of </w:t>
      </w:r>
      <w:r w:rsidRPr="00381F61">
        <w:rPr>
          <w:rFonts w:ascii="Garamond" w:hAnsi="Garamond"/>
        </w:rPr>
        <w:t>NZS.</w:t>
      </w:r>
    </w:p>
    <w:p w14:paraId="6903A21C" w14:textId="77777777" w:rsidR="00F53413" w:rsidRPr="00381F61" w:rsidRDefault="00F53413" w:rsidP="00E71CEB">
      <w:pPr>
        <w:ind w:left="426"/>
        <w:jc w:val="both"/>
        <w:rPr>
          <w:rFonts w:ascii="Garamond" w:hAnsi="Garamond"/>
        </w:rPr>
      </w:pPr>
    </w:p>
    <w:p w14:paraId="3671F89A" w14:textId="6768F405" w:rsidR="00045F00" w:rsidRPr="00381F61" w:rsidRDefault="00045F00" w:rsidP="00045F00">
      <w:pPr>
        <w:ind w:left="426"/>
        <w:jc w:val="both"/>
        <w:rPr>
          <w:rFonts w:ascii="Garamond" w:hAnsi="Garamond"/>
        </w:rPr>
      </w:pPr>
      <w:r w:rsidRPr="00381F61">
        <w:rPr>
          <w:rFonts w:ascii="Garamond" w:hAnsi="Garamond"/>
          <w:b/>
        </w:rPr>
        <w:t>1</w:t>
      </w:r>
      <w:r w:rsidR="00F519BC" w:rsidRPr="00381F61">
        <w:rPr>
          <w:rFonts w:ascii="Garamond" w:hAnsi="Garamond"/>
          <w:b/>
        </w:rPr>
        <w:t>1</w:t>
      </w:r>
      <w:r w:rsidRPr="00381F61">
        <w:rPr>
          <w:rFonts w:ascii="Garamond" w:hAnsi="Garamond"/>
          <w:b/>
        </w:rPr>
        <w:t xml:space="preserve">.2 Taxation: </w:t>
      </w:r>
      <w:r w:rsidRPr="00381F61">
        <w:rPr>
          <w:rFonts w:ascii="Garamond" w:hAnsi="Garamond"/>
        </w:rPr>
        <w:t>Investment vehicles with similar characteristics should be taxed similarly.  What they are called or the legislation under which they operate should not be relevant to their tax liability, nor to the tax liability of those who use them. Section 1</w:t>
      </w:r>
      <w:r w:rsidR="000856CF" w:rsidRPr="00381F61">
        <w:rPr>
          <w:rFonts w:ascii="Garamond" w:hAnsi="Garamond"/>
        </w:rPr>
        <w:t>7</w:t>
      </w:r>
      <w:r w:rsidRPr="00381F61">
        <w:rPr>
          <w:rFonts w:ascii="Garamond" w:hAnsi="Garamond"/>
        </w:rPr>
        <w:t xml:space="preserve"> below (Income tax and saving vehicles) looks at this.</w:t>
      </w:r>
    </w:p>
    <w:p w14:paraId="4D5B0A5B" w14:textId="77777777" w:rsidR="00045F00" w:rsidRPr="00381F61" w:rsidRDefault="00045F00" w:rsidP="00045F00">
      <w:pPr>
        <w:ind w:left="426"/>
        <w:jc w:val="both"/>
        <w:rPr>
          <w:rFonts w:ascii="Garamond" w:hAnsi="Garamond"/>
        </w:rPr>
      </w:pPr>
    </w:p>
    <w:p w14:paraId="4B6EFF09" w14:textId="40665DBA" w:rsidR="00F53413" w:rsidRPr="00381F61" w:rsidRDefault="00104F08" w:rsidP="00E71CEB">
      <w:pPr>
        <w:ind w:left="426"/>
        <w:jc w:val="both"/>
        <w:rPr>
          <w:rFonts w:ascii="Garamond" w:hAnsi="Garamond"/>
        </w:rPr>
      </w:pPr>
      <w:r w:rsidRPr="00381F61">
        <w:rPr>
          <w:rFonts w:ascii="Garamond" w:hAnsi="Garamond"/>
          <w:b/>
        </w:rPr>
        <w:t>1</w:t>
      </w:r>
      <w:r w:rsidR="00F519BC" w:rsidRPr="00381F61">
        <w:rPr>
          <w:rFonts w:ascii="Garamond" w:hAnsi="Garamond"/>
          <w:b/>
        </w:rPr>
        <w:t>1</w:t>
      </w:r>
      <w:r w:rsidRPr="00381F61">
        <w:rPr>
          <w:rFonts w:ascii="Garamond" w:hAnsi="Garamond"/>
          <w:b/>
        </w:rPr>
        <w:t>.</w:t>
      </w:r>
      <w:r w:rsidR="00045F00" w:rsidRPr="00381F61">
        <w:rPr>
          <w:rFonts w:ascii="Garamond" w:hAnsi="Garamond"/>
          <w:b/>
        </w:rPr>
        <w:t>3</w:t>
      </w:r>
      <w:r w:rsidR="00F53413" w:rsidRPr="00381F61">
        <w:rPr>
          <w:rFonts w:ascii="Garamond" w:hAnsi="Garamond"/>
          <w:b/>
        </w:rPr>
        <w:t xml:space="preserve"> Codes of conduct: </w:t>
      </w:r>
      <w:r w:rsidR="00F53413" w:rsidRPr="00381F61">
        <w:rPr>
          <w:rFonts w:ascii="Garamond" w:hAnsi="Garamond"/>
        </w:rPr>
        <w:t>Next, only governments can regulate to enforce codes of private (and public) conduct.  For example, in a retirement saving context:</w:t>
      </w:r>
    </w:p>
    <w:p w14:paraId="7C3AE790" w14:textId="77777777" w:rsidR="00F53413" w:rsidRPr="00381F61" w:rsidRDefault="00F53413" w:rsidP="00E71CEB">
      <w:pPr>
        <w:pStyle w:val="ListParagraph"/>
        <w:ind w:left="426"/>
        <w:jc w:val="both"/>
        <w:rPr>
          <w:rFonts w:ascii="Garamond" w:hAnsi="Garamond"/>
          <w:sz w:val="8"/>
          <w:szCs w:val="8"/>
        </w:rPr>
      </w:pPr>
    </w:p>
    <w:p w14:paraId="46449645" w14:textId="3226705A" w:rsidR="00104F08" w:rsidRPr="00381F61" w:rsidRDefault="00104F08" w:rsidP="00E71CEB">
      <w:pPr>
        <w:pStyle w:val="ListParagraph"/>
        <w:numPr>
          <w:ilvl w:val="0"/>
          <w:numId w:val="15"/>
        </w:numPr>
        <w:ind w:left="993"/>
        <w:jc w:val="both"/>
        <w:rPr>
          <w:rFonts w:ascii="Garamond" w:hAnsi="Garamond"/>
        </w:rPr>
      </w:pPr>
      <w:r w:rsidRPr="00381F61">
        <w:rPr>
          <w:rFonts w:ascii="Garamond" w:hAnsi="Garamond"/>
        </w:rPr>
        <w:t>There should be minimum reporting standards so that investors are told about their investments in a complete, comparable, accessible and timely manner.  Again, there must be consistent treatment across different investment classes.  Section 1</w:t>
      </w:r>
      <w:r w:rsidR="000856CF" w:rsidRPr="00381F61">
        <w:rPr>
          <w:rFonts w:ascii="Garamond" w:hAnsi="Garamond"/>
        </w:rPr>
        <w:t>8</w:t>
      </w:r>
      <w:r w:rsidRPr="00381F61">
        <w:rPr>
          <w:rFonts w:ascii="Garamond" w:hAnsi="Garamond"/>
        </w:rPr>
        <w:t xml:space="preserve"> below (disclosure requirements) discusses this.</w:t>
      </w:r>
    </w:p>
    <w:p w14:paraId="5045C0F6" w14:textId="77777777" w:rsidR="00104F08" w:rsidRPr="00381F61" w:rsidRDefault="00104F08" w:rsidP="00E71CEB">
      <w:pPr>
        <w:pStyle w:val="ListParagraph"/>
        <w:ind w:left="993"/>
        <w:jc w:val="both"/>
        <w:rPr>
          <w:rFonts w:ascii="Garamond" w:hAnsi="Garamond"/>
          <w:sz w:val="8"/>
          <w:szCs w:val="8"/>
        </w:rPr>
      </w:pPr>
    </w:p>
    <w:p w14:paraId="20AFAE5F" w14:textId="2D65C6AB" w:rsidR="00F53413" w:rsidRPr="00381F61" w:rsidRDefault="00F53413" w:rsidP="00E71CEB">
      <w:pPr>
        <w:pStyle w:val="ListParagraph"/>
        <w:numPr>
          <w:ilvl w:val="0"/>
          <w:numId w:val="15"/>
        </w:numPr>
        <w:ind w:left="993"/>
        <w:jc w:val="both"/>
        <w:rPr>
          <w:rFonts w:ascii="Garamond" w:hAnsi="Garamond"/>
        </w:rPr>
      </w:pPr>
      <w:r w:rsidRPr="00381F61">
        <w:rPr>
          <w:rFonts w:ascii="Garamond" w:hAnsi="Garamond"/>
        </w:rPr>
        <w:t>Investment offerings to the public need regulating to ensure investors and experts know what they need to know.  Similar offerings should be regulated similarly.</w:t>
      </w:r>
      <w:r w:rsidR="00104F08" w:rsidRPr="00381F61">
        <w:rPr>
          <w:rFonts w:ascii="Garamond" w:hAnsi="Garamond"/>
        </w:rPr>
        <w:t xml:space="preserve">  There is more on the</w:t>
      </w:r>
      <w:r w:rsidR="00D41929" w:rsidRPr="00381F61">
        <w:rPr>
          <w:rFonts w:ascii="Garamond" w:hAnsi="Garamond"/>
        </w:rPr>
        <w:t>se issues below in section 1</w:t>
      </w:r>
      <w:r w:rsidR="000856CF" w:rsidRPr="00381F61">
        <w:rPr>
          <w:rFonts w:ascii="Garamond" w:hAnsi="Garamond"/>
        </w:rPr>
        <w:t>9</w:t>
      </w:r>
      <w:r w:rsidR="00D41929" w:rsidRPr="00381F61">
        <w:rPr>
          <w:rFonts w:ascii="Garamond" w:hAnsi="Garamond"/>
        </w:rPr>
        <w:t xml:space="preserve"> (R</w:t>
      </w:r>
      <w:r w:rsidR="00104F08" w:rsidRPr="00381F61">
        <w:rPr>
          <w:rFonts w:ascii="Garamond" w:hAnsi="Garamond"/>
        </w:rPr>
        <w:t>egulation).</w:t>
      </w:r>
    </w:p>
    <w:p w14:paraId="262B266F" w14:textId="77777777" w:rsidR="00F53413" w:rsidRPr="00381F61" w:rsidRDefault="00F53413" w:rsidP="00E71CEB">
      <w:pPr>
        <w:ind w:left="426"/>
        <w:jc w:val="both"/>
        <w:rPr>
          <w:rFonts w:ascii="Garamond" w:hAnsi="Garamond"/>
        </w:rPr>
      </w:pPr>
    </w:p>
    <w:p w14:paraId="2A5F85EB" w14:textId="34834EC9" w:rsidR="00A34C49" w:rsidRPr="00381F61" w:rsidRDefault="00A34C49" w:rsidP="00E71CEB">
      <w:pPr>
        <w:ind w:left="426"/>
        <w:jc w:val="both"/>
        <w:rPr>
          <w:rFonts w:ascii="Garamond" w:hAnsi="Garamond"/>
        </w:rPr>
      </w:pPr>
      <w:r w:rsidRPr="00381F61">
        <w:rPr>
          <w:rFonts w:ascii="Garamond" w:hAnsi="Garamond"/>
          <w:b/>
        </w:rPr>
        <w:t>1</w:t>
      </w:r>
      <w:r w:rsidR="00F519BC" w:rsidRPr="00381F61">
        <w:rPr>
          <w:rFonts w:ascii="Garamond" w:hAnsi="Garamond"/>
          <w:b/>
        </w:rPr>
        <w:t>1</w:t>
      </w:r>
      <w:r w:rsidRPr="00381F61">
        <w:rPr>
          <w:rFonts w:ascii="Garamond" w:hAnsi="Garamond"/>
          <w:b/>
        </w:rPr>
        <w:t>.</w:t>
      </w:r>
      <w:r w:rsidR="00045F00" w:rsidRPr="00381F61">
        <w:rPr>
          <w:rFonts w:ascii="Garamond" w:hAnsi="Garamond"/>
          <w:b/>
        </w:rPr>
        <w:t>4</w:t>
      </w:r>
      <w:r w:rsidR="00F53413" w:rsidRPr="00381F61">
        <w:rPr>
          <w:rFonts w:ascii="Garamond" w:hAnsi="Garamond"/>
          <w:b/>
        </w:rPr>
        <w:t xml:space="preserve"> Impeccable, accessible data: </w:t>
      </w:r>
      <w:r w:rsidR="00F53413" w:rsidRPr="00381F61">
        <w:rPr>
          <w:rFonts w:ascii="Garamond" w:hAnsi="Garamond"/>
        </w:rPr>
        <w:t>Next, only governments c</w:t>
      </w:r>
      <w:r w:rsidR="00DF7884" w:rsidRPr="00381F61">
        <w:rPr>
          <w:rFonts w:ascii="Garamond" w:hAnsi="Garamond"/>
        </w:rPr>
        <w:t>an demand access to data that are</w:t>
      </w:r>
      <w:r w:rsidR="00F53413" w:rsidRPr="00381F61">
        <w:rPr>
          <w:rFonts w:ascii="Garamond" w:hAnsi="Garamond"/>
        </w:rPr>
        <w:t xml:space="preserve"> relevant to behaviour and issues connected with financial preparation for retirement and with the living standards of the old.  The government must collect, produce and disseminate impeccable, deep, accessible information on population trends, saving and investment behaviour</w:t>
      </w:r>
      <w:r w:rsidR="00836D3B" w:rsidRPr="00381F61">
        <w:rPr>
          <w:rFonts w:ascii="Garamond" w:hAnsi="Garamond"/>
        </w:rPr>
        <w:t>, labour force participation rates</w:t>
      </w:r>
      <w:r w:rsidR="00F53413" w:rsidRPr="00381F61">
        <w:rPr>
          <w:rFonts w:ascii="Garamond" w:hAnsi="Garamond"/>
        </w:rPr>
        <w:t xml:space="preserve"> and poverty issues associated with ageing.</w:t>
      </w:r>
    </w:p>
    <w:p w14:paraId="21365AD4" w14:textId="77777777" w:rsidR="00A34C49" w:rsidRPr="00381F61" w:rsidRDefault="00A34C49" w:rsidP="00E71CEB">
      <w:pPr>
        <w:ind w:left="426"/>
        <w:jc w:val="both"/>
        <w:rPr>
          <w:rFonts w:ascii="Garamond" w:hAnsi="Garamond"/>
        </w:rPr>
      </w:pPr>
    </w:p>
    <w:p w14:paraId="3D473F2C" w14:textId="2C72457E" w:rsidR="00A34C49" w:rsidRPr="00381F61" w:rsidRDefault="00A34C49" w:rsidP="00E71CEB">
      <w:pPr>
        <w:ind w:left="426"/>
        <w:jc w:val="both"/>
        <w:rPr>
          <w:rFonts w:ascii="Garamond" w:hAnsi="Garamond"/>
        </w:rPr>
      </w:pPr>
      <w:r w:rsidRPr="00381F61">
        <w:rPr>
          <w:rFonts w:ascii="Garamond" w:hAnsi="Garamond"/>
        </w:rPr>
        <w:t>Section 1</w:t>
      </w:r>
      <w:r w:rsidR="000856CF" w:rsidRPr="00381F61">
        <w:rPr>
          <w:rFonts w:ascii="Garamond" w:hAnsi="Garamond"/>
        </w:rPr>
        <w:t>2</w:t>
      </w:r>
      <w:r w:rsidRPr="00381F61">
        <w:rPr>
          <w:rFonts w:ascii="Garamond" w:hAnsi="Garamond"/>
        </w:rPr>
        <w:t xml:space="preserve"> </w:t>
      </w:r>
      <w:r w:rsidR="00DF7884" w:rsidRPr="00381F61">
        <w:rPr>
          <w:rFonts w:ascii="Garamond" w:hAnsi="Garamond"/>
        </w:rPr>
        <w:t xml:space="preserve">(Housing and home-ownership) </w:t>
      </w:r>
      <w:r w:rsidRPr="00381F61">
        <w:rPr>
          <w:rFonts w:ascii="Garamond" w:hAnsi="Garamond"/>
        </w:rPr>
        <w:t>below discusses the problems with Census data on home-ownership.</w:t>
      </w:r>
    </w:p>
    <w:p w14:paraId="1DE3F81A" w14:textId="77777777" w:rsidR="00A34C49" w:rsidRPr="00381F61" w:rsidRDefault="00A34C49" w:rsidP="00E71CEB">
      <w:pPr>
        <w:ind w:left="426"/>
        <w:jc w:val="both"/>
        <w:rPr>
          <w:rFonts w:ascii="Garamond" w:hAnsi="Garamond"/>
        </w:rPr>
      </w:pPr>
    </w:p>
    <w:p w14:paraId="606E2F43" w14:textId="36E0CFC3" w:rsidR="00F53413" w:rsidRPr="00381F61" w:rsidRDefault="00A34C49" w:rsidP="00E71CEB">
      <w:pPr>
        <w:ind w:left="426"/>
        <w:jc w:val="both"/>
        <w:rPr>
          <w:rFonts w:ascii="Garamond" w:hAnsi="Garamond"/>
        </w:rPr>
      </w:pPr>
      <w:r w:rsidRPr="00381F61">
        <w:rPr>
          <w:rFonts w:ascii="Garamond" w:hAnsi="Garamond"/>
        </w:rPr>
        <w:t>Section 1</w:t>
      </w:r>
      <w:r w:rsidR="000856CF" w:rsidRPr="00381F61">
        <w:rPr>
          <w:rFonts w:ascii="Garamond" w:hAnsi="Garamond"/>
        </w:rPr>
        <w:t>5</w:t>
      </w:r>
      <w:r w:rsidR="00DF7884" w:rsidRPr="00381F61">
        <w:rPr>
          <w:rFonts w:ascii="Garamond" w:hAnsi="Garamond"/>
        </w:rPr>
        <w:t xml:space="preserve"> (Household</w:t>
      </w:r>
      <w:r w:rsidR="00CC634A" w:rsidRPr="00381F61">
        <w:rPr>
          <w:rFonts w:ascii="Garamond" w:hAnsi="Garamond"/>
        </w:rPr>
        <w:t>s’</w:t>
      </w:r>
      <w:r w:rsidR="00DF7884" w:rsidRPr="00381F61">
        <w:rPr>
          <w:rFonts w:ascii="Garamond" w:hAnsi="Garamond"/>
        </w:rPr>
        <w:t xml:space="preserve"> financial </w:t>
      </w:r>
      <w:r w:rsidR="00CC634A" w:rsidRPr="00381F61">
        <w:rPr>
          <w:rFonts w:ascii="Garamond" w:hAnsi="Garamond"/>
        </w:rPr>
        <w:t>position</w:t>
      </w:r>
      <w:r w:rsidR="00DF7884" w:rsidRPr="00381F61">
        <w:rPr>
          <w:rFonts w:ascii="Garamond" w:hAnsi="Garamond"/>
        </w:rPr>
        <w:t>)</w:t>
      </w:r>
      <w:r w:rsidRPr="00381F61">
        <w:rPr>
          <w:rFonts w:ascii="Garamond" w:hAnsi="Garamond"/>
        </w:rPr>
        <w:t xml:space="preserve"> discusses a crucial information gap – the absence of a proper longitudinal study of households’ financial behaviour. </w:t>
      </w:r>
    </w:p>
    <w:p w14:paraId="7E180D5B" w14:textId="77777777" w:rsidR="00F53413" w:rsidRPr="00381F61" w:rsidRDefault="00F53413" w:rsidP="00E71CEB">
      <w:pPr>
        <w:ind w:left="426"/>
        <w:jc w:val="both"/>
        <w:rPr>
          <w:rFonts w:ascii="Garamond" w:hAnsi="Garamond"/>
        </w:rPr>
      </w:pPr>
    </w:p>
    <w:p w14:paraId="7BC54B19" w14:textId="29175A8A" w:rsidR="00F53413" w:rsidRPr="00381F61" w:rsidRDefault="00A34C49" w:rsidP="00E71CEB">
      <w:pPr>
        <w:ind w:left="426"/>
        <w:jc w:val="both"/>
        <w:rPr>
          <w:rFonts w:ascii="Garamond" w:hAnsi="Garamond"/>
        </w:rPr>
      </w:pPr>
      <w:r w:rsidRPr="00381F61">
        <w:rPr>
          <w:rFonts w:ascii="Garamond" w:hAnsi="Garamond"/>
          <w:b/>
        </w:rPr>
        <w:t>1</w:t>
      </w:r>
      <w:r w:rsidR="00F519BC" w:rsidRPr="00381F61">
        <w:rPr>
          <w:rFonts w:ascii="Garamond" w:hAnsi="Garamond"/>
          <w:b/>
        </w:rPr>
        <w:t>1</w:t>
      </w:r>
      <w:r w:rsidRPr="00381F61">
        <w:rPr>
          <w:rFonts w:ascii="Garamond" w:hAnsi="Garamond"/>
          <w:b/>
        </w:rPr>
        <w:t>.</w:t>
      </w:r>
      <w:r w:rsidR="00045F00" w:rsidRPr="00381F61">
        <w:rPr>
          <w:rFonts w:ascii="Garamond" w:hAnsi="Garamond"/>
          <w:b/>
        </w:rPr>
        <w:t>5</w:t>
      </w:r>
      <w:r w:rsidR="00F53413" w:rsidRPr="00381F61">
        <w:rPr>
          <w:rFonts w:ascii="Garamond" w:hAnsi="Garamond"/>
          <w:b/>
        </w:rPr>
        <w:t xml:space="preserve"> Information and education: </w:t>
      </w:r>
      <w:r w:rsidR="00F53413" w:rsidRPr="00381F61">
        <w:rPr>
          <w:rFonts w:ascii="Garamond" w:hAnsi="Garamond"/>
        </w:rPr>
        <w:t>Lastly, a government can help citizens understand the issues through information and education programmes.  For private provision, these should cover both the saving (‘accumulation’) and spending (‘decumulation’) periods of individuals’ financial lives.  The programmes can be part of a school-based curriculum, work-based initiatives and public campaigns</w:t>
      </w:r>
      <w:r w:rsidR="00F53413" w:rsidRPr="00381F61">
        <w:rPr>
          <w:rStyle w:val="FootnoteReference"/>
          <w:rFonts w:ascii="Garamond" w:hAnsi="Garamond"/>
        </w:rPr>
        <w:footnoteReference w:id="145"/>
      </w:r>
      <w:r w:rsidR="00F53413" w:rsidRPr="00381F61">
        <w:rPr>
          <w:rFonts w:ascii="Garamond" w:hAnsi="Garamond"/>
        </w:rPr>
        <w:t>.  League tables of comparable investment performance data</w:t>
      </w:r>
      <w:r w:rsidR="00F53413" w:rsidRPr="00381F61">
        <w:rPr>
          <w:rStyle w:val="FootnoteReference"/>
          <w:rFonts w:ascii="Garamond" w:hAnsi="Garamond"/>
        </w:rPr>
        <w:footnoteReference w:id="146"/>
      </w:r>
      <w:r w:rsidR="00F53413" w:rsidRPr="00381F61">
        <w:rPr>
          <w:rFonts w:ascii="Garamond" w:hAnsi="Garamond"/>
        </w:rPr>
        <w:t xml:space="preserve"> and </w:t>
      </w:r>
      <w:r w:rsidR="009B6E4B" w:rsidRPr="00381F61">
        <w:rPr>
          <w:rFonts w:ascii="Garamond" w:hAnsi="Garamond"/>
        </w:rPr>
        <w:t xml:space="preserve">analysis of why the results were what they were </w:t>
      </w:r>
      <w:r w:rsidR="009F248F" w:rsidRPr="00381F61">
        <w:rPr>
          <w:rFonts w:ascii="Garamond" w:hAnsi="Garamond"/>
        </w:rPr>
        <w:t>also</w:t>
      </w:r>
      <w:r w:rsidR="009B6E4B" w:rsidRPr="00381F61">
        <w:rPr>
          <w:rFonts w:ascii="Garamond" w:hAnsi="Garamond"/>
        </w:rPr>
        <w:t xml:space="preserve"> </w:t>
      </w:r>
      <w:r w:rsidR="00F53413" w:rsidRPr="00381F61">
        <w:rPr>
          <w:rFonts w:ascii="Garamond" w:hAnsi="Garamond"/>
        </w:rPr>
        <w:t xml:space="preserve">‘best buy’ consumer comparisons should </w:t>
      </w:r>
      <w:r w:rsidR="00770FD2" w:rsidRPr="00381F61">
        <w:rPr>
          <w:rFonts w:ascii="Garamond" w:hAnsi="Garamond"/>
        </w:rPr>
        <w:t xml:space="preserve">all </w:t>
      </w:r>
      <w:r w:rsidR="00F53413" w:rsidRPr="00381F61">
        <w:rPr>
          <w:rFonts w:ascii="Garamond" w:hAnsi="Garamond"/>
        </w:rPr>
        <w:t>be part of those.  Citizens are more likely to believe information from a disinterested party, like the government, than from financial service providers.  To build confidence, the government should openly review the retirement income framework</w:t>
      </w:r>
      <w:r w:rsidR="00CC634A" w:rsidRPr="00381F61">
        <w:rPr>
          <w:rFonts w:ascii="Garamond" w:hAnsi="Garamond"/>
        </w:rPr>
        <w:t xml:space="preserve"> on a regular basis</w:t>
      </w:r>
      <w:r w:rsidR="00F53413" w:rsidRPr="00381F61">
        <w:rPr>
          <w:rFonts w:ascii="Garamond" w:hAnsi="Garamond"/>
        </w:rPr>
        <w:t>, covering both public and private provision.  Such reviews will depend on t</w:t>
      </w:r>
      <w:r w:rsidRPr="00381F61">
        <w:rPr>
          <w:rFonts w:ascii="Garamond" w:hAnsi="Garamond"/>
        </w:rPr>
        <w:t>he data described in paragraph 1</w:t>
      </w:r>
      <w:r w:rsidR="008B39A7" w:rsidRPr="00381F61">
        <w:rPr>
          <w:rFonts w:ascii="Garamond" w:hAnsi="Garamond"/>
        </w:rPr>
        <w:t>1</w:t>
      </w:r>
      <w:r w:rsidR="00F53413" w:rsidRPr="00381F61">
        <w:rPr>
          <w:rFonts w:ascii="Garamond" w:hAnsi="Garamond"/>
        </w:rPr>
        <w:t>.3.</w:t>
      </w:r>
      <w:r w:rsidR="00DF7884" w:rsidRPr="00381F61">
        <w:rPr>
          <w:rFonts w:ascii="Garamond" w:hAnsi="Garamond"/>
        </w:rPr>
        <w:t xml:space="preserve">  We have more to say on the current review process in section 2</w:t>
      </w:r>
      <w:r w:rsidR="000856CF" w:rsidRPr="00381F61">
        <w:rPr>
          <w:rFonts w:ascii="Garamond" w:hAnsi="Garamond"/>
        </w:rPr>
        <w:t>1</w:t>
      </w:r>
      <w:r w:rsidR="00DF7884" w:rsidRPr="00381F61">
        <w:rPr>
          <w:rFonts w:ascii="Garamond" w:hAnsi="Garamond"/>
        </w:rPr>
        <w:t xml:space="preserve"> below.</w:t>
      </w:r>
    </w:p>
    <w:p w14:paraId="6764F522" w14:textId="77777777" w:rsidR="00A34C49" w:rsidRPr="00381F61" w:rsidRDefault="00A34C49" w:rsidP="00E71CEB">
      <w:pPr>
        <w:ind w:left="426"/>
        <w:jc w:val="both"/>
        <w:rPr>
          <w:rFonts w:ascii="Garamond" w:hAnsi="Garamond"/>
        </w:rPr>
      </w:pPr>
    </w:p>
    <w:p w14:paraId="271D02ED" w14:textId="10B1DB60" w:rsidR="00A34C49" w:rsidRPr="00381F61" w:rsidRDefault="00A34C49" w:rsidP="00E71CEB">
      <w:pPr>
        <w:ind w:left="426"/>
        <w:jc w:val="both"/>
        <w:rPr>
          <w:rFonts w:ascii="Garamond" w:hAnsi="Garamond"/>
        </w:rPr>
      </w:pPr>
      <w:r w:rsidRPr="00381F61">
        <w:rPr>
          <w:rFonts w:ascii="Garamond" w:hAnsi="Garamond"/>
        </w:rPr>
        <w:t xml:space="preserve">Section </w:t>
      </w:r>
      <w:r w:rsidR="000856CF" w:rsidRPr="00381F61">
        <w:rPr>
          <w:rFonts w:ascii="Garamond" w:hAnsi="Garamond"/>
        </w:rPr>
        <w:t>20</w:t>
      </w:r>
      <w:r w:rsidR="00DF7884" w:rsidRPr="00381F61">
        <w:rPr>
          <w:rFonts w:ascii="Garamond" w:hAnsi="Garamond"/>
        </w:rPr>
        <w:t xml:space="preserve"> (Information and education)</w:t>
      </w:r>
      <w:r w:rsidRPr="00381F61">
        <w:rPr>
          <w:rFonts w:ascii="Garamond" w:hAnsi="Garamond"/>
        </w:rPr>
        <w:t xml:space="preserve"> below looks at aspects of this central-government role.</w:t>
      </w:r>
    </w:p>
    <w:p w14:paraId="5ADF05C7" w14:textId="77777777" w:rsidR="00F53413" w:rsidRPr="00381F61" w:rsidRDefault="00F53413" w:rsidP="00E71CEB">
      <w:pPr>
        <w:jc w:val="both"/>
        <w:rPr>
          <w:rFonts w:ascii="Garamond" w:hAnsi="Garamond"/>
        </w:rPr>
      </w:pPr>
    </w:p>
    <w:p w14:paraId="38ED7B56" w14:textId="1E43EDC9" w:rsidR="00F53413" w:rsidRPr="00381F61" w:rsidRDefault="00F53413" w:rsidP="00E71CEB">
      <w:pPr>
        <w:jc w:val="both"/>
        <w:rPr>
          <w:rFonts w:ascii="Garamond" w:hAnsi="Garamond"/>
        </w:rPr>
      </w:pPr>
      <w:r w:rsidRPr="00381F61">
        <w:rPr>
          <w:rFonts w:ascii="Garamond" w:hAnsi="Garamond"/>
        </w:rPr>
        <w:t xml:space="preserve">Governments have other, more general responsibilities that affect retirement incomes: for example, selling price-indexed bonds or following policies that keep inflation low so that savers can be more confident of earning </w:t>
      </w:r>
      <w:r w:rsidR="002662DE" w:rsidRPr="00381F61">
        <w:rPr>
          <w:rFonts w:ascii="Garamond" w:hAnsi="Garamond"/>
        </w:rPr>
        <w:t xml:space="preserve">after-tax, </w:t>
      </w:r>
      <w:r w:rsidRPr="00381F61">
        <w:rPr>
          <w:rFonts w:ascii="Garamond" w:hAnsi="Garamond"/>
        </w:rPr>
        <w:t>real returns during the long deferral periods involved with private provision for retirement.</w:t>
      </w:r>
    </w:p>
    <w:p w14:paraId="09A15622" w14:textId="77777777" w:rsidR="00F53413" w:rsidRPr="00381F61" w:rsidRDefault="00F53413" w:rsidP="00E71CEB">
      <w:pPr>
        <w:jc w:val="both"/>
        <w:rPr>
          <w:rFonts w:ascii="Garamond" w:hAnsi="Garamond"/>
        </w:rPr>
      </w:pPr>
    </w:p>
    <w:p w14:paraId="0D71F932" w14:textId="48FF1A11" w:rsidR="00F53413" w:rsidRPr="00381F61" w:rsidRDefault="00F53413" w:rsidP="00E71CEB">
      <w:pPr>
        <w:jc w:val="both"/>
        <w:rPr>
          <w:rFonts w:ascii="Garamond" w:hAnsi="Garamond"/>
        </w:rPr>
      </w:pPr>
      <w:r w:rsidRPr="00381F61">
        <w:rPr>
          <w:rFonts w:ascii="Garamond" w:hAnsi="Garamond"/>
        </w:rPr>
        <w:t xml:space="preserve">With specific regard to retirement income policies, governments that use the </w:t>
      </w:r>
      <w:r w:rsidR="0056562B" w:rsidRPr="00381F61">
        <w:rPr>
          <w:rFonts w:ascii="Garamond" w:hAnsi="Garamond"/>
        </w:rPr>
        <w:t xml:space="preserve">five </w:t>
      </w:r>
      <w:r w:rsidRPr="00381F61">
        <w:rPr>
          <w:rFonts w:ascii="Garamond" w:hAnsi="Garamond"/>
        </w:rPr>
        <w:t xml:space="preserve">tools outlined above will build a policy framework to support citizens’ decisions about whether they need to save more for retirement, when they should do that and finally, help them answer the </w:t>
      </w:r>
      <w:r w:rsidR="00110CC7" w:rsidRPr="00381F61">
        <w:rPr>
          <w:rFonts w:ascii="Garamond" w:hAnsi="Garamond"/>
        </w:rPr>
        <w:t xml:space="preserve">‘when?’, </w:t>
      </w:r>
      <w:r w:rsidRPr="00381F61">
        <w:rPr>
          <w:rFonts w:ascii="Garamond" w:hAnsi="Garamond"/>
        </w:rPr>
        <w:t>‘how?’ and ‘how much?’ questions.  Those are not questions for governments to answer; only individuals, perhaps with their employer’s direct help, can do that.</w:t>
      </w:r>
      <w:r w:rsidR="004E6652" w:rsidRPr="00381F61">
        <w:rPr>
          <w:rFonts w:ascii="Garamond" w:hAnsi="Garamond"/>
        </w:rPr>
        <w:t xml:space="preserve">  Section 1</w:t>
      </w:r>
      <w:r w:rsidR="000856CF" w:rsidRPr="00381F61">
        <w:rPr>
          <w:rFonts w:ascii="Garamond" w:hAnsi="Garamond"/>
        </w:rPr>
        <w:t>3</w:t>
      </w:r>
      <w:r w:rsidR="004E6652" w:rsidRPr="00381F61">
        <w:rPr>
          <w:rFonts w:ascii="Garamond" w:hAnsi="Garamond"/>
        </w:rPr>
        <w:t xml:space="preserve"> below looks at the role of occupational saving schemes.</w:t>
      </w:r>
    </w:p>
    <w:p w14:paraId="6871B865" w14:textId="77777777" w:rsidR="00F53413" w:rsidRPr="00381F61" w:rsidRDefault="00F53413" w:rsidP="00E71CEB">
      <w:pPr>
        <w:jc w:val="both"/>
        <w:rPr>
          <w:rFonts w:ascii="Garamond" w:hAnsi="Garamond"/>
        </w:rPr>
      </w:pPr>
    </w:p>
    <w:p w14:paraId="6DBBF499" w14:textId="77777777" w:rsidR="00F53413" w:rsidRPr="00381F61" w:rsidRDefault="00F53413" w:rsidP="00E71CEB">
      <w:pPr>
        <w:jc w:val="both"/>
        <w:rPr>
          <w:rFonts w:ascii="Garamond" w:hAnsi="Garamond"/>
        </w:rPr>
      </w:pPr>
      <w:r w:rsidRPr="00381F61">
        <w:rPr>
          <w:rFonts w:ascii="Garamond" w:hAnsi="Garamond"/>
        </w:rPr>
        <w:t>The suggested framework will also help build and maintain public confidence in the government’s strategy.  That confidence must survive over decades as citizens make saving and investment decisions and eventually draw down their savings in retirement.</w:t>
      </w:r>
    </w:p>
    <w:p w14:paraId="5EA37FBA" w14:textId="77777777" w:rsidR="00F53413" w:rsidRPr="00381F61" w:rsidRDefault="00F53413" w:rsidP="00E71CEB">
      <w:pPr>
        <w:jc w:val="both"/>
        <w:rPr>
          <w:rFonts w:ascii="Garamond" w:hAnsi="Garamond"/>
        </w:rPr>
      </w:pPr>
    </w:p>
    <w:p w14:paraId="4167DD02" w14:textId="29DF12ED" w:rsidR="00F53413" w:rsidRPr="00381F61" w:rsidRDefault="00F53413" w:rsidP="00E71CEB">
      <w:pPr>
        <w:jc w:val="both"/>
        <w:rPr>
          <w:rFonts w:ascii="Garamond" w:hAnsi="Garamond"/>
        </w:rPr>
      </w:pPr>
      <w:r w:rsidRPr="00381F61">
        <w:rPr>
          <w:rFonts w:ascii="Garamond" w:hAnsi="Garamond"/>
        </w:rPr>
        <w:t>Any deeper government involvement must make assumptions about what individuals ‘need’.  It also makes a retirement income framework more complex and so builds barriers to understanding.  That increases the risks of policy failure.  For example, the line between saving and greater retirement income security should be clear and direct.  Savers need to be confident they will be better off if they decide to save</w:t>
      </w:r>
      <w:r w:rsidR="004E6652" w:rsidRPr="00381F61">
        <w:rPr>
          <w:rStyle w:val="FootnoteReference"/>
          <w:rFonts w:ascii="Garamond" w:hAnsi="Garamond"/>
        </w:rPr>
        <w:footnoteReference w:id="147"/>
      </w:r>
      <w:r w:rsidRPr="00381F61">
        <w:rPr>
          <w:rFonts w:ascii="Garamond" w:hAnsi="Garamond"/>
        </w:rPr>
        <w:t>.  They must trust the information they use in their decisions and be confident that the ways they choose to administer those savings are what they say they are and do what they say they do.</w:t>
      </w:r>
    </w:p>
    <w:p w14:paraId="4EDB1FE6" w14:textId="77777777" w:rsidR="00E93B3A" w:rsidRPr="00381F61" w:rsidRDefault="00E93B3A" w:rsidP="00E71CEB">
      <w:pPr>
        <w:jc w:val="both"/>
        <w:rPr>
          <w:rFonts w:ascii="Garamond" w:hAnsi="Garamond"/>
        </w:rPr>
      </w:pPr>
    </w:p>
    <w:p w14:paraId="58E0FE55" w14:textId="00A828B9" w:rsidR="005B70F5" w:rsidRPr="00381F61" w:rsidRDefault="00D33EE0" w:rsidP="005B70F5">
      <w:pPr>
        <w:jc w:val="both"/>
        <w:rPr>
          <w:rFonts w:ascii="Garamond" w:hAnsi="Garamond"/>
        </w:rPr>
      </w:pPr>
      <w:r w:rsidRPr="00381F61">
        <w:rPr>
          <w:rFonts w:ascii="Garamond" w:hAnsi="Garamond"/>
          <w:b/>
        </w:rPr>
        <w:t xml:space="preserve">A word about ‘behavioural economics’: </w:t>
      </w:r>
      <w:r w:rsidR="00E93B3A" w:rsidRPr="00381F61">
        <w:rPr>
          <w:rFonts w:ascii="Garamond" w:hAnsi="Garamond"/>
        </w:rPr>
        <w:t xml:space="preserve">Governments should stay away from policies </w:t>
      </w:r>
      <w:r w:rsidR="005B70F5" w:rsidRPr="00381F61">
        <w:rPr>
          <w:rFonts w:ascii="Garamond" w:hAnsi="Garamond"/>
        </w:rPr>
        <w:t>that derive from so-called ‘behavioural economics’</w:t>
      </w:r>
      <w:r w:rsidR="0089559E" w:rsidRPr="00381F61">
        <w:rPr>
          <w:rStyle w:val="FootnoteReference"/>
          <w:rFonts w:ascii="Garamond" w:hAnsi="Garamond"/>
        </w:rPr>
        <w:footnoteReference w:id="148"/>
      </w:r>
      <w:r w:rsidR="005B70F5" w:rsidRPr="00381F61">
        <w:rPr>
          <w:rFonts w:ascii="Garamond" w:hAnsi="Garamond"/>
        </w:rPr>
        <w:t>.  The centr</w:t>
      </w:r>
      <w:r w:rsidR="000D7B61" w:rsidRPr="00381F61">
        <w:rPr>
          <w:rFonts w:ascii="Garamond" w:hAnsi="Garamond"/>
        </w:rPr>
        <w:t xml:space="preserve">al idea </w:t>
      </w:r>
      <w:r w:rsidR="005B70F5" w:rsidRPr="00381F61">
        <w:rPr>
          <w:rFonts w:ascii="Garamond" w:hAnsi="Garamond"/>
        </w:rPr>
        <w:t>is that someone else knows better than, for example, the saver what might be in the saver’s best interests</w:t>
      </w:r>
      <w:r w:rsidR="00270215" w:rsidRPr="00381F61">
        <w:rPr>
          <w:rFonts w:ascii="Garamond" w:hAnsi="Garamond"/>
        </w:rPr>
        <w:t xml:space="preserve">.  Savers need a ‘nudge’ in the direction of decisions that are </w:t>
      </w:r>
      <w:r w:rsidR="004045C5" w:rsidRPr="00381F61">
        <w:rPr>
          <w:rFonts w:ascii="Garamond" w:hAnsi="Garamond"/>
        </w:rPr>
        <w:t xml:space="preserve">‘clearly’ </w:t>
      </w:r>
      <w:r w:rsidR="00270215" w:rsidRPr="00381F61">
        <w:rPr>
          <w:rFonts w:ascii="Garamond" w:hAnsi="Garamond"/>
        </w:rPr>
        <w:t>in the saver’s best interests</w:t>
      </w:r>
      <w:r w:rsidR="005B70F5" w:rsidRPr="00381F61">
        <w:rPr>
          <w:rFonts w:ascii="Garamond" w:hAnsi="Garamond"/>
        </w:rPr>
        <w:t xml:space="preserve">.  In that particular case, </w:t>
      </w:r>
      <w:r w:rsidR="000D7B61" w:rsidRPr="00381F61">
        <w:rPr>
          <w:rFonts w:ascii="Garamond" w:hAnsi="Garamond"/>
        </w:rPr>
        <w:t xml:space="preserve">that ‘someone else’ thinks that </w:t>
      </w:r>
      <w:r w:rsidR="005B70F5" w:rsidRPr="00381F61">
        <w:rPr>
          <w:rFonts w:ascii="Garamond" w:hAnsi="Garamond"/>
        </w:rPr>
        <w:t>consumption should be deferred to a retirement age and the amount set aside should be invested this way rather than that</w:t>
      </w:r>
      <w:r w:rsidR="007329CB" w:rsidRPr="00381F61">
        <w:rPr>
          <w:rStyle w:val="FootnoteReference"/>
          <w:rFonts w:ascii="Garamond" w:hAnsi="Garamond"/>
        </w:rPr>
        <w:footnoteReference w:id="149"/>
      </w:r>
      <w:r w:rsidR="005B70F5" w:rsidRPr="00381F61">
        <w:rPr>
          <w:rFonts w:ascii="Garamond" w:hAnsi="Garamond"/>
        </w:rPr>
        <w:t xml:space="preserve">.  The evidence shows that people </w:t>
      </w:r>
      <w:r w:rsidR="000D7B61" w:rsidRPr="00381F61">
        <w:rPr>
          <w:rFonts w:ascii="Garamond" w:hAnsi="Garamond"/>
        </w:rPr>
        <w:t xml:space="preserve">undoubtedly </w:t>
      </w:r>
      <w:r w:rsidR="005B70F5" w:rsidRPr="00381F61">
        <w:rPr>
          <w:rFonts w:ascii="Garamond" w:hAnsi="Garamond"/>
        </w:rPr>
        <w:t xml:space="preserve">make mistakes about whether to save and how to save.  </w:t>
      </w:r>
      <w:r w:rsidR="000D7B61" w:rsidRPr="00381F61">
        <w:rPr>
          <w:rFonts w:ascii="Garamond" w:hAnsi="Garamond"/>
        </w:rPr>
        <w:t>So</w:t>
      </w:r>
      <w:r w:rsidR="0076481D" w:rsidRPr="00381F61">
        <w:rPr>
          <w:rFonts w:ascii="Garamond" w:hAnsi="Garamond"/>
        </w:rPr>
        <w:t>,</w:t>
      </w:r>
      <w:r w:rsidR="000D7B61" w:rsidRPr="00381F61">
        <w:rPr>
          <w:rFonts w:ascii="Garamond" w:hAnsi="Garamond"/>
        </w:rPr>
        <w:t xml:space="preserve"> t</w:t>
      </w:r>
      <w:r w:rsidR="005B70F5" w:rsidRPr="00381F61">
        <w:rPr>
          <w:rFonts w:ascii="Garamond" w:hAnsi="Garamond"/>
        </w:rPr>
        <w:t>he argument suggests that the environment should be structured to protect people from themselves.</w:t>
      </w:r>
      <w:r w:rsidR="00A1151A" w:rsidRPr="00381F61">
        <w:rPr>
          <w:rFonts w:ascii="Garamond" w:hAnsi="Garamond"/>
        </w:rPr>
        <w:t xml:space="preserve"> </w:t>
      </w:r>
      <w:r w:rsidR="005B70F5" w:rsidRPr="00381F61">
        <w:rPr>
          <w:rFonts w:ascii="Garamond" w:hAnsi="Garamond"/>
        </w:rPr>
        <w:t xml:space="preserve"> That doesn’t necessarily resolve things:</w:t>
      </w:r>
    </w:p>
    <w:p w14:paraId="2DB5BFBC" w14:textId="77777777" w:rsidR="005B70F5" w:rsidRPr="00381F61" w:rsidRDefault="005B70F5" w:rsidP="005B70F5">
      <w:pPr>
        <w:jc w:val="both"/>
        <w:rPr>
          <w:rFonts w:ascii="Garamond" w:hAnsi="Garamond"/>
          <w:sz w:val="8"/>
          <w:szCs w:val="8"/>
        </w:rPr>
      </w:pPr>
    </w:p>
    <w:p w14:paraId="4A89E69C" w14:textId="0133D406" w:rsidR="005B70F5" w:rsidRPr="00381F61" w:rsidRDefault="005B70F5" w:rsidP="005B70F5">
      <w:pPr>
        <w:ind w:left="709"/>
        <w:jc w:val="both"/>
        <w:rPr>
          <w:rFonts w:ascii="Garamond" w:hAnsi="Garamond"/>
        </w:rPr>
      </w:pPr>
      <w:r w:rsidRPr="00381F61">
        <w:rPr>
          <w:rFonts w:ascii="Garamond" w:hAnsi="Garamond"/>
          <w:sz w:val="22"/>
          <w:szCs w:val="22"/>
        </w:rPr>
        <w:t>“...while consumers suffer from information asymmetries, so of course do proxy decision makers – in fact, their information deficits are likely to be worse than that of consumers, leading to greater error in decision-making.”</w:t>
      </w:r>
      <w:r w:rsidRPr="00381F61">
        <w:rPr>
          <w:rStyle w:val="FootnoteReference"/>
          <w:rFonts w:ascii="Garamond" w:hAnsi="Garamond"/>
        </w:rPr>
        <w:footnoteReference w:id="150"/>
      </w:r>
    </w:p>
    <w:p w14:paraId="324CD3AD" w14:textId="77777777" w:rsidR="00646919" w:rsidRPr="00381F61" w:rsidRDefault="00646919" w:rsidP="00BC79D0">
      <w:pPr>
        <w:jc w:val="both"/>
        <w:rPr>
          <w:rFonts w:ascii="Garamond" w:hAnsi="Garamond"/>
        </w:rPr>
      </w:pPr>
    </w:p>
    <w:p w14:paraId="736CDE47" w14:textId="42E29EAC" w:rsidR="00BC79D0" w:rsidRPr="00381F61" w:rsidRDefault="005B70F5" w:rsidP="00BC79D0">
      <w:pPr>
        <w:jc w:val="both"/>
        <w:rPr>
          <w:rFonts w:ascii="Garamond" w:hAnsi="Garamond"/>
        </w:rPr>
      </w:pPr>
      <w:r w:rsidRPr="00381F61">
        <w:rPr>
          <w:rFonts w:ascii="Garamond" w:hAnsi="Garamond"/>
        </w:rPr>
        <w:t xml:space="preserve">‘Behavioural economics’ is a </w:t>
      </w:r>
      <w:r w:rsidR="000D7B61" w:rsidRPr="00381F61">
        <w:rPr>
          <w:rFonts w:ascii="Garamond" w:hAnsi="Garamond"/>
        </w:rPr>
        <w:t xml:space="preserve">seemingly </w:t>
      </w:r>
      <w:r w:rsidRPr="00381F61">
        <w:rPr>
          <w:rFonts w:ascii="Garamond" w:hAnsi="Garamond"/>
        </w:rPr>
        <w:t xml:space="preserve">seductive </w:t>
      </w:r>
      <w:r w:rsidR="000D7B61" w:rsidRPr="00381F61">
        <w:rPr>
          <w:rFonts w:ascii="Garamond" w:hAnsi="Garamond"/>
        </w:rPr>
        <w:t>concept</w:t>
      </w:r>
      <w:r w:rsidRPr="00381F61">
        <w:rPr>
          <w:rFonts w:ascii="Garamond" w:hAnsi="Garamond"/>
        </w:rPr>
        <w:t>, one that might be appropriate for providers of goods and services</w:t>
      </w:r>
      <w:r w:rsidR="008F4AED" w:rsidRPr="00381F61">
        <w:rPr>
          <w:rFonts w:ascii="Garamond" w:hAnsi="Garamond"/>
        </w:rPr>
        <w:t xml:space="preserve"> or even to help understand what is happening ‘out there’.  However, </w:t>
      </w:r>
      <w:r w:rsidR="00270215" w:rsidRPr="00381F61">
        <w:rPr>
          <w:rFonts w:ascii="Garamond" w:hAnsi="Garamond"/>
        </w:rPr>
        <w:t xml:space="preserve">we think </w:t>
      </w:r>
      <w:r w:rsidR="000D7B61" w:rsidRPr="00381F61">
        <w:rPr>
          <w:rFonts w:ascii="Garamond" w:hAnsi="Garamond"/>
        </w:rPr>
        <w:t>it</w:t>
      </w:r>
      <w:r w:rsidRPr="00381F61">
        <w:rPr>
          <w:rFonts w:ascii="Garamond" w:hAnsi="Garamond"/>
        </w:rPr>
        <w:t xml:space="preserve"> has no place in public policy issues associated with retirement saving.</w:t>
      </w:r>
      <w:r w:rsidR="00BC79D0" w:rsidRPr="00381F61">
        <w:rPr>
          <w:rFonts w:ascii="Garamond" w:hAnsi="Garamond"/>
        </w:rPr>
        <w:t xml:space="preserve">  Issues such as the mix between immediate and deferred consumption should be a matter for individuals to decide.  Not everyone needs to save for retirement; on the other hand, they may need to save for retirement but not now.  Others may never retire so the concept of requiring them to put part of their income aside for retirement is at odds with their particular preferences. </w:t>
      </w:r>
    </w:p>
    <w:p w14:paraId="32982EB9" w14:textId="77777777" w:rsidR="00BC79D0" w:rsidRPr="00381F61" w:rsidRDefault="00BC79D0" w:rsidP="00BC79D0">
      <w:pPr>
        <w:jc w:val="both"/>
        <w:rPr>
          <w:rFonts w:ascii="Garamond" w:hAnsi="Garamond"/>
        </w:rPr>
      </w:pPr>
    </w:p>
    <w:p w14:paraId="13EFF853" w14:textId="3FAA6371" w:rsidR="005B70F5" w:rsidRPr="00381F61" w:rsidRDefault="00BC79D0" w:rsidP="00BC79D0">
      <w:pPr>
        <w:jc w:val="both"/>
        <w:rPr>
          <w:rFonts w:ascii="Garamond" w:hAnsi="Garamond"/>
        </w:rPr>
      </w:pPr>
      <w:r w:rsidRPr="00381F61">
        <w:rPr>
          <w:rFonts w:ascii="Garamond" w:hAnsi="Garamond"/>
        </w:rPr>
        <w:t>Governments may help financial service providers understand the implications of choices (through research and information/education programmes) but it is a step too far to presume that anyone knows better than individuals what they should do with their own money</w:t>
      </w:r>
      <w:r w:rsidR="00C2461C" w:rsidRPr="00381F61">
        <w:rPr>
          <w:rFonts w:ascii="Garamond" w:hAnsi="Garamond"/>
        </w:rPr>
        <w:t>; or better than employers how much</w:t>
      </w:r>
      <w:r w:rsidR="00C44CF7" w:rsidRPr="00381F61">
        <w:rPr>
          <w:rFonts w:ascii="Garamond" w:hAnsi="Garamond"/>
        </w:rPr>
        <w:t>, how</w:t>
      </w:r>
      <w:r w:rsidR="00C2461C" w:rsidRPr="00381F61">
        <w:rPr>
          <w:rFonts w:ascii="Garamond" w:hAnsi="Garamond"/>
        </w:rPr>
        <w:t xml:space="preserve"> and when they should pay their employees</w:t>
      </w:r>
      <w:r w:rsidRPr="00381F61">
        <w:rPr>
          <w:rFonts w:ascii="Garamond" w:hAnsi="Garamond"/>
        </w:rPr>
        <w:t>.</w:t>
      </w:r>
    </w:p>
    <w:p w14:paraId="06B5C537" w14:textId="71E1794F" w:rsidR="004045C5" w:rsidRPr="00381F61" w:rsidRDefault="004045C5" w:rsidP="00BC79D0">
      <w:pPr>
        <w:jc w:val="both"/>
        <w:rPr>
          <w:rFonts w:ascii="Garamond" w:hAnsi="Garamond"/>
        </w:rPr>
      </w:pPr>
    </w:p>
    <w:p w14:paraId="71F7BA5E" w14:textId="37314A32" w:rsidR="004045C5" w:rsidRPr="00381F61" w:rsidRDefault="004045C5" w:rsidP="00BC79D0">
      <w:pPr>
        <w:jc w:val="both"/>
        <w:rPr>
          <w:rFonts w:ascii="Garamond" w:hAnsi="Garamond"/>
        </w:rPr>
      </w:pPr>
      <w:r w:rsidRPr="00381F61">
        <w:rPr>
          <w:rFonts w:ascii="Garamond" w:hAnsi="Garamond"/>
        </w:rPr>
        <w:t>If help is needed, it should be directed at individuals who are faced with the saving decisions, not at financial service providers that can look after themselves.</w:t>
      </w:r>
    </w:p>
    <w:p w14:paraId="4349AFCE" w14:textId="77777777" w:rsidR="004E6652" w:rsidRPr="00381F61" w:rsidRDefault="004E6652" w:rsidP="00E71CEB">
      <w:pPr>
        <w:jc w:val="both"/>
        <w:rPr>
          <w:rFonts w:ascii="Garamond" w:hAnsi="Garamond"/>
        </w:rPr>
      </w:pPr>
    </w:p>
    <w:p w14:paraId="03BE258B" w14:textId="77777777" w:rsidR="00E24858" w:rsidRPr="00381F61" w:rsidRDefault="00E24858" w:rsidP="00E24858">
      <w:pPr>
        <w:jc w:val="both"/>
        <w:rPr>
          <w:rFonts w:ascii="Garamond" w:hAnsi="Garamond"/>
        </w:rPr>
      </w:pPr>
      <w:r w:rsidRPr="00381F61">
        <w:rPr>
          <w:rFonts w:ascii="Garamond" w:hAnsi="Garamond"/>
          <w:b/>
        </w:rPr>
        <w:t>Terms of reference for 2019 Review</w:t>
      </w:r>
    </w:p>
    <w:p w14:paraId="30B2E50B" w14:textId="77777777" w:rsidR="00E24858" w:rsidRPr="00381F61" w:rsidRDefault="00E24858" w:rsidP="00E24858">
      <w:pPr>
        <w:jc w:val="both"/>
        <w:rPr>
          <w:rFonts w:ascii="Garamond" w:hAnsi="Garamond"/>
        </w:rPr>
      </w:pPr>
    </w:p>
    <w:p w14:paraId="5A099C87" w14:textId="0FB71140" w:rsidR="00E24858" w:rsidRPr="00381F61" w:rsidRDefault="00E24858" w:rsidP="00E24858">
      <w:pPr>
        <w:jc w:val="both"/>
        <w:rPr>
          <w:rFonts w:ascii="Garamond" w:hAnsi="Garamond"/>
        </w:rPr>
      </w:pPr>
      <w:r w:rsidRPr="00381F61">
        <w:rPr>
          <w:rFonts w:ascii="Garamond" w:hAnsi="Garamond"/>
        </w:rPr>
        <w:t>There was no mention in the Terms of Reference for the Retirement Commissioner’s 2019 Review of the issues associated with the fundamental roles of the government in policies associated with retirement incomes.</w:t>
      </w:r>
    </w:p>
    <w:p w14:paraId="3DC6D676" w14:textId="77777777" w:rsidR="00E24858" w:rsidRPr="00381F61" w:rsidRDefault="00E24858" w:rsidP="00E24858">
      <w:pPr>
        <w:jc w:val="both"/>
        <w:rPr>
          <w:rFonts w:ascii="Garamond" w:hAnsi="Garamond"/>
        </w:rPr>
      </w:pPr>
    </w:p>
    <w:p w14:paraId="101E4A88" w14:textId="0A5F101D" w:rsidR="00E24858" w:rsidRPr="00381F61" w:rsidRDefault="00E24858" w:rsidP="00E24858">
      <w:pPr>
        <w:jc w:val="both"/>
        <w:rPr>
          <w:rFonts w:ascii="Garamond" w:hAnsi="Garamond"/>
        </w:rPr>
      </w:pPr>
      <w:r w:rsidRPr="00381F61">
        <w:rPr>
          <w:rFonts w:ascii="Garamond" w:hAnsi="Garamond"/>
        </w:rPr>
        <w:t>We do not, therefore, expect the 2019 Review to address this issue.  However, at some stage the following questions will need to be addressed.</w:t>
      </w:r>
    </w:p>
    <w:p w14:paraId="68AD0463" w14:textId="77777777" w:rsidR="00F2146A" w:rsidRPr="00381F61" w:rsidRDefault="00F2146A" w:rsidP="00E71CEB">
      <w:pPr>
        <w:jc w:val="both"/>
        <w:rPr>
          <w:rFonts w:ascii="Garamond" w:hAnsi="Garamond"/>
        </w:rPr>
      </w:pPr>
    </w:p>
    <w:p w14:paraId="7CEA54E3" w14:textId="12E99E73" w:rsidR="004E6652" w:rsidRPr="00381F61" w:rsidRDefault="004E6652" w:rsidP="00E71CEB">
      <w:pPr>
        <w:jc w:val="both"/>
        <w:rPr>
          <w:rFonts w:ascii="Garamond" w:hAnsi="Garamond"/>
          <w:b/>
        </w:rPr>
      </w:pPr>
      <w:r w:rsidRPr="00381F61">
        <w:rPr>
          <w:rFonts w:ascii="Garamond" w:hAnsi="Garamond"/>
          <w:b/>
        </w:rPr>
        <w:t xml:space="preserve">Questions New Zealand </w:t>
      </w:r>
      <w:r w:rsidR="00A256AB" w:rsidRPr="00381F61">
        <w:rPr>
          <w:rFonts w:ascii="Garamond" w:hAnsi="Garamond"/>
          <w:b/>
        </w:rPr>
        <w:t xml:space="preserve">needs </w:t>
      </w:r>
      <w:r w:rsidRPr="00381F61">
        <w:rPr>
          <w:rFonts w:ascii="Garamond" w:hAnsi="Garamond"/>
          <w:b/>
        </w:rPr>
        <w:t>to discuss</w:t>
      </w:r>
      <w:r w:rsidR="00A256AB" w:rsidRPr="00381F61">
        <w:rPr>
          <w:rFonts w:ascii="Garamond" w:hAnsi="Garamond"/>
          <w:b/>
        </w:rPr>
        <w:t xml:space="preserve"> on </w:t>
      </w:r>
      <w:r w:rsidRPr="00381F61">
        <w:rPr>
          <w:rFonts w:ascii="Garamond" w:hAnsi="Garamond"/>
          <w:b/>
        </w:rPr>
        <w:t>retirement income policy settings:</w:t>
      </w:r>
    </w:p>
    <w:p w14:paraId="44C78D9D" w14:textId="77777777" w:rsidR="004E6652" w:rsidRPr="00381F61" w:rsidRDefault="004E6652" w:rsidP="00E71CEB">
      <w:pPr>
        <w:jc w:val="both"/>
        <w:rPr>
          <w:rFonts w:ascii="Garamond" w:hAnsi="Garamond"/>
          <w:b/>
        </w:rPr>
      </w:pPr>
    </w:p>
    <w:p w14:paraId="489678C8" w14:textId="504F2340" w:rsidR="00F53413" w:rsidRPr="00381F61" w:rsidRDefault="004E6652" w:rsidP="00E71CEB">
      <w:pPr>
        <w:pStyle w:val="ListParagraph"/>
        <w:numPr>
          <w:ilvl w:val="0"/>
          <w:numId w:val="33"/>
        </w:numPr>
        <w:jc w:val="both"/>
        <w:rPr>
          <w:rFonts w:ascii="Garamond" w:hAnsi="Garamond"/>
        </w:rPr>
      </w:pPr>
      <w:r w:rsidRPr="00381F61">
        <w:rPr>
          <w:rFonts w:ascii="Garamond" w:hAnsi="Garamond"/>
        </w:rPr>
        <w:t xml:space="preserve">Should </w:t>
      </w:r>
      <w:r w:rsidR="00DF7884" w:rsidRPr="00381F61">
        <w:rPr>
          <w:rFonts w:ascii="Garamond" w:hAnsi="Garamond"/>
        </w:rPr>
        <w:t>the government</w:t>
      </w:r>
      <w:r w:rsidRPr="00381F61">
        <w:rPr>
          <w:rFonts w:ascii="Garamond" w:hAnsi="Garamond"/>
        </w:rPr>
        <w:t xml:space="preserve"> concentrate on things that only governments can do?</w:t>
      </w:r>
    </w:p>
    <w:p w14:paraId="473580A1" w14:textId="77777777" w:rsidR="004E6652" w:rsidRPr="00381F61" w:rsidRDefault="004E6652" w:rsidP="00E71CEB">
      <w:pPr>
        <w:pStyle w:val="ListParagraph"/>
        <w:jc w:val="both"/>
        <w:rPr>
          <w:rFonts w:ascii="Garamond" w:hAnsi="Garamond"/>
        </w:rPr>
      </w:pPr>
    </w:p>
    <w:p w14:paraId="5A5D141B" w14:textId="4FEDD16A" w:rsidR="004E6652" w:rsidRPr="00381F61" w:rsidRDefault="004E6652" w:rsidP="00E71CEB">
      <w:pPr>
        <w:pStyle w:val="ListParagraph"/>
        <w:numPr>
          <w:ilvl w:val="0"/>
          <w:numId w:val="33"/>
        </w:numPr>
        <w:jc w:val="both"/>
        <w:rPr>
          <w:rFonts w:ascii="Garamond" w:hAnsi="Garamond"/>
        </w:rPr>
      </w:pPr>
      <w:r w:rsidRPr="00381F61">
        <w:rPr>
          <w:rFonts w:ascii="Garamond" w:hAnsi="Garamond"/>
        </w:rPr>
        <w:t xml:space="preserve">If ‘yes’, are there any other things that only governments can do </w:t>
      </w:r>
      <w:r w:rsidR="00495E4D" w:rsidRPr="00381F61">
        <w:rPr>
          <w:rFonts w:ascii="Garamond" w:hAnsi="Garamond"/>
        </w:rPr>
        <w:t xml:space="preserve">(in addition to the </w:t>
      </w:r>
      <w:r w:rsidR="00D537A2" w:rsidRPr="00381F61">
        <w:rPr>
          <w:rFonts w:ascii="Garamond" w:hAnsi="Garamond"/>
        </w:rPr>
        <w:t xml:space="preserve">five </w:t>
      </w:r>
      <w:r w:rsidR="00495E4D" w:rsidRPr="00381F61">
        <w:rPr>
          <w:rFonts w:ascii="Garamond" w:hAnsi="Garamond"/>
        </w:rPr>
        <w:t xml:space="preserve">key areas described above) </w:t>
      </w:r>
      <w:r w:rsidRPr="00381F61">
        <w:rPr>
          <w:rFonts w:ascii="Garamond" w:hAnsi="Garamond"/>
        </w:rPr>
        <w:t xml:space="preserve">and that might contribute to the setting </w:t>
      </w:r>
      <w:r w:rsidR="00836D3B" w:rsidRPr="00381F61">
        <w:rPr>
          <w:rFonts w:ascii="Garamond" w:hAnsi="Garamond"/>
        </w:rPr>
        <w:t xml:space="preserve">and maintenance </w:t>
      </w:r>
      <w:r w:rsidRPr="00381F61">
        <w:rPr>
          <w:rFonts w:ascii="Garamond" w:hAnsi="Garamond"/>
        </w:rPr>
        <w:t>of retirement income policies?</w:t>
      </w:r>
    </w:p>
    <w:p w14:paraId="6A946D10" w14:textId="77777777" w:rsidR="004E6652" w:rsidRPr="00381F61" w:rsidRDefault="004E6652" w:rsidP="00E71CEB">
      <w:pPr>
        <w:ind w:left="709"/>
        <w:jc w:val="both"/>
        <w:rPr>
          <w:rFonts w:ascii="Garamond" w:hAnsi="Garamond"/>
        </w:rPr>
      </w:pPr>
    </w:p>
    <w:p w14:paraId="38A078A4" w14:textId="194A01D8" w:rsidR="004E6652" w:rsidRPr="00381F61" w:rsidRDefault="004E6652" w:rsidP="00E71CEB">
      <w:pPr>
        <w:pStyle w:val="ListParagraph"/>
        <w:numPr>
          <w:ilvl w:val="0"/>
          <w:numId w:val="33"/>
        </w:numPr>
        <w:jc w:val="both"/>
        <w:rPr>
          <w:rFonts w:ascii="Garamond" w:hAnsi="Garamond"/>
        </w:rPr>
      </w:pPr>
      <w:r w:rsidRPr="00381F61">
        <w:rPr>
          <w:rFonts w:ascii="Garamond" w:hAnsi="Garamond"/>
        </w:rPr>
        <w:t>If governments should focus on other things, what might those be? What specifically would those add to the setting of public policy on retirement incomes?  What might be the direct and indirect costs of those and can those costs, if any, be justified?</w:t>
      </w:r>
    </w:p>
    <w:p w14:paraId="4FA46F71" w14:textId="77777777" w:rsidR="00F53413" w:rsidRPr="00381F61" w:rsidRDefault="00F53413" w:rsidP="00E71CEB">
      <w:pPr>
        <w:jc w:val="both"/>
        <w:rPr>
          <w:rFonts w:ascii="Garamond" w:hAnsi="Garamond"/>
        </w:rPr>
      </w:pPr>
      <w:r w:rsidRPr="00381F61">
        <w:rPr>
          <w:rFonts w:ascii="Garamond" w:hAnsi="Garamond"/>
        </w:rPr>
        <w:br w:type="page"/>
      </w:r>
    </w:p>
    <w:p w14:paraId="6567B4A0" w14:textId="54013D3F" w:rsidR="00A97583" w:rsidRPr="00381F61" w:rsidRDefault="00A97583" w:rsidP="00E71CEB">
      <w:pPr>
        <w:jc w:val="both"/>
        <w:rPr>
          <w:rFonts w:ascii="Garamond" w:hAnsi="Garamond"/>
          <w:b/>
        </w:rPr>
      </w:pPr>
      <w:r w:rsidRPr="00381F61">
        <w:rPr>
          <w:rFonts w:ascii="Garamond" w:hAnsi="Garamond"/>
          <w:b/>
        </w:rPr>
        <w:t>1</w:t>
      </w:r>
      <w:r w:rsidR="00F519BC" w:rsidRPr="00381F61">
        <w:rPr>
          <w:rFonts w:ascii="Garamond" w:hAnsi="Garamond"/>
          <w:b/>
        </w:rPr>
        <w:t>2</w:t>
      </w:r>
      <w:r w:rsidRPr="00381F61">
        <w:rPr>
          <w:rFonts w:ascii="Garamond" w:hAnsi="Garamond"/>
          <w:b/>
        </w:rPr>
        <w:t xml:space="preserve">. </w:t>
      </w:r>
      <w:r w:rsidR="007C2BE0" w:rsidRPr="00381F61">
        <w:rPr>
          <w:rFonts w:ascii="Garamond" w:hAnsi="Garamond"/>
          <w:b/>
        </w:rPr>
        <w:tab/>
      </w:r>
      <w:r w:rsidR="007E5319" w:rsidRPr="00381F61">
        <w:rPr>
          <w:rFonts w:ascii="Garamond" w:hAnsi="Garamond"/>
          <w:b/>
        </w:rPr>
        <w:t>Housing and home ownership</w:t>
      </w:r>
      <w:r w:rsidR="003E7437" w:rsidRPr="00381F61">
        <w:rPr>
          <w:rFonts w:ascii="Garamond" w:hAnsi="Garamond"/>
          <w:b/>
        </w:rPr>
        <w:t xml:space="preserve"> - data shortfalls and </w:t>
      </w:r>
      <w:r w:rsidR="001B1B68" w:rsidRPr="00381F61">
        <w:rPr>
          <w:rFonts w:ascii="Garamond" w:hAnsi="Garamond"/>
          <w:b/>
        </w:rPr>
        <w:t xml:space="preserve">the </w:t>
      </w:r>
      <w:r w:rsidR="003E7437" w:rsidRPr="00381F61">
        <w:rPr>
          <w:rFonts w:ascii="Garamond" w:hAnsi="Garamond"/>
          <w:b/>
        </w:rPr>
        <w:t>need to fix those</w:t>
      </w:r>
    </w:p>
    <w:p w14:paraId="6665E22A" w14:textId="77777777" w:rsidR="007C2BE0" w:rsidRPr="00381F61" w:rsidRDefault="007C2BE0" w:rsidP="00E71CEB">
      <w:pPr>
        <w:pStyle w:val="Footer"/>
        <w:jc w:val="both"/>
        <w:rPr>
          <w:rFonts w:ascii="Garamond" w:hAnsi="Garamond"/>
          <w:bCs/>
          <w:sz w:val="22"/>
          <w:szCs w:val="22"/>
        </w:rPr>
      </w:pPr>
    </w:p>
    <w:p w14:paraId="52C8AA38" w14:textId="069F80B1" w:rsidR="007C2BE0" w:rsidRPr="00381F61" w:rsidRDefault="007C2BE0" w:rsidP="00E71CEB">
      <w:pPr>
        <w:pStyle w:val="Footer"/>
        <w:jc w:val="both"/>
        <w:rPr>
          <w:rFonts w:ascii="Garamond" w:hAnsi="Garamond"/>
          <w:bCs/>
        </w:rPr>
      </w:pPr>
      <w:r w:rsidRPr="00381F61">
        <w:rPr>
          <w:rFonts w:ascii="Garamond" w:hAnsi="Garamond"/>
          <w:bCs/>
        </w:rPr>
        <w:t>Most retired New Zealanders and those over a ‘retirement age’ own their own homes</w:t>
      </w:r>
      <w:r w:rsidR="004E2806" w:rsidRPr="00381F61">
        <w:rPr>
          <w:rStyle w:val="FootnoteReference"/>
          <w:rFonts w:ascii="Garamond" w:hAnsi="Garamond"/>
          <w:bCs/>
        </w:rPr>
        <w:footnoteReference w:id="151"/>
      </w:r>
      <w:r w:rsidRPr="00381F61">
        <w:rPr>
          <w:rFonts w:ascii="Garamond" w:hAnsi="Garamond"/>
          <w:bCs/>
        </w:rPr>
        <w:t>.  Having a paid-off home by the time regular employment income stops should be a first step for financial security in retirement.</w:t>
      </w:r>
      <w:r w:rsidR="009312D7" w:rsidRPr="00381F61">
        <w:rPr>
          <w:rFonts w:ascii="Garamond" w:hAnsi="Garamond"/>
          <w:bCs/>
        </w:rPr>
        <w:t xml:space="preserve">  Statistics about home ownership levels are therefore directly relevant to any discussion about retirement income policies.  There was no detail on this issue in the Retirement Commissioner’s 2016 Review.</w:t>
      </w:r>
    </w:p>
    <w:p w14:paraId="77370DAB" w14:textId="6FEDDE3E" w:rsidR="007C2BE0" w:rsidRPr="00381F61" w:rsidRDefault="007C2BE0" w:rsidP="00E71CEB">
      <w:pPr>
        <w:pStyle w:val="Footer"/>
        <w:jc w:val="both"/>
        <w:rPr>
          <w:rFonts w:ascii="Garamond" w:hAnsi="Garamond"/>
          <w:bCs/>
        </w:rPr>
      </w:pPr>
    </w:p>
    <w:p w14:paraId="6DA24025" w14:textId="7187B75B" w:rsidR="007C2BE0" w:rsidRPr="00381F61" w:rsidRDefault="007C2BE0" w:rsidP="00E71CEB">
      <w:pPr>
        <w:pStyle w:val="Footer"/>
        <w:jc w:val="both"/>
        <w:rPr>
          <w:rFonts w:ascii="Garamond" w:hAnsi="Garamond"/>
          <w:bCs/>
        </w:rPr>
      </w:pPr>
      <w:r w:rsidRPr="00381F61">
        <w:rPr>
          <w:rFonts w:ascii="Garamond" w:hAnsi="Garamond"/>
          <w:bCs/>
        </w:rPr>
        <w:t>At first sight, the most recent Census data (from 2013) suggest that home-ownership rates have fallen subst</w:t>
      </w:r>
      <w:r w:rsidR="00064130" w:rsidRPr="00381F61">
        <w:rPr>
          <w:rFonts w:ascii="Garamond" w:hAnsi="Garamond"/>
          <w:bCs/>
        </w:rPr>
        <w:t xml:space="preserve">antially since a peak in </w:t>
      </w:r>
      <w:r w:rsidR="00632581" w:rsidRPr="00381F61">
        <w:rPr>
          <w:rFonts w:ascii="Garamond" w:hAnsi="Garamond"/>
          <w:bCs/>
        </w:rPr>
        <w:t>1986</w:t>
      </w:r>
      <w:r w:rsidR="00064130" w:rsidRPr="00381F61">
        <w:rPr>
          <w:rFonts w:ascii="Garamond" w:hAnsi="Garamond"/>
          <w:bCs/>
        </w:rPr>
        <w:t>.</w:t>
      </w:r>
    </w:p>
    <w:p w14:paraId="42312B74" w14:textId="70B55035" w:rsidR="00771ED1" w:rsidRPr="00381F61" w:rsidRDefault="0056662B" w:rsidP="00E71CEB">
      <w:pPr>
        <w:pStyle w:val="Footer"/>
        <w:jc w:val="both"/>
        <w:rPr>
          <w:rFonts w:ascii="Garamond" w:hAnsi="Garamond"/>
          <w:bCs/>
        </w:rPr>
      </w:pPr>
      <w:r w:rsidRPr="00F766D5">
        <w:rPr>
          <w:rFonts w:ascii="Garamond" w:hAnsi="Garamond"/>
          <w:noProof/>
        </w:rPr>
        <mc:AlternateContent>
          <mc:Choice Requires="wps">
            <w:drawing>
              <wp:anchor distT="0" distB="0" distL="114300" distR="114300" simplePos="0" relativeHeight="251659264" behindDoc="0" locked="0" layoutInCell="1" allowOverlap="1" wp14:anchorId="71C59D7E" wp14:editId="0FD247F0">
                <wp:simplePos x="0" y="0"/>
                <wp:positionH relativeFrom="column">
                  <wp:posOffset>1003935</wp:posOffset>
                </wp:positionH>
                <wp:positionV relativeFrom="paragraph">
                  <wp:posOffset>147955</wp:posOffset>
                </wp:positionV>
                <wp:extent cx="3731260" cy="2835910"/>
                <wp:effectExtent l="0" t="0" r="0" b="8890"/>
                <wp:wrapTight wrapText="bothSides">
                  <wp:wrapPolygon edited="0">
                    <wp:start x="147" y="0"/>
                    <wp:lineTo x="147" y="21474"/>
                    <wp:lineTo x="21321" y="21474"/>
                    <wp:lineTo x="21321" y="0"/>
                    <wp:lineTo x="147" y="0"/>
                  </wp:wrapPolygon>
                </wp:wrapTight>
                <wp:docPr id="4" name="Text Box 4"/>
                <wp:cNvGraphicFramePr/>
                <a:graphic xmlns:a="http://schemas.openxmlformats.org/drawingml/2006/main">
                  <a:graphicData uri="http://schemas.microsoft.com/office/word/2010/wordprocessingShape">
                    <wps:wsp>
                      <wps:cNvSpPr txBox="1"/>
                      <wps:spPr>
                        <a:xfrm>
                          <a:off x="0" y="0"/>
                          <a:ext cx="3731260" cy="2835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173059" w14:textId="77777777" w:rsidR="00CD6F06" w:rsidRDefault="00CD6F06" w:rsidP="00DF64E6"/>
                          <w:p w14:paraId="40A696CE" w14:textId="617D0B42" w:rsidR="00CD6F06" w:rsidRDefault="00CD6F06" w:rsidP="00DF64E6">
                            <w:pPr>
                              <w:jc w:val="center"/>
                            </w:pPr>
                            <w:r>
                              <w:rPr>
                                <w:noProof/>
                              </w:rPr>
                              <w:drawing>
                                <wp:inline distT="0" distB="0" distL="0" distR="0" wp14:anchorId="1525C968" wp14:editId="68E2D173">
                                  <wp:extent cx="3337166" cy="25044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55629" cy="25182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59D7E" id="_x0000_t202" coordsize="21600,21600" o:spt="202" path="m,l,21600r21600,l21600,xe">
                <v:stroke joinstyle="miter"/>
                <v:path gradientshapeok="t" o:connecttype="rect"/>
              </v:shapetype>
              <v:shape id="Text Box 4" o:spid="_x0000_s1026" type="#_x0000_t202" style="position:absolute;left:0;text-align:left;margin-left:79.05pt;margin-top:11.65pt;width:293.8pt;height:2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" filled="f" stroked="f">
                <v:textbox>
                  <w:txbxContent>
                    <w:p w14:paraId="1C173059" w14:textId="77777777" w:rsidR="00CD6F06" w:rsidRDefault="00CD6F06" w:rsidP="00DF64E6"/>
                    <w:p w14:paraId="40A696CE" w14:textId="617D0B42" w:rsidR="00CD6F06" w:rsidRDefault="00CD6F06" w:rsidP="00DF64E6">
                      <w:pPr>
                        <w:jc w:val="center"/>
                      </w:pPr>
                      <w:r>
                        <w:rPr>
                          <w:noProof/>
                        </w:rPr>
                        <w:drawing>
                          <wp:inline distT="0" distB="0" distL="0" distR="0" wp14:anchorId="1525C968" wp14:editId="68E2D173">
                            <wp:extent cx="3337166" cy="25044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55629" cy="2518296"/>
                                    </a:xfrm>
                                    <a:prstGeom prst="rect">
                                      <a:avLst/>
                                    </a:prstGeom>
                                  </pic:spPr>
                                </pic:pic>
                              </a:graphicData>
                            </a:graphic>
                          </wp:inline>
                        </w:drawing>
                      </w:r>
                    </w:p>
                  </w:txbxContent>
                </v:textbox>
                <w10:wrap type="tight"/>
              </v:shape>
            </w:pict>
          </mc:Fallback>
        </mc:AlternateContent>
      </w:r>
    </w:p>
    <w:p w14:paraId="184E3C2E" w14:textId="3F72D439" w:rsidR="0056662B" w:rsidRPr="00381F61" w:rsidRDefault="0056662B" w:rsidP="00E71CEB">
      <w:pPr>
        <w:pStyle w:val="Footer"/>
        <w:jc w:val="both"/>
        <w:rPr>
          <w:rFonts w:ascii="Garamond" w:hAnsi="Garamond"/>
          <w:bCs/>
        </w:rPr>
      </w:pPr>
    </w:p>
    <w:p w14:paraId="0C67737A" w14:textId="2C67A5E2" w:rsidR="0056662B" w:rsidRPr="00381F61" w:rsidRDefault="0056662B" w:rsidP="00E71CEB">
      <w:pPr>
        <w:pStyle w:val="Footer"/>
        <w:jc w:val="both"/>
        <w:rPr>
          <w:rFonts w:ascii="Garamond" w:hAnsi="Garamond"/>
          <w:bCs/>
        </w:rPr>
      </w:pPr>
    </w:p>
    <w:p w14:paraId="77C5BCB9" w14:textId="527DA635" w:rsidR="0056662B" w:rsidRPr="00381F61" w:rsidRDefault="0056662B" w:rsidP="00E71CEB">
      <w:pPr>
        <w:pStyle w:val="Footer"/>
        <w:jc w:val="both"/>
        <w:rPr>
          <w:rFonts w:ascii="Garamond" w:hAnsi="Garamond"/>
          <w:bCs/>
        </w:rPr>
      </w:pPr>
    </w:p>
    <w:p w14:paraId="77E60841" w14:textId="6A924207" w:rsidR="0056662B" w:rsidRPr="00381F61" w:rsidRDefault="0056662B" w:rsidP="00E71CEB">
      <w:pPr>
        <w:pStyle w:val="Footer"/>
        <w:jc w:val="both"/>
        <w:rPr>
          <w:rFonts w:ascii="Garamond" w:hAnsi="Garamond"/>
          <w:bCs/>
        </w:rPr>
      </w:pPr>
    </w:p>
    <w:p w14:paraId="4ED799FA" w14:textId="252522C7" w:rsidR="0056662B" w:rsidRPr="00381F61" w:rsidRDefault="0056662B" w:rsidP="00E71CEB">
      <w:pPr>
        <w:pStyle w:val="Footer"/>
        <w:jc w:val="both"/>
        <w:rPr>
          <w:rFonts w:ascii="Garamond" w:hAnsi="Garamond"/>
          <w:bCs/>
        </w:rPr>
      </w:pPr>
    </w:p>
    <w:p w14:paraId="403AE91B" w14:textId="3DA203A9" w:rsidR="0056662B" w:rsidRPr="00381F61" w:rsidRDefault="0056662B" w:rsidP="00E71CEB">
      <w:pPr>
        <w:pStyle w:val="Footer"/>
        <w:jc w:val="both"/>
        <w:rPr>
          <w:rFonts w:ascii="Garamond" w:hAnsi="Garamond"/>
          <w:bCs/>
        </w:rPr>
      </w:pPr>
    </w:p>
    <w:p w14:paraId="2F0D901E" w14:textId="736E125D" w:rsidR="0056662B" w:rsidRPr="00381F61" w:rsidRDefault="0056662B" w:rsidP="00E71CEB">
      <w:pPr>
        <w:pStyle w:val="Footer"/>
        <w:jc w:val="both"/>
        <w:rPr>
          <w:rFonts w:ascii="Garamond" w:hAnsi="Garamond"/>
          <w:bCs/>
        </w:rPr>
      </w:pPr>
    </w:p>
    <w:p w14:paraId="365EAA89" w14:textId="27001670" w:rsidR="0056662B" w:rsidRPr="00381F61" w:rsidRDefault="0056662B" w:rsidP="00E71CEB">
      <w:pPr>
        <w:pStyle w:val="Footer"/>
        <w:jc w:val="both"/>
        <w:rPr>
          <w:rFonts w:ascii="Garamond" w:hAnsi="Garamond"/>
          <w:bCs/>
        </w:rPr>
      </w:pPr>
    </w:p>
    <w:p w14:paraId="68C1293A" w14:textId="7461AA48" w:rsidR="0056662B" w:rsidRPr="00381F61" w:rsidRDefault="0056662B" w:rsidP="00E71CEB">
      <w:pPr>
        <w:pStyle w:val="Footer"/>
        <w:jc w:val="both"/>
        <w:rPr>
          <w:rFonts w:ascii="Garamond" w:hAnsi="Garamond"/>
          <w:bCs/>
        </w:rPr>
      </w:pPr>
    </w:p>
    <w:p w14:paraId="671E29E0" w14:textId="16B38BE2" w:rsidR="007C2BE0" w:rsidRPr="00381F61" w:rsidRDefault="007C2BE0" w:rsidP="00F3350F">
      <w:pPr>
        <w:pStyle w:val="Footer"/>
        <w:jc w:val="center"/>
        <w:rPr>
          <w:rFonts w:ascii="Garamond" w:hAnsi="Garamond"/>
          <w:bCs/>
        </w:rPr>
      </w:pPr>
    </w:p>
    <w:p w14:paraId="359ECFD5" w14:textId="77777777" w:rsidR="0056662B" w:rsidRPr="00381F61" w:rsidRDefault="0056662B" w:rsidP="00F3350F">
      <w:pPr>
        <w:pStyle w:val="Footer"/>
        <w:jc w:val="center"/>
        <w:rPr>
          <w:rFonts w:ascii="Garamond" w:hAnsi="Garamond"/>
          <w:bCs/>
        </w:rPr>
      </w:pPr>
    </w:p>
    <w:p w14:paraId="6FC8B36B" w14:textId="77777777" w:rsidR="0056662B" w:rsidRPr="00381F61" w:rsidRDefault="0056662B" w:rsidP="00F3350F">
      <w:pPr>
        <w:pStyle w:val="Footer"/>
        <w:jc w:val="center"/>
        <w:rPr>
          <w:rFonts w:ascii="Garamond" w:hAnsi="Garamond"/>
          <w:bCs/>
        </w:rPr>
      </w:pPr>
    </w:p>
    <w:p w14:paraId="01980DC1" w14:textId="77777777" w:rsidR="0056662B" w:rsidRPr="00381F61" w:rsidRDefault="0056662B" w:rsidP="00F3350F">
      <w:pPr>
        <w:pStyle w:val="Footer"/>
        <w:jc w:val="center"/>
        <w:rPr>
          <w:rFonts w:ascii="Garamond" w:hAnsi="Garamond"/>
          <w:bCs/>
        </w:rPr>
      </w:pPr>
    </w:p>
    <w:p w14:paraId="41545E95" w14:textId="77777777" w:rsidR="0056662B" w:rsidRPr="00381F61" w:rsidRDefault="0056662B" w:rsidP="00F3350F">
      <w:pPr>
        <w:pStyle w:val="Footer"/>
        <w:jc w:val="center"/>
        <w:rPr>
          <w:rFonts w:ascii="Garamond" w:hAnsi="Garamond"/>
          <w:bCs/>
        </w:rPr>
      </w:pPr>
    </w:p>
    <w:p w14:paraId="5CBD602E" w14:textId="77777777" w:rsidR="0056662B" w:rsidRPr="00381F61" w:rsidRDefault="0056662B" w:rsidP="00F3350F">
      <w:pPr>
        <w:pStyle w:val="Footer"/>
        <w:jc w:val="center"/>
        <w:rPr>
          <w:rFonts w:ascii="Garamond" w:hAnsi="Garamond"/>
          <w:bCs/>
        </w:rPr>
      </w:pPr>
    </w:p>
    <w:p w14:paraId="59BCDF1C" w14:textId="77777777" w:rsidR="00DF64E6" w:rsidRPr="00381F61" w:rsidRDefault="00DF64E6" w:rsidP="00DF64E6">
      <w:pPr>
        <w:pStyle w:val="Footer"/>
        <w:jc w:val="both"/>
        <w:rPr>
          <w:rFonts w:ascii="Garamond" w:hAnsi="Garamond"/>
          <w:bCs/>
        </w:rPr>
      </w:pPr>
      <w:bookmarkStart w:id="3" w:name="OLE_LINK1"/>
    </w:p>
    <w:p w14:paraId="2BCF6D87" w14:textId="77777777" w:rsidR="00632581" w:rsidRPr="00381F61" w:rsidRDefault="00632581" w:rsidP="00632581">
      <w:pPr>
        <w:pStyle w:val="Footer"/>
        <w:jc w:val="both"/>
        <w:rPr>
          <w:rFonts w:ascii="Garamond" w:hAnsi="Garamond"/>
          <w:bCs/>
          <w:sz w:val="20"/>
          <w:szCs w:val="20"/>
        </w:rPr>
      </w:pPr>
    </w:p>
    <w:p w14:paraId="504C6AA5" w14:textId="5429BFAD" w:rsidR="00771ED1" w:rsidRPr="00381F61" w:rsidRDefault="00771ED1" w:rsidP="005B54F0">
      <w:pPr>
        <w:pStyle w:val="Footer"/>
        <w:ind w:left="1843"/>
        <w:jc w:val="both"/>
        <w:rPr>
          <w:rFonts w:ascii="Garamond" w:hAnsi="Garamond"/>
          <w:bCs/>
          <w:sz w:val="20"/>
          <w:szCs w:val="20"/>
        </w:rPr>
      </w:pPr>
      <w:r w:rsidRPr="00381F61">
        <w:rPr>
          <w:rFonts w:ascii="Garamond" w:hAnsi="Garamond"/>
          <w:bCs/>
          <w:sz w:val="20"/>
          <w:szCs w:val="20"/>
        </w:rPr>
        <w:t>Source: Stat</w:t>
      </w:r>
      <w:r w:rsidR="00CB1C15" w:rsidRPr="00381F61">
        <w:rPr>
          <w:rFonts w:ascii="Garamond" w:hAnsi="Garamond"/>
          <w:bCs/>
          <w:sz w:val="20"/>
          <w:szCs w:val="20"/>
        </w:rPr>
        <w:t>sNZ</w:t>
      </w:r>
      <w:r w:rsidR="00582CE9" w:rsidRPr="00381F61">
        <w:rPr>
          <w:rStyle w:val="FootnoteReference"/>
          <w:rFonts w:ascii="Garamond" w:hAnsi="Garamond"/>
          <w:bCs/>
          <w:sz w:val="20"/>
          <w:szCs w:val="20"/>
        </w:rPr>
        <w:footnoteReference w:id="152"/>
      </w:r>
    </w:p>
    <w:bookmarkEnd w:id="3"/>
    <w:p w14:paraId="1EA425F8" w14:textId="55E592E2" w:rsidR="00771ED1" w:rsidRPr="00381F61" w:rsidRDefault="00771ED1" w:rsidP="00E71CEB">
      <w:pPr>
        <w:pStyle w:val="Footer"/>
        <w:jc w:val="both"/>
        <w:rPr>
          <w:rFonts w:ascii="Garamond" w:hAnsi="Garamond"/>
          <w:bCs/>
        </w:rPr>
      </w:pPr>
    </w:p>
    <w:p w14:paraId="0D98A847" w14:textId="520078DF" w:rsidR="007C2BE0" w:rsidRPr="00381F61" w:rsidRDefault="007C2BE0" w:rsidP="00E71CEB">
      <w:pPr>
        <w:pStyle w:val="Footer"/>
        <w:jc w:val="both"/>
        <w:rPr>
          <w:rFonts w:ascii="Garamond" w:hAnsi="Garamond"/>
          <w:bCs/>
        </w:rPr>
      </w:pPr>
      <w:r w:rsidRPr="00381F61">
        <w:rPr>
          <w:rFonts w:ascii="Garamond" w:hAnsi="Garamond"/>
          <w:bCs/>
        </w:rPr>
        <w:t>Census 2013 tells us that 6</w:t>
      </w:r>
      <w:r w:rsidR="008959F6" w:rsidRPr="00381F61">
        <w:rPr>
          <w:rFonts w:ascii="Garamond" w:hAnsi="Garamond"/>
          <w:bCs/>
        </w:rPr>
        <w:t>0.7</w:t>
      </w:r>
      <w:r w:rsidRPr="00381F61">
        <w:rPr>
          <w:rFonts w:ascii="Garamond" w:hAnsi="Garamond"/>
          <w:bCs/>
        </w:rPr>
        <w:t xml:space="preserve">% of </w:t>
      </w:r>
      <w:r w:rsidR="00632581" w:rsidRPr="00381F61">
        <w:rPr>
          <w:rFonts w:ascii="Garamond" w:hAnsi="Garamond"/>
          <w:bCs/>
        </w:rPr>
        <w:t xml:space="preserve">all occupied dwellings were owned by the occupying </w:t>
      </w:r>
      <w:r w:rsidRPr="00381F61">
        <w:rPr>
          <w:rFonts w:ascii="Garamond" w:hAnsi="Garamond"/>
          <w:bCs/>
        </w:rPr>
        <w:t>households.</w:t>
      </w:r>
      <w:r w:rsidR="008959F6" w:rsidRPr="00381F61">
        <w:rPr>
          <w:rFonts w:ascii="Garamond" w:hAnsi="Garamond"/>
          <w:bCs/>
        </w:rPr>
        <w:t xml:space="preserve">  The equivalent in 1986 was 72.6%.</w:t>
      </w:r>
    </w:p>
    <w:p w14:paraId="347C63D7" w14:textId="77777777" w:rsidR="007C2BE0" w:rsidRPr="00381F61" w:rsidRDefault="007C2BE0" w:rsidP="00E71CEB">
      <w:pPr>
        <w:pStyle w:val="Footer"/>
        <w:jc w:val="both"/>
        <w:rPr>
          <w:rFonts w:ascii="Garamond" w:hAnsi="Garamond"/>
          <w:bCs/>
        </w:rPr>
      </w:pPr>
    </w:p>
    <w:p w14:paraId="230F03DA" w14:textId="6688A697" w:rsidR="007C2BE0" w:rsidRPr="00381F61" w:rsidRDefault="007C2BE0" w:rsidP="00E71CEB">
      <w:pPr>
        <w:pStyle w:val="Footer"/>
        <w:jc w:val="both"/>
        <w:rPr>
          <w:rFonts w:ascii="Garamond" w:hAnsi="Garamond"/>
          <w:bCs/>
        </w:rPr>
      </w:pPr>
      <w:r w:rsidRPr="00381F61">
        <w:rPr>
          <w:rFonts w:ascii="Garamond" w:hAnsi="Garamond"/>
          <w:bCs/>
        </w:rPr>
        <w:t>There is a significant problem with the Census data on home-ownership.  There are too many gaps in the questions asked in the 2013 Census (and earlier equivalent questions) for us to be certain about any recent trends in home-ownership rates.  The gaps mean we have no ownership information for about 362,000 of all dwellings; that’s 20.7% of all 1.76 million dwellings on Census night in 2013.</w:t>
      </w:r>
    </w:p>
    <w:p w14:paraId="12138662" w14:textId="77777777" w:rsidR="007C2BE0" w:rsidRPr="00381F61" w:rsidRDefault="007C2BE0" w:rsidP="00E71CEB">
      <w:pPr>
        <w:pStyle w:val="Footer"/>
        <w:jc w:val="both"/>
        <w:rPr>
          <w:rFonts w:ascii="Garamond" w:hAnsi="Garamond"/>
          <w:bCs/>
        </w:rPr>
      </w:pPr>
    </w:p>
    <w:p w14:paraId="12171C52" w14:textId="7729E790" w:rsidR="007C2BE0" w:rsidRPr="00381F61" w:rsidRDefault="007C2BE0" w:rsidP="00E71CEB">
      <w:pPr>
        <w:pStyle w:val="Footer"/>
        <w:jc w:val="both"/>
        <w:rPr>
          <w:rFonts w:ascii="Garamond" w:hAnsi="Garamond"/>
          <w:bCs/>
        </w:rPr>
      </w:pPr>
      <w:r w:rsidRPr="00381F61">
        <w:rPr>
          <w:rFonts w:ascii="Garamond" w:hAnsi="Garamond"/>
          <w:bCs/>
        </w:rPr>
        <w:t>There are two main holes in the data.  First, we have no information about who owns the 185,</w:t>
      </w:r>
      <w:r w:rsidR="00002109" w:rsidRPr="00381F61">
        <w:rPr>
          <w:rFonts w:ascii="Garamond" w:hAnsi="Garamond"/>
          <w:bCs/>
        </w:rPr>
        <w:t>448</w:t>
      </w:r>
      <w:r w:rsidRPr="00381F61">
        <w:rPr>
          <w:rFonts w:ascii="Garamond" w:hAnsi="Garamond"/>
          <w:bCs/>
        </w:rPr>
        <w:t xml:space="preserve"> dwellings that were unoccupied on Census night (10.6% of all dwellings).  Neither do we know why they were unoccupied.  They might be holiday homes, between tenants, on the market, under renovation or the usual occupiers (owners or renters) may have been away on holiday or on business.  We just don’</w:t>
      </w:r>
      <w:r w:rsidR="00A42E25" w:rsidRPr="00381F61">
        <w:rPr>
          <w:rFonts w:ascii="Garamond" w:hAnsi="Garamond"/>
          <w:bCs/>
        </w:rPr>
        <w:t>t know and that affects our understanding of the owner/occupier status for more than one tenth of all dwellings.</w:t>
      </w:r>
    </w:p>
    <w:p w14:paraId="1BA62A8B" w14:textId="77777777" w:rsidR="007C2BE0" w:rsidRPr="00381F61" w:rsidRDefault="007C2BE0" w:rsidP="00E71CEB">
      <w:pPr>
        <w:pStyle w:val="Footer"/>
        <w:jc w:val="both"/>
        <w:rPr>
          <w:rFonts w:ascii="Garamond" w:hAnsi="Garamond"/>
          <w:bCs/>
        </w:rPr>
      </w:pPr>
    </w:p>
    <w:p w14:paraId="50BAC52D" w14:textId="7C9E73BA" w:rsidR="007C2BE0" w:rsidRPr="00381F61" w:rsidRDefault="007C2BE0" w:rsidP="00E71CEB">
      <w:pPr>
        <w:pStyle w:val="Footer"/>
        <w:jc w:val="both"/>
        <w:rPr>
          <w:rFonts w:ascii="Garamond" w:hAnsi="Garamond"/>
          <w:bCs/>
        </w:rPr>
      </w:pPr>
      <w:r w:rsidRPr="00381F61">
        <w:rPr>
          <w:rFonts w:ascii="Garamond" w:hAnsi="Garamond"/>
          <w:bCs/>
        </w:rPr>
        <w:t xml:space="preserve">The other major hole </w:t>
      </w:r>
      <w:r w:rsidR="007E5A2A" w:rsidRPr="00381F61">
        <w:rPr>
          <w:rFonts w:ascii="Garamond" w:hAnsi="Garamond"/>
          <w:bCs/>
        </w:rPr>
        <w:t xml:space="preserve">in the data </w:t>
      </w:r>
      <w:r w:rsidRPr="00381F61">
        <w:rPr>
          <w:rFonts w:ascii="Garamond" w:hAnsi="Garamond"/>
          <w:bCs/>
        </w:rPr>
        <w:t>is the occupiers who didn’t answer the question or who gave an unclear answer.  That was another 17</w:t>
      </w:r>
      <w:r w:rsidR="001F27F0" w:rsidRPr="00381F61">
        <w:rPr>
          <w:rFonts w:ascii="Garamond" w:hAnsi="Garamond"/>
          <w:bCs/>
        </w:rPr>
        <w:t>6,835</w:t>
      </w:r>
      <w:r w:rsidRPr="00381F61">
        <w:rPr>
          <w:rFonts w:ascii="Garamond" w:hAnsi="Garamond"/>
          <w:bCs/>
        </w:rPr>
        <w:t xml:space="preserve"> dwellings or 10.1% of all dwellings.</w:t>
      </w:r>
    </w:p>
    <w:p w14:paraId="282B2F68" w14:textId="77777777" w:rsidR="007C2BE0" w:rsidRPr="00381F61" w:rsidRDefault="007C2BE0" w:rsidP="00E71CEB">
      <w:pPr>
        <w:pStyle w:val="Footer"/>
        <w:jc w:val="both"/>
        <w:rPr>
          <w:rFonts w:ascii="Garamond" w:hAnsi="Garamond"/>
          <w:bCs/>
        </w:rPr>
      </w:pPr>
    </w:p>
    <w:p w14:paraId="1BC67D61" w14:textId="6FBB0C7A" w:rsidR="007C2BE0" w:rsidRPr="00381F61" w:rsidRDefault="007C2BE0" w:rsidP="00E71CEB">
      <w:pPr>
        <w:pStyle w:val="Footer"/>
        <w:jc w:val="both"/>
        <w:rPr>
          <w:rFonts w:ascii="Garamond" w:hAnsi="Garamond"/>
        </w:rPr>
      </w:pPr>
      <w:r w:rsidRPr="00381F61">
        <w:rPr>
          <w:rFonts w:ascii="Garamond" w:hAnsi="Garamond"/>
        </w:rPr>
        <w:t xml:space="preserve">These data gaps </w:t>
      </w:r>
      <w:r w:rsidR="00A42E25" w:rsidRPr="00381F61">
        <w:rPr>
          <w:rFonts w:ascii="Garamond" w:hAnsi="Garamond"/>
        </w:rPr>
        <w:t>have been</w:t>
      </w:r>
      <w:r w:rsidRPr="00381F61">
        <w:rPr>
          <w:rFonts w:ascii="Garamond" w:hAnsi="Garamond"/>
        </w:rPr>
        <w:t xml:space="preserve"> growing </w:t>
      </w:r>
      <w:r w:rsidR="00E941ED" w:rsidRPr="00381F61">
        <w:rPr>
          <w:rFonts w:ascii="Garamond" w:hAnsi="Garamond"/>
        </w:rPr>
        <w:t xml:space="preserve">in total </w:t>
      </w:r>
      <w:r w:rsidR="00A42E25" w:rsidRPr="00381F61">
        <w:rPr>
          <w:rFonts w:ascii="Garamond" w:hAnsi="Garamond"/>
        </w:rPr>
        <w:t xml:space="preserve">since the 1986 Census </w:t>
      </w:r>
      <w:r w:rsidRPr="00381F61">
        <w:rPr>
          <w:rFonts w:ascii="Garamond" w:hAnsi="Garamond"/>
        </w:rPr>
        <w:t xml:space="preserve">– the </w:t>
      </w:r>
      <w:r w:rsidR="002662DE" w:rsidRPr="00381F61">
        <w:rPr>
          <w:rFonts w:ascii="Garamond" w:hAnsi="Garamond"/>
        </w:rPr>
        <w:t xml:space="preserve">total </w:t>
      </w:r>
      <w:r w:rsidRPr="00381F61">
        <w:rPr>
          <w:rFonts w:ascii="Garamond" w:hAnsi="Garamond"/>
        </w:rPr>
        <w:t>2013 gap (20.7%) was 19.4% in 2006.  Part of that is probably caused by the rise in family trust ownerships, though the Census questions tried to capture these</w:t>
      </w:r>
      <w:r w:rsidR="00F9380F" w:rsidRPr="00381F61">
        <w:rPr>
          <w:rFonts w:ascii="Garamond" w:hAnsi="Garamond"/>
        </w:rPr>
        <w:t xml:space="preserve">. </w:t>
      </w:r>
      <w:r w:rsidRPr="00381F61">
        <w:rPr>
          <w:rFonts w:ascii="Garamond" w:hAnsi="Garamond"/>
        </w:rPr>
        <w:t xml:space="preserve"> Gaps in the questions also contributed.</w:t>
      </w:r>
    </w:p>
    <w:p w14:paraId="28C4A87D" w14:textId="77777777" w:rsidR="007C2BE0" w:rsidRPr="00381F61" w:rsidRDefault="007C2BE0" w:rsidP="00E71CEB">
      <w:pPr>
        <w:pStyle w:val="Footer"/>
        <w:jc w:val="both"/>
        <w:rPr>
          <w:rFonts w:ascii="Garamond" w:hAnsi="Garamond"/>
        </w:rPr>
      </w:pPr>
    </w:p>
    <w:p w14:paraId="1B808A5F" w14:textId="75DA88B9" w:rsidR="007C2BE0" w:rsidRPr="00381F61" w:rsidRDefault="007C2BE0" w:rsidP="00E71CEB">
      <w:pPr>
        <w:jc w:val="both"/>
        <w:rPr>
          <w:rFonts w:ascii="Garamond" w:hAnsi="Garamond"/>
        </w:rPr>
      </w:pPr>
      <w:r w:rsidRPr="00381F61">
        <w:rPr>
          <w:rFonts w:ascii="Garamond" w:hAnsi="Garamond"/>
        </w:rPr>
        <w:t xml:space="preserve">If we turn the examination around and try to deduce home-ownership rates from the proportions of occupiers who pay rent, a </w:t>
      </w:r>
      <w:r w:rsidR="005A70A7" w:rsidRPr="00381F61">
        <w:rPr>
          <w:rFonts w:ascii="Garamond" w:hAnsi="Garamond"/>
        </w:rPr>
        <w:t xml:space="preserve">slightly </w:t>
      </w:r>
      <w:r w:rsidRPr="00381F61">
        <w:rPr>
          <w:rFonts w:ascii="Garamond" w:hAnsi="Garamond"/>
        </w:rPr>
        <w:t>different picture emerges.  There were also gaps in renters’ data</w:t>
      </w:r>
      <w:r w:rsidR="00A42E25" w:rsidRPr="00381F61">
        <w:rPr>
          <w:rFonts w:ascii="Garamond" w:hAnsi="Garamond"/>
        </w:rPr>
        <w:t xml:space="preserve"> in 2013</w:t>
      </w:r>
      <w:r w:rsidRPr="00381F61">
        <w:rPr>
          <w:rFonts w:ascii="Garamond" w:hAnsi="Garamond"/>
        </w:rPr>
        <w:t xml:space="preserve"> but </w:t>
      </w:r>
      <w:r w:rsidR="00F9380F" w:rsidRPr="00381F61">
        <w:rPr>
          <w:rFonts w:ascii="Garamond" w:hAnsi="Garamond"/>
        </w:rPr>
        <w:t>29.2</w:t>
      </w:r>
      <w:r w:rsidRPr="00381F61">
        <w:rPr>
          <w:rFonts w:ascii="Garamond" w:hAnsi="Garamond"/>
        </w:rPr>
        <w:t xml:space="preserve">% of all occupied dwellings (453,100) specified the weekly rent </w:t>
      </w:r>
      <w:r w:rsidR="00A42E25" w:rsidRPr="00381F61">
        <w:rPr>
          <w:rFonts w:ascii="Garamond" w:hAnsi="Garamond"/>
        </w:rPr>
        <w:t>then</w:t>
      </w:r>
      <w:r w:rsidR="00A21570" w:rsidRPr="00381F61">
        <w:rPr>
          <w:rFonts w:ascii="Garamond" w:hAnsi="Garamond"/>
        </w:rPr>
        <w:t xml:space="preserve"> being</w:t>
      </w:r>
      <w:r w:rsidR="00A42E25" w:rsidRPr="00381F61">
        <w:rPr>
          <w:rFonts w:ascii="Garamond" w:hAnsi="Garamond"/>
        </w:rPr>
        <w:t xml:space="preserve"> </w:t>
      </w:r>
      <w:r w:rsidRPr="00381F61">
        <w:rPr>
          <w:rFonts w:ascii="Garamond" w:hAnsi="Garamond"/>
        </w:rPr>
        <w:t>paid.  We can probably assume that these rent-payers were arms-length occupiers, in other words, not connected to family trust ownerships where the occupiers might be nominal tenants.</w:t>
      </w:r>
    </w:p>
    <w:p w14:paraId="2D491283" w14:textId="77777777" w:rsidR="007C2BE0" w:rsidRPr="00381F61" w:rsidRDefault="007C2BE0" w:rsidP="00E71CEB">
      <w:pPr>
        <w:jc w:val="both"/>
        <w:rPr>
          <w:rFonts w:ascii="Garamond" w:hAnsi="Garamond"/>
        </w:rPr>
      </w:pPr>
    </w:p>
    <w:p w14:paraId="675807AD" w14:textId="29DB2A81" w:rsidR="007C2BE0" w:rsidRPr="00381F61" w:rsidRDefault="00A42E25" w:rsidP="00E71CEB">
      <w:pPr>
        <w:jc w:val="both"/>
        <w:rPr>
          <w:rFonts w:ascii="Garamond" w:hAnsi="Garamond"/>
        </w:rPr>
      </w:pPr>
      <w:r w:rsidRPr="00381F61">
        <w:rPr>
          <w:rFonts w:ascii="Garamond" w:hAnsi="Garamond"/>
        </w:rPr>
        <w:t>In 1936, ‘r</w:t>
      </w:r>
      <w:r w:rsidR="007C2BE0" w:rsidRPr="00381F61">
        <w:rPr>
          <w:rFonts w:ascii="Garamond" w:hAnsi="Garamond"/>
        </w:rPr>
        <w:t xml:space="preserve">ent payers’ </w:t>
      </w:r>
      <w:r w:rsidR="007E5A2A" w:rsidRPr="00381F61">
        <w:rPr>
          <w:rFonts w:ascii="Garamond" w:hAnsi="Garamond"/>
        </w:rPr>
        <w:t>were</w:t>
      </w:r>
      <w:r w:rsidR="007C2BE0" w:rsidRPr="00381F61">
        <w:rPr>
          <w:rFonts w:ascii="Garamond" w:hAnsi="Garamond"/>
        </w:rPr>
        <w:t xml:space="preserve"> </w:t>
      </w:r>
      <w:r w:rsidR="00F9380F" w:rsidRPr="00381F61">
        <w:rPr>
          <w:rFonts w:ascii="Garamond" w:hAnsi="Garamond"/>
        </w:rPr>
        <w:t>38.6</w:t>
      </w:r>
      <w:r w:rsidR="007C2BE0" w:rsidRPr="00381F61">
        <w:rPr>
          <w:rFonts w:ascii="Garamond" w:hAnsi="Garamond"/>
        </w:rPr>
        <w:t>%</w:t>
      </w:r>
      <w:r w:rsidRPr="00381F61">
        <w:rPr>
          <w:rFonts w:ascii="Garamond" w:hAnsi="Garamond"/>
        </w:rPr>
        <w:t xml:space="preserve"> of occupants</w:t>
      </w:r>
      <w:r w:rsidR="007C2BE0" w:rsidRPr="00381F61">
        <w:rPr>
          <w:rFonts w:ascii="Garamond" w:hAnsi="Garamond"/>
        </w:rPr>
        <w:t xml:space="preserve"> - the proportion has fallen </w:t>
      </w:r>
      <w:r w:rsidR="00EC5817" w:rsidRPr="00381F61">
        <w:rPr>
          <w:rFonts w:ascii="Garamond" w:hAnsi="Garamond"/>
        </w:rPr>
        <w:t xml:space="preserve">in </w:t>
      </w:r>
      <w:r w:rsidR="007C2BE0" w:rsidRPr="00381F61">
        <w:rPr>
          <w:rFonts w:ascii="Garamond" w:hAnsi="Garamond"/>
        </w:rPr>
        <w:t>the 77 years to 2013.</w:t>
      </w:r>
    </w:p>
    <w:p w14:paraId="372B5AC1" w14:textId="77777777" w:rsidR="007C2BE0" w:rsidRPr="00381F61" w:rsidRDefault="007C2BE0" w:rsidP="00E71CEB">
      <w:pPr>
        <w:jc w:val="both"/>
        <w:rPr>
          <w:rFonts w:ascii="Garamond" w:hAnsi="Garamond"/>
        </w:rPr>
      </w:pPr>
    </w:p>
    <w:p w14:paraId="15456EF7" w14:textId="1A1BD511" w:rsidR="007C2BE0" w:rsidRPr="00381F61" w:rsidRDefault="007C2BE0" w:rsidP="00E71CEB">
      <w:pPr>
        <w:jc w:val="both"/>
        <w:rPr>
          <w:rFonts w:ascii="Garamond" w:hAnsi="Garamond"/>
        </w:rPr>
      </w:pPr>
      <w:r w:rsidRPr="00381F61">
        <w:rPr>
          <w:rFonts w:ascii="Garamond" w:hAnsi="Garamond"/>
        </w:rPr>
        <w:t xml:space="preserve">Of more recent note is that the proportion of ‘rent-payers’ has been relatively flat </w:t>
      </w:r>
      <w:r w:rsidR="00F9380F" w:rsidRPr="00381F61">
        <w:rPr>
          <w:rFonts w:ascii="Garamond" w:hAnsi="Garamond"/>
        </w:rPr>
        <w:t>since the early 1950s</w:t>
      </w:r>
      <w:r w:rsidR="007E5A2A" w:rsidRPr="00381F61">
        <w:rPr>
          <w:rFonts w:ascii="Garamond" w:hAnsi="Garamond"/>
        </w:rPr>
        <w:t xml:space="preserve"> though rising slightly in the last 17 years</w:t>
      </w:r>
      <w:r w:rsidRPr="00381F61">
        <w:rPr>
          <w:rFonts w:ascii="Garamond" w:hAnsi="Garamond"/>
        </w:rPr>
        <w:t>, as the chart shows:</w:t>
      </w:r>
    </w:p>
    <w:p w14:paraId="23BEACD5" w14:textId="77777777" w:rsidR="007C2BE0" w:rsidRPr="00381F61" w:rsidRDefault="007C2BE0" w:rsidP="00E71CEB">
      <w:pPr>
        <w:jc w:val="both"/>
        <w:rPr>
          <w:rFonts w:ascii="Garamond" w:hAnsi="Garamond"/>
          <w:sz w:val="22"/>
          <w:szCs w:val="22"/>
        </w:rPr>
      </w:pPr>
    </w:p>
    <w:p w14:paraId="64F93C92" w14:textId="657785BF" w:rsidR="007C2BE0" w:rsidRPr="00381F61" w:rsidRDefault="00632581" w:rsidP="00A21570">
      <w:pPr>
        <w:jc w:val="center"/>
        <w:rPr>
          <w:rFonts w:ascii="Garamond" w:hAnsi="Garamond"/>
          <w:sz w:val="22"/>
          <w:szCs w:val="22"/>
        </w:rPr>
      </w:pPr>
      <w:r w:rsidRPr="00F766D5">
        <w:rPr>
          <w:rFonts w:ascii="Garamond" w:hAnsi="Garamond"/>
          <w:noProof/>
        </w:rPr>
        <w:drawing>
          <wp:inline distT="0" distB="0" distL="0" distR="0" wp14:anchorId="3552D7DD" wp14:editId="6CAD33B9">
            <wp:extent cx="3244424" cy="2299050"/>
            <wp:effectExtent l="0" t="0" r="698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89109" cy="2330715"/>
                    </a:xfrm>
                    <a:prstGeom prst="rect">
                      <a:avLst/>
                    </a:prstGeom>
                  </pic:spPr>
                </pic:pic>
              </a:graphicData>
            </a:graphic>
          </wp:inline>
        </w:drawing>
      </w:r>
    </w:p>
    <w:p w14:paraId="4BA620B7" w14:textId="77777777" w:rsidR="000D6AF4" w:rsidRPr="00381F61" w:rsidRDefault="000D6AF4" w:rsidP="00A21570">
      <w:pPr>
        <w:jc w:val="center"/>
        <w:rPr>
          <w:rFonts w:ascii="Garamond" w:hAnsi="Garamond"/>
          <w:sz w:val="22"/>
          <w:szCs w:val="22"/>
        </w:rPr>
      </w:pPr>
    </w:p>
    <w:p w14:paraId="7B1223DE" w14:textId="06F4D618" w:rsidR="00771ED1" w:rsidRPr="00381F61" w:rsidRDefault="005A70A7" w:rsidP="00771ED1">
      <w:pPr>
        <w:pStyle w:val="Footer"/>
        <w:ind w:left="1843"/>
        <w:jc w:val="both"/>
        <w:rPr>
          <w:rFonts w:ascii="Garamond" w:hAnsi="Garamond"/>
          <w:bCs/>
          <w:sz w:val="20"/>
          <w:szCs w:val="20"/>
        </w:rPr>
      </w:pPr>
      <w:r w:rsidRPr="00381F61">
        <w:rPr>
          <w:rFonts w:ascii="Garamond" w:hAnsi="Garamond"/>
          <w:bCs/>
          <w:sz w:val="20"/>
          <w:szCs w:val="20"/>
        </w:rPr>
        <w:t xml:space="preserve">  </w:t>
      </w:r>
      <w:r w:rsidR="00771ED1" w:rsidRPr="00381F61">
        <w:rPr>
          <w:rFonts w:ascii="Garamond" w:hAnsi="Garamond"/>
          <w:bCs/>
          <w:sz w:val="20"/>
          <w:szCs w:val="20"/>
        </w:rPr>
        <w:t>Source: Statistics New Zealand</w:t>
      </w:r>
      <w:r w:rsidRPr="00381F61">
        <w:rPr>
          <w:rStyle w:val="FootnoteReference"/>
          <w:rFonts w:ascii="Garamond" w:hAnsi="Garamond"/>
          <w:bCs/>
          <w:sz w:val="20"/>
          <w:szCs w:val="20"/>
        </w:rPr>
        <w:footnoteReference w:id="153"/>
      </w:r>
    </w:p>
    <w:p w14:paraId="4383F9FD" w14:textId="77777777" w:rsidR="007375DF" w:rsidRPr="00381F61" w:rsidRDefault="007375DF" w:rsidP="007375DF">
      <w:pPr>
        <w:jc w:val="both"/>
        <w:rPr>
          <w:rFonts w:ascii="Garamond" w:hAnsi="Garamond"/>
        </w:rPr>
      </w:pPr>
    </w:p>
    <w:p w14:paraId="48959B09" w14:textId="52B1D099" w:rsidR="007C2BE0" w:rsidRPr="00381F61" w:rsidRDefault="007C2BE0" w:rsidP="00E71CEB">
      <w:pPr>
        <w:jc w:val="both"/>
        <w:rPr>
          <w:rFonts w:ascii="Garamond" w:hAnsi="Garamond"/>
        </w:rPr>
      </w:pPr>
      <w:r w:rsidRPr="00381F61">
        <w:rPr>
          <w:rFonts w:ascii="Garamond" w:hAnsi="Garamond"/>
        </w:rPr>
        <w:t xml:space="preserve">Rent-payers were </w:t>
      </w:r>
      <w:r w:rsidR="00F9380F" w:rsidRPr="00381F61">
        <w:rPr>
          <w:rFonts w:ascii="Garamond" w:hAnsi="Garamond"/>
        </w:rPr>
        <w:t>26.9</w:t>
      </w:r>
      <w:r w:rsidRPr="00381F61">
        <w:rPr>
          <w:rFonts w:ascii="Garamond" w:hAnsi="Garamond"/>
        </w:rPr>
        <w:t xml:space="preserve">% of </w:t>
      </w:r>
      <w:r w:rsidRPr="00381F61">
        <w:rPr>
          <w:rFonts w:ascii="Garamond" w:hAnsi="Garamond"/>
          <w:i/>
        </w:rPr>
        <w:t>occupied</w:t>
      </w:r>
      <w:r w:rsidRPr="00381F61">
        <w:rPr>
          <w:rFonts w:ascii="Garamond" w:hAnsi="Garamond"/>
        </w:rPr>
        <w:t xml:space="preserve"> dwellings in 1976.  In 2013, </w:t>
      </w:r>
      <w:r w:rsidR="00F9380F" w:rsidRPr="00381F61">
        <w:rPr>
          <w:rFonts w:ascii="Garamond" w:hAnsi="Garamond"/>
        </w:rPr>
        <w:t>29.2</w:t>
      </w:r>
      <w:r w:rsidRPr="00381F61">
        <w:rPr>
          <w:rFonts w:ascii="Garamond" w:hAnsi="Garamond"/>
        </w:rPr>
        <w:t>% of all occupiers were paying rent to the owner.</w:t>
      </w:r>
      <w:r w:rsidR="00A42E25" w:rsidRPr="00381F61">
        <w:rPr>
          <w:rFonts w:ascii="Garamond" w:hAnsi="Garamond"/>
        </w:rPr>
        <w:t xml:space="preserve">  </w:t>
      </w:r>
      <w:r w:rsidR="003D05E4" w:rsidRPr="00381F61">
        <w:rPr>
          <w:rFonts w:ascii="Garamond" w:hAnsi="Garamond"/>
        </w:rPr>
        <w:t>That’s up from a low of 22.7% in 1991.  However, r</w:t>
      </w:r>
      <w:r w:rsidR="00A42E25" w:rsidRPr="00381F61">
        <w:rPr>
          <w:rFonts w:ascii="Garamond" w:hAnsi="Garamond"/>
        </w:rPr>
        <w:t xml:space="preserve">ent-payers have been less than 30% of </w:t>
      </w:r>
      <w:r w:rsidR="003D05E4" w:rsidRPr="00381F61">
        <w:rPr>
          <w:rFonts w:ascii="Garamond" w:hAnsi="Garamond"/>
        </w:rPr>
        <w:t xml:space="preserve">all occupied dwellings </w:t>
      </w:r>
      <w:r w:rsidR="00F9380F" w:rsidRPr="00381F61">
        <w:rPr>
          <w:rFonts w:ascii="Garamond" w:hAnsi="Garamond"/>
        </w:rPr>
        <w:t>since 1956</w:t>
      </w:r>
      <w:r w:rsidR="00AF66FE" w:rsidRPr="00381F61">
        <w:rPr>
          <w:rFonts w:ascii="Garamond" w:hAnsi="Garamond"/>
        </w:rPr>
        <w:t xml:space="preserve"> </w:t>
      </w:r>
      <w:r w:rsidR="006E28E9" w:rsidRPr="00381F61">
        <w:rPr>
          <w:rFonts w:ascii="Garamond" w:hAnsi="Garamond"/>
        </w:rPr>
        <w:t xml:space="preserve">(simple average over the </w:t>
      </w:r>
      <w:r w:rsidR="00E63926" w:rsidRPr="00381F61">
        <w:rPr>
          <w:rFonts w:ascii="Garamond" w:hAnsi="Garamond"/>
        </w:rPr>
        <w:t xml:space="preserve">12 </w:t>
      </w:r>
      <w:r w:rsidR="006E28E9" w:rsidRPr="00381F61">
        <w:rPr>
          <w:rFonts w:ascii="Garamond" w:hAnsi="Garamond"/>
        </w:rPr>
        <w:t>censuses was 25.</w:t>
      </w:r>
      <w:r w:rsidR="00F9380F" w:rsidRPr="00381F61">
        <w:rPr>
          <w:rFonts w:ascii="Garamond" w:hAnsi="Garamond"/>
        </w:rPr>
        <w:t>3</w:t>
      </w:r>
      <w:r w:rsidR="006E28E9" w:rsidRPr="00381F61">
        <w:rPr>
          <w:rFonts w:ascii="Garamond" w:hAnsi="Garamond"/>
        </w:rPr>
        <w:t>%).</w:t>
      </w:r>
    </w:p>
    <w:p w14:paraId="67A51C50" w14:textId="77777777" w:rsidR="007C2BE0" w:rsidRPr="00381F61" w:rsidRDefault="007C2BE0" w:rsidP="00E71CEB">
      <w:pPr>
        <w:jc w:val="both"/>
        <w:rPr>
          <w:rFonts w:ascii="Garamond" w:hAnsi="Garamond"/>
          <w:sz w:val="22"/>
          <w:szCs w:val="22"/>
        </w:rPr>
      </w:pPr>
    </w:p>
    <w:p w14:paraId="2E69749F" w14:textId="182F4DD6" w:rsidR="007C2BE0" w:rsidRPr="00381F61" w:rsidRDefault="007C2BE0" w:rsidP="00E71CEB">
      <w:pPr>
        <w:jc w:val="both"/>
        <w:rPr>
          <w:rFonts w:ascii="Garamond" w:hAnsi="Garamond"/>
        </w:rPr>
      </w:pPr>
      <w:r w:rsidRPr="00381F61">
        <w:rPr>
          <w:rFonts w:ascii="Garamond" w:hAnsi="Garamond"/>
        </w:rPr>
        <w:t xml:space="preserve">If </w:t>
      </w:r>
      <w:r w:rsidR="009B3892" w:rsidRPr="00381F61">
        <w:rPr>
          <w:rFonts w:ascii="Garamond" w:hAnsi="Garamond"/>
        </w:rPr>
        <w:t xml:space="preserve">home-ownership </w:t>
      </w:r>
      <w:r w:rsidRPr="00381F61">
        <w:rPr>
          <w:rFonts w:ascii="Garamond" w:hAnsi="Garamond"/>
        </w:rPr>
        <w:t>really w</w:t>
      </w:r>
      <w:r w:rsidR="000F1A39" w:rsidRPr="00381F61">
        <w:rPr>
          <w:rFonts w:ascii="Garamond" w:hAnsi="Garamond"/>
        </w:rPr>
        <w:t>as</w:t>
      </w:r>
      <w:r w:rsidRPr="00381F61">
        <w:rPr>
          <w:rFonts w:ascii="Garamond" w:hAnsi="Garamond"/>
        </w:rPr>
        <w:t xml:space="preserve"> falling, we should expect rising, rather than relatively flat rent-paying occupancy rates </w:t>
      </w:r>
      <w:r w:rsidR="00F9380F" w:rsidRPr="00381F61">
        <w:rPr>
          <w:rFonts w:ascii="Garamond" w:hAnsi="Garamond"/>
        </w:rPr>
        <w:t>since 1956</w:t>
      </w:r>
      <w:r w:rsidRPr="00381F61">
        <w:rPr>
          <w:rFonts w:ascii="Garamond" w:hAnsi="Garamond"/>
        </w:rPr>
        <w:t xml:space="preserve">.  </w:t>
      </w:r>
      <w:r w:rsidR="009B3892" w:rsidRPr="00381F61">
        <w:rPr>
          <w:rFonts w:ascii="Garamond" w:hAnsi="Garamond"/>
        </w:rPr>
        <w:t>Given the gaps in the data, we cannot draw any definit</w:t>
      </w:r>
      <w:r w:rsidR="007672AB" w:rsidRPr="00381F61">
        <w:rPr>
          <w:rFonts w:ascii="Garamond" w:hAnsi="Garamond"/>
        </w:rPr>
        <w:t>iv</w:t>
      </w:r>
      <w:r w:rsidR="009B3892" w:rsidRPr="00381F61">
        <w:rPr>
          <w:rFonts w:ascii="Garamond" w:hAnsi="Garamond"/>
        </w:rPr>
        <w:t>e conclusions from the two charts.</w:t>
      </w:r>
    </w:p>
    <w:p w14:paraId="674E41A6" w14:textId="77777777" w:rsidR="007C2BE0" w:rsidRPr="00381F61" w:rsidRDefault="007C2BE0" w:rsidP="00E71CEB">
      <w:pPr>
        <w:pStyle w:val="BodyText2"/>
        <w:spacing w:after="0" w:line="240" w:lineRule="auto"/>
        <w:jc w:val="both"/>
        <w:rPr>
          <w:rFonts w:ascii="Garamond" w:hAnsi="Garamond"/>
          <w:lang w:val="en-GB"/>
        </w:rPr>
      </w:pPr>
    </w:p>
    <w:p w14:paraId="40395D23" w14:textId="000E4400" w:rsidR="007C2BE0" w:rsidRPr="00381F61" w:rsidRDefault="007C2BE0" w:rsidP="00E71CEB">
      <w:pPr>
        <w:pStyle w:val="BodyText2"/>
        <w:spacing w:after="0" w:line="240" w:lineRule="auto"/>
        <w:jc w:val="both"/>
        <w:rPr>
          <w:rFonts w:ascii="Garamond" w:hAnsi="Garamond"/>
          <w:lang w:val="en-GB"/>
        </w:rPr>
      </w:pPr>
      <w:r w:rsidRPr="00381F61">
        <w:rPr>
          <w:rFonts w:ascii="Garamond" w:hAnsi="Garamond"/>
          <w:lang w:val="en-GB"/>
        </w:rPr>
        <w:t>Stat</w:t>
      </w:r>
      <w:r w:rsidR="005F5577" w:rsidRPr="00381F61">
        <w:rPr>
          <w:rFonts w:ascii="Garamond" w:hAnsi="Garamond"/>
          <w:lang w:val="en-GB"/>
        </w:rPr>
        <w:t>sNZ</w:t>
      </w:r>
      <w:r w:rsidRPr="00381F61">
        <w:rPr>
          <w:rFonts w:ascii="Garamond" w:hAnsi="Garamond"/>
          <w:lang w:val="en-GB"/>
        </w:rPr>
        <w:t xml:space="preserve"> has tried since 1996</w:t>
      </w:r>
      <w:r w:rsidRPr="00381F61">
        <w:rPr>
          <w:rFonts w:ascii="Garamond" w:hAnsi="Garamond"/>
        </w:rPr>
        <w:t xml:space="preserve"> </w:t>
      </w:r>
      <w:r w:rsidRPr="00381F61">
        <w:rPr>
          <w:rFonts w:ascii="Garamond" w:hAnsi="Garamond"/>
          <w:lang w:val="en-GB"/>
        </w:rPr>
        <w:t>to understand the impact of fam</w:t>
      </w:r>
      <w:r w:rsidR="00892CBE" w:rsidRPr="00381F61">
        <w:rPr>
          <w:rFonts w:ascii="Garamond" w:hAnsi="Garamond"/>
          <w:lang w:val="en-GB"/>
        </w:rPr>
        <w:t>ily trusts on housing tenure.  However, u</w:t>
      </w:r>
      <w:r w:rsidRPr="00381F61">
        <w:rPr>
          <w:rFonts w:ascii="Garamond" w:hAnsi="Garamond"/>
          <w:lang w:val="en-GB"/>
        </w:rPr>
        <w:t>ncertainty about the influence of family trusts on ownership statistics has grown over the 17 years to 2013.  We do know that the number of dwellings affected by family trust ownership grew by at least 28% in the seven years to 2013 (to 13.7% of all occupied dwellings).</w:t>
      </w:r>
    </w:p>
    <w:p w14:paraId="73B6EDC4" w14:textId="77777777" w:rsidR="007C2BE0" w:rsidRPr="00381F61" w:rsidRDefault="007C2BE0" w:rsidP="00E71CEB">
      <w:pPr>
        <w:pStyle w:val="BodyText2"/>
        <w:spacing w:after="0" w:line="240" w:lineRule="auto"/>
        <w:jc w:val="both"/>
        <w:rPr>
          <w:rFonts w:ascii="Garamond" w:hAnsi="Garamond"/>
          <w:lang w:val="en-GB"/>
        </w:rPr>
      </w:pPr>
    </w:p>
    <w:p w14:paraId="4BCC612D" w14:textId="7C84B126" w:rsidR="007C2BE0" w:rsidRPr="00381F61" w:rsidRDefault="007C2BE0" w:rsidP="00E71CEB">
      <w:pPr>
        <w:pStyle w:val="BodyText2"/>
        <w:spacing w:after="0" w:line="240" w:lineRule="auto"/>
        <w:jc w:val="both"/>
        <w:rPr>
          <w:rFonts w:ascii="Garamond" w:hAnsi="Garamond"/>
          <w:lang w:val="en-GB"/>
        </w:rPr>
      </w:pPr>
      <w:r w:rsidRPr="00381F61">
        <w:rPr>
          <w:rFonts w:ascii="Garamond" w:hAnsi="Garamond"/>
          <w:lang w:val="en-GB"/>
        </w:rPr>
        <w:t xml:space="preserve">The home-owning proportion of the population may have fallen since the </w:t>
      </w:r>
      <w:r w:rsidR="00F9380F" w:rsidRPr="00381F61">
        <w:rPr>
          <w:rFonts w:ascii="Garamond" w:hAnsi="Garamond"/>
          <w:lang w:val="en-GB"/>
        </w:rPr>
        <w:t>1986-</w:t>
      </w:r>
      <w:r w:rsidRPr="00381F61">
        <w:rPr>
          <w:rFonts w:ascii="Garamond" w:hAnsi="Garamond"/>
          <w:lang w:val="en-GB"/>
        </w:rPr>
        <w:t>1991 Census</w:t>
      </w:r>
      <w:r w:rsidR="00F9380F" w:rsidRPr="00381F61">
        <w:rPr>
          <w:rFonts w:ascii="Garamond" w:hAnsi="Garamond"/>
          <w:lang w:val="en-GB"/>
        </w:rPr>
        <w:t>es</w:t>
      </w:r>
      <w:r w:rsidR="002478D2" w:rsidRPr="00381F61">
        <w:rPr>
          <w:rFonts w:ascii="Garamond" w:hAnsi="Garamond"/>
          <w:lang w:val="en-GB"/>
        </w:rPr>
        <w:t xml:space="preserve">, </w:t>
      </w:r>
      <w:r w:rsidR="006E28E9" w:rsidRPr="00381F61">
        <w:rPr>
          <w:rFonts w:ascii="Garamond" w:hAnsi="Garamond"/>
          <w:lang w:val="en-GB"/>
        </w:rPr>
        <w:t xml:space="preserve">when ‘declared’ ownerships </w:t>
      </w:r>
      <w:r w:rsidR="00F9380F" w:rsidRPr="00381F61">
        <w:rPr>
          <w:rFonts w:ascii="Garamond" w:hAnsi="Garamond"/>
          <w:lang w:val="en-GB"/>
        </w:rPr>
        <w:t>in 1991</w:t>
      </w:r>
      <w:r w:rsidR="006E28E9" w:rsidRPr="00381F61">
        <w:rPr>
          <w:rFonts w:ascii="Garamond" w:hAnsi="Garamond"/>
          <w:lang w:val="en-GB"/>
        </w:rPr>
        <w:t>were 7</w:t>
      </w:r>
      <w:r w:rsidR="00F9380F" w:rsidRPr="00381F61">
        <w:rPr>
          <w:rFonts w:ascii="Garamond" w:hAnsi="Garamond"/>
          <w:lang w:val="en-GB"/>
        </w:rPr>
        <w:t>2.4</w:t>
      </w:r>
      <w:r w:rsidR="006E28E9" w:rsidRPr="00381F61">
        <w:rPr>
          <w:rFonts w:ascii="Garamond" w:hAnsi="Garamond"/>
          <w:lang w:val="en-GB"/>
        </w:rPr>
        <w:t>% of all ‘declared’ occupiers</w:t>
      </w:r>
      <w:r w:rsidR="00FD317E" w:rsidRPr="00381F61">
        <w:rPr>
          <w:rStyle w:val="FootnoteReference"/>
          <w:rFonts w:ascii="Garamond" w:hAnsi="Garamond"/>
          <w:lang w:val="en-GB"/>
        </w:rPr>
        <w:footnoteReference w:id="154"/>
      </w:r>
      <w:r w:rsidRPr="00381F61">
        <w:rPr>
          <w:rFonts w:ascii="Garamond" w:hAnsi="Garamond"/>
          <w:lang w:val="en-GB"/>
        </w:rPr>
        <w:t>.  However, given the gaps in the data, a more reliable indicator of tenure trends may be the proportion of occupiers who are paying an identified amount of rent rather than the so-called ‘</w:t>
      </w:r>
      <w:proofErr w:type="gramStart"/>
      <w:r w:rsidRPr="00381F61">
        <w:rPr>
          <w:rFonts w:ascii="Garamond" w:hAnsi="Garamond"/>
          <w:lang w:val="en-GB"/>
        </w:rPr>
        <w:t>owners’</w:t>
      </w:r>
      <w:proofErr w:type="gramEnd"/>
      <w:r w:rsidRPr="00381F61">
        <w:rPr>
          <w:rFonts w:ascii="Garamond" w:hAnsi="Garamond"/>
          <w:lang w:val="en-GB"/>
        </w:rPr>
        <w:t xml:space="preserve">.  That proportion of rent-payers hasn’t changed much in </w:t>
      </w:r>
      <w:r w:rsidR="009B3892" w:rsidRPr="00381F61">
        <w:rPr>
          <w:rFonts w:ascii="Garamond" w:hAnsi="Garamond"/>
          <w:lang w:val="en-GB"/>
        </w:rPr>
        <w:t>the last 60 years</w:t>
      </w:r>
      <w:r w:rsidRPr="00381F61">
        <w:rPr>
          <w:rFonts w:ascii="Garamond" w:hAnsi="Garamond"/>
          <w:lang w:val="en-GB"/>
        </w:rPr>
        <w:t>.</w:t>
      </w:r>
    </w:p>
    <w:p w14:paraId="7AB8E79E" w14:textId="77777777" w:rsidR="007C2BE0" w:rsidRPr="00381F61" w:rsidRDefault="007C2BE0" w:rsidP="00E71CEB">
      <w:pPr>
        <w:pStyle w:val="BodyText2"/>
        <w:spacing w:after="0" w:line="240" w:lineRule="auto"/>
        <w:jc w:val="both"/>
        <w:rPr>
          <w:rFonts w:ascii="Garamond" w:hAnsi="Garamond"/>
          <w:lang w:val="en-GB"/>
        </w:rPr>
      </w:pPr>
    </w:p>
    <w:p w14:paraId="229A844C" w14:textId="6D03F08B" w:rsidR="007C2BE0" w:rsidRPr="00381F61" w:rsidRDefault="007C2BE0" w:rsidP="00E71CEB">
      <w:pPr>
        <w:pStyle w:val="BodyText2"/>
        <w:spacing w:after="0" w:line="240" w:lineRule="auto"/>
        <w:jc w:val="both"/>
        <w:rPr>
          <w:rFonts w:ascii="Garamond" w:hAnsi="Garamond"/>
          <w:lang w:val="en-GB"/>
        </w:rPr>
      </w:pPr>
      <w:r w:rsidRPr="00381F61">
        <w:rPr>
          <w:rFonts w:ascii="Garamond" w:hAnsi="Garamond"/>
          <w:lang w:val="en-GB"/>
        </w:rPr>
        <w:t xml:space="preserve">We cannot draw any particular conclusion about home-ownership trends from Census data.  </w:t>
      </w:r>
      <w:r w:rsidR="007672AB" w:rsidRPr="00381F61">
        <w:rPr>
          <w:rFonts w:ascii="Garamond" w:hAnsi="Garamond"/>
          <w:lang w:val="en-GB"/>
        </w:rPr>
        <w:t xml:space="preserve">On ‘ownership’ all we can really say is that, of the 79.3% of all dwellings for which we have some details on tenure in 2013, 60.7% either own them directly or through a family trust.  </w:t>
      </w:r>
      <w:r w:rsidRPr="00381F61">
        <w:rPr>
          <w:rFonts w:ascii="Garamond" w:hAnsi="Garamond"/>
          <w:lang w:val="en-GB"/>
        </w:rPr>
        <w:t>That is not good enough.</w:t>
      </w:r>
      <w:r w:rsidR="006E28E9" w:rsidRPr="00381F61">
        <w:rPr>
          <w:rFonts w:ascii="Garamond" w:hAnsi="Garamond"/>
          <w:lang w:val="en-GB"/>
        </w:rPr>
        <w:t xml:space="preserve">  The questions </w:t>
      </w:r>
      <w:r w:rsidR="00D76A75" w:rsidRPr="00381F61">
        <w:rPr>
          <w:rFonts w:ascii="Garamond" w:hAnsi="Garamond"/>
          <w:lang w:val="en-GB"/>
        </w:rPr>
        <w:t xml:space="preserve">did </w:t>
      </w:r>
      <w:r w:rsidR="006E28E9" w:rsidRPr="00381F61">
        <w:rPr>
          <w:rFonts w:ascii="Garamond" w:hAnsi="Garamond"/>
          <w:lang w:val="en-GB"/>
        </w:rPr>
        <w:t>change for the 2018 Census</w:t>
      </w:r>
      <w:r w:rsidR="00D76A75" w:rsidRPr="00381F61">
        <w:rPr>
          <w:rFonts w:ascii="Garamond" w:hAnsi="Garamond"/>
          <w:lang w:val="en-GB"/>
        </w:rPr>
        <w:t xml:space="preserve"> but, potentially, opened up the possibility of further gaps.  However, until we see data from the 2018 Census, we will not be able to see whether the known gaps have worsened.  We expect that will be the case</w:t>
      </w:r>
      <w:r w:rsidR="00D76A75" w:rsidRPr="00381F61">
        <w:rPr>
          <w:rStyle w:val="FootnoteReference"/>
          <w:rFonts w:ascii="Garamond" w:hAnsi="Garamond"/>
          <w:lang w:val="en-GB"/>
        </w:rPr>
        <w:footnoteReference w:id="155"/>
      </w:r>
      <w:r w:rsidR="00D76A75" w:rsidRPr="00381F61">
        <w:rPr>
          <w:rFonts w:ascii="Garamond" w:hAnsi="Garamond"/>
          <w:lang w:val="en-GB"/>
        </w:rPr>
        <w:t>.</w:t>
      </w:r>
    </w:p>
    <w:p w14:paraId="5C22C950" w14:textId="77777777" w:rsidR="00A21570" w:rsidRPr="00381F61" w:rsidRDefault="00A21570" w:rsidP="00E71CEB">
      <w:pPr>
        <w:pStyle w:val="BodyText2"/>
        <w:spacing w:after="0" w:line="240" w:lineRule="auto"/>
        <w:jc w:val="both"/>
        <w:rPr>
          <w:rFonts w:ascii="Garamond" w:hAnsi="Garamond"/>
          <w:lang w:val="en-GB"/>
        </w:rPr>
      </w:pPr>
    </w:p>
    <w:p w14:paraId="3D91EE8F" w14:textId="03DC7EE8" w:rsidR="00A21570" w:rsidRPr="00381F61" w:rsidRDefault="00A21570" w:rsidP="00E71CEB">
      <w:pPr>
        <w:pStyle w:val="BodyText2"/>
        <w:spacing w:after="0" w:line="240" w:lineRule="auto"/>
        <w:jc w:val="both"/>
        <w:rPr>
          <w:rFonts w:ascii="Garamond" w:hAnsi="Garamond"/>
          <w:lang w:val="en-GB"/>
        </w:rPr>
      </w:pPr>
      <w:r w:rsidRPr="00381F61">
        <w:rPr>
          <w:rFonts w:ascii="Garamond" w:hAnsi="Garamond"/>
          <w:lang w:val="en-GB"/>
        </w:rPr>
        <w:t xml:space="preserve">No-one really knows whether home-ownership rates are currently falling and, in the context of New Zealanders’ financial preparation for retirement, </w:t>
      </w:r>
      <w:r w:rsidR="00E63926" w:rsidRPr="00381F61">
        <w:rPr>
          <w:rFonts w:ascii="Garamond" w:hAnsi="Garamond"/>
          <w:lang w:val="en-GB"/>
        </w:rPr>
        <w:t>we need better information</w:t>
      </w:r>
      <w:r w:rsidRPr="00381F61">
        <w:rPr>
          <w:rFonts w:ascii="Garamond" w:hAnsi="Garamond"/>
          <w:lang w:val="en-GB"/>
        </w:rPr>
        <w:t>.</w:t>
      </w:r>
      <w:r w:rsidR="00D7644A" w:rsidRPr="00381F61">
        <w:rPr>
          <w:rFonts w:ascii="Garamond" w:hAnsi="Garamond"/>
          <w:lang w:val="en-GB"/>
        </w:rPr>
        <w:t xml:space="preserve">  We cannot even start a discussion about home ownership</w:t>
      </w:r>
      <w:r w:rsidR="00B32969" w:rsidRPr="00381F61">
        <w:rPr>
          <w:rFonts w:ascii="Garamond" w:hAnsi="Garamond"/>
          <w:lang w:val="en-GB"/>
        </w:rPr>
        <w:t xml:space="preserve"> issues</w:t>
      </w:r>
      <w:r w:rsidR="00D7644A" w:rsidRPr="00381F61">
        <w:rPr>
          <w:rFonts w:ascii="Garamond" w:hAnsi="Garamond"/>
          <w:lang w:val="en-GB"/>
        </w:rPr>
        <w:t xml:space="preserve"> without answers to some fairly basic questions.</w:t>
      </w:r>
      <w:r w:rsidR="000A252D" w:rsidRPr="00381F61">
        <w:rPr>
          <w:rFonts w:ascii="Garamond" w:hAnsi="Garamond"/>
          <w:lang w:val="en-GB"/>
        </w:rPr>
        <w:t xml:space="preserve">  If policy decisions </w:t>
      </w:r>
      <w:r w:rsidR="003B05FE" w:rsidRPr="00381F61">
        <w:rPr>
          <w:rFonts w:ascii="Garamond" w:hAnsi="Garamond"/>
          <w:lang w:val="en-GB"/>
        </w:rPr>
        <w:t xml:space="preserve">are made on the basis of the </w:t>
      </w:r>
      <w:r w:rsidR="00770FD2" w:rsidRPr="00381F61">
        <w:rPr>
          <w:rFonts w:ascii="Garamond" w:hAnsi="Garamond"/>
          <w:lang w:val="en-GB"/>
        </w:rPr>
        <w:t>C</w:t>
      </w:r>
      <w:r w:rsidR="003B05FE" w:rsidRPr="00381F61">
        <w:rPr>
          <w:rFonts w:ascii="Garamond" w:hAnsi="Garamond"/>
          <w:lang w:val="en-GB"/>
        </w:rPr>
        <w:t xml:space="preserve">ensus data, there is a risk that the wrong decisions </w:t>
      </w:r>
      <w:r w:rsidR="00770FD2" w:rsidRPr="00381F61">
        <w:rPr>
          <w:rFonts w:ascii="Garamond" w:hAnsi="Garamond"/>
          <w:lang w:val="en-GB"/>
        </w:rPr>
        <w:t>will be</w:t>
      </w:r>
      <w:r w:rsidR="003B05FE" w:rsidRPr="00381F61">
        <w:rPr>
          <w:rFonts w:ascii="Garamond" w:hAnsi="Garamond"/>
          <w:lang w:val="en-GB"/>
        </w:rPr>
        <w:t xml:space="preserve"> made.</w:t>
      </w:r>
    </w:p>
    <w:p w14:paraId="6D7AF4EA" w14:textId="3D02A631" w:rsidR="007C2BE0" w:rsidRPr="00381F61" w:rsidRDefault="007C2BE0" w:rsidP="00E71CEB">
      <w:pPr>
        <w:jc w:val="both"/>
        <w:rPr>
          <w:rFonts w:ascii="Garamond" w:hAnsi="Garamond"/>
          <w:b/>
        </w:rPr>
      </w:pPr>
    </w:p>
    <w:p w14:paraId="24EDD910" w14:textId="77777777" w:rsidR="00B44025" w:rsidRPr="00381F61" w:rsidRDefault="00B44025" w:rsidP="00B44025">
      <w:pPr>
        <w:jc w:val="both"/>
        <w:rPr>
          <w:rFonts w:ascii="Garamond" w:hAnsi="Garamond"/>
        </w:rPr>
      </w:pPr>
      <w:r w:rsidRPr="00381F61">
        <w:rPr>
          <w:rFonts w:ascii="Garamond" w:hAnsi="Garamond"/>
          <w:b/>
        </w:rPr>
        <w:t>Terms of reference for 2019 Review</w:t>
      </w:r>
    </w:p>
    <w:p w14:paraId="53AD12DA" w14:textId="77777777" w:rsidR="00B44025" w:rsidRPr="00381F61" w:rsidRDefault="00B44025" w:rsidP="00B44025">
      <w:pPr>
        <w:jc w:val="both"/>
        <w:rPr>
          <w:rFonts w:ascii="Garamond" w:hAnsi="Garamond"/>
        </w:rPr>
      </w:pPr>
    </w:p>
    <w:p w14:paraId="31B91F72" w14:textId="77777777" w:rsidR="00B44025" w:rsidRPr="00381F61" w:rsidRDefault="00B44025" w:rsidP="00B44025">
      <w:pPr>
        <w:jc w:val="both"/>
        <w:rPr>
          <w:rFonts w:ascii="Garamond" w:hAnsi="Garamond"/>
        </w:rPr>
      </w:pPr>
      <w:r w:rsidRPr="00381F61">
        <w:rPr>
          <w:rFonts w:ascii="Garamond" w:hAnsi="Garamond"/>
        </w:rPr>
        <w:t>The Terms of Reference for the Retirement Commissioner’s 2019 Review do potentially allow for coverage of some of the issues raised in this section.  The Review is asked for:</w:t>
      </w:r>
    </w:p>
    <w:p w14:paraId="25F8219F" w14:textId="77777777" w:rsidR="00B44025" w:rsidRPr="00381F61" w:rsidRDefault="00B44025" w:rsidP="00B44025">
      <w:pPr>
        <w:pStyle w:val="ListParagraph"/>
        <w:widowControl w:val="0"/>
        <w:tabs>
          <w:tab w:val="left" w:pos="1187"/>
        </w:tabs>
        <w:autoSpaceDE w:val="0"/>
        <w:autoSpaceDN w:val="0"/>
        <w:ind w:left="284" w:right="411"/>
        <w:contextualSpacing w:val="0"/>
        <w:rPr>
          <w:rFonts w:ascii="Garamond" w:hAnsi="Garamond"/>
          <w:sz w:val="8"/>
          <w:szCs w:val="8"/>
        </w:rPr>
      </w:pPr>
    </w:p>
    <w:p w14:paraId="5025B561" w14:textId="35258CE1" w:rsidR="00B44025" w:rsidRPr="00381F61" w:rsidRDefault="00B44025" w:rsidP="00701CA1">
      <w:pPr>
        <w:pStyle w:val="ListParagraph"/>
        <w:widowControl w:val="0"/>
        <w:tabs>
          <w:tab w:val="left" w:pos="1186"/>
          <w:tab w:val="left" w:pos="1187"/>
        </w:tabs>
        <w:autoSpaceDE w:val="0"/>
        <w:autoSpaceDN w:val="0"/>
        <w:ind w:left="284" w:right="-52"/>
        <w:contextualSpacing w:val="0"/>
        <w:rPr>
          <w:rFonts w:ascii="Garamond" w:hAnsi="Garamond"/>
          <w:color w:val="1A1A1A"/>
          <w:sz w:val="22"/>
          <w:szCs w:val="22"/>
        </w:rPr>
      </w:pPr>
      <w:r w:rsidRPr="00381F61">
        <w:rPr>
          <w:rFonts w:ascii="Garamond" w:hAnsi="Garamond"/>
          <w:sz w:val="22"/>
          <w:szCs w:val="22"/>
        </w:rPr>
        <w:t>“</w:t>
      </w:r>
      <w:r w:rsidRPr="00381F61">
        <w:rPr>
          <w:rFonts w:ascii="Garamond" w:hAnsi="Garamond"/>
          <w:color w:val="1A1A1A"/>
          <w:sz w:val="22"/>
          <w:szCs w:val="22"/>
        </w:rPr>
        <w:t>An</w:t>
      </w:r>
      <w:r w:rsidRPr="00381F61">
        <w:rPr>
          <w:rFonts w:ascii="Garamond" w:hAnsi="Garamond"/>
          <w:color w:val="1A1A1A"/>
          <w:spacing w:val="-10"/>
          <w:sz w:val="22"/>
          <w:szCs w:val="22"/>
        </w:rPr>
        <w:t xml:space="preserve"> </w:t>
      </w:r>
      <w:r w:rsidRPr="00381F61">
        <w:rPr>
          <w:rFonts w:ascii="Garamond" w:hAnsi="Garamond"/>
          <w:color w:val="1A1A1A"/>
          <w:sz w:val="22"/>
          <w:szCs w:val="22"/>
        </w:rPr>
        <w:t>assessment</w:t>
      </w:r>
      <w:r w:rsidRPr="00381F61">
        <w:rPr>
          <w:rFonts w:ascii="Garamond" w:hAnsi="Garamond"/>
          <w:color w:val="1A1A1A"/>
          <w:spacing w:val="1"/>
          <w:sz w:val="22"/>
          <w:szCs w:val="22"/>
        </w:rPr>
        <w:t xml:space="preserve"> </w:t>
      </w:r>
      <w:r w:rsidRPr="00381F61">
        <w:rPr>
          <w:rFonts w:ascii="Garamond" w:hAnsi="Garamond"/>
          <w:color w:val="1A1A1A"/>
          <w:sz w:val="22"/>
          <w:szCs w:val="22"/>
        </w:rPr>
        <w:t>of</w:t>
      </w:r>
      <w:r w:rsidRPr="00381F61">
        <w:rPr>
          <w:rFonts w:ascii="Garamond" w:hAnsi="Garamond"/>
          <w:color w:val="1A1A1A"/>
          <w:spacing w:val="-6"/>
          <w:sz w:val="22"/>
          <w:szCs w:val="22"/>
        </w:rPr>
        <w:t xml:space="preserve"> </w:t>
      </w:r>
      <w:r w:rsidRPr="00381F61">
        <w:rPr>
          <w:rFonts w:ascii="Garamond" w:hAnsi="Garamond"/>
          <w:color w:val="1A1A1A"/>
          <w:sz w:val="22"/>
          <w:szCs w:val="22"/>
        </w:rPr>
        <w:t>the</w:t>
      </w:r>
      <w:r w:rsidRPr="00381F61">
        <w:rPr>
          <w:rFonts w:ascii="Garamond" w:hAnsi="Garamond"/>
          <w:color w:val="1A1A1A"/>
          <w:spacing w:val="-11"/>
          <w:sz w:val="22"/>
          <w:szCs w:val="22"/>
        </w:rPr>
        <w:t xml:space="preserve"> </w:t>
      </w:r>
      <w:r w:rsidRPr="00381F61">
        <w:rPr>
          <w:rFonts w:ascii="Garamond" w:hAnsi="Garamond"/>
          <w:color w:val="1A1A1A"/>
          <w:sz w:val="22"/>
          <w:szCs w:val="22"/>
        </w:rPr>
        <w:t>impact that</w:t>
      </w:r>
      <w:r w:rsidRPr="00381F61">
        <w:rPr>
          <w:rFonts w:ascii="Garamond" w:hAnsi="Garamond"/>
          <w:color w:val="1A1A1A"/>
          <w:spacing w:val="-6"/>
          <w:sz w:val="22"/>
          <w:szCs w:val="22"/>
        </w:rPr>
        <w:t xml:space="preserve"> </w:t>
      </w:r>
      <w:r w:rsidRPr="00381F61">
        <w:rPr>
          <w:rFonts w:ascii="Garamond" w:hAnsi="Garamond"/>
          <w:color w:val="1A1A1A"/>
          <w:sz w:val="22"/>
          <w:szCs w:val="22"/>
        </w:rPr>
        <w:t>the</w:t>
      </w:r>
      <w:r w:rsidRPr="00381F61">
        <w:rPr>
          <w:rFonts w:ascii="Garamond" w:hAnsi="Garamond"/>
          <w:color w:val="1A1A1A"/>
          <w:spacing w:val="-8"/>
          <w:sz w:val="22"/>
          <w:szCs w:val="22"/>
        </w:rPr>
        <w:t xml:space="preserve"> </w:t>
      </w:r>
      <w:r w:rsidRPr="00381F61">
        <w:rPr>
          <w:rFonts w:ascii="Garamond" w:hAnsi="Garamond"/>
          <w:color w:val="1A1A1A"/>
          <w:sz w:val="22"/>
          <w:szCs w:val="22"/>
        </w:rPr>
        <w:t>following</w:t>
      </w:r>
      <w:r w:rsidRPr="00381F61">
        <w:rPr>
          <w:rFonts w:ascii="Garamond" w:hAnsi="Garamond"/>
          <w:color w:val="1A1A1A"/>
          <w:spacing w:val="7"/>
          <w:sz w:val="22"/>
          <w:szCs w:val="22"/>
        </w:rPr>
        <w:t xml:space="preserve"> </w:t>
      </w:r>
      <w:r w:rsidRPr="00381F61">
        <w:rPr>
          <w:rFonts w:ascii="Garamond" w:hAnsi="Garamond"/>
          <w:color w:val="1A1A1A"/>
          <w:sz w:val="22"/>
          <w:szCs w:val="22"/>
        </w:rPr>
        <w:t>will</w:t>
      </w:r>
      <w:r w:rsidRPr="00381F61">
        <w:rPr>
          <w:rFonts w:ascii="Garamond" w:hAnsi="Garamond"/>
          <w:color w:val="1A1A1A"/>
          <w:spacing w:val="-12"/>
          <w:sz w:val="22"/>
          <w:szCs w:val="22"/>
        </w:rPr>
        <w:t xml:space="preserve"> </w:t>
      </w:r>
      <w:r w:rsidRPr="00381F61">
        <w:rPr>
          <w:rFonts w:ascii="Garamond" w:hAnsi="Garamond"/>
          <w:color w:val="1A1A1A"/>
          <w:sz w:val="22"/>
          <w:szCs w:val="22"/>
        </w:rPr>
        <w:t>have</w:t>
      </w:r>
      <w:r w:rsidRPr="00381F61">
        <w:rPr>
          <w:rFonts w:ascii="Garamond" w:hAnsi="Garamond"/>
          <w:color w:val="1A1A1A"/>
          <w:spacing w:val="-3"/>
          <w:sz w:val="22"/>
          <w:szCs w:val="22"/>
        </w:rPr>
        <w:t xml:space="preserve"> </w:t>
      </w:r>
      <w:r w:rsidRPr="00381F61">
        <w:rPr>
          <w:rFonts w:ascii="Garamond" w:hAnsi="Garamond"/>
          <w:color w:val="1A1A1A"/>
          <w:sz w:val="22"/>
          <w:szCs w:val="22"/>
        </w:rPr>
        <w:t>on</w:t>
      </w:r>
      <w:r w:rsidRPr="00381F61">
        <w:rPr>
          <w:rFonts w:ascii="Garamond" w:hAnsi="Garamond"/>
          <w:color w:val="1A1A1A"/>
          <w:spacing w:val="-12"/>
          <w:sz w:val="22"/>
          <w:szCs w:val="22"/>
        </w:rPr>
        <w:t xml:space="preserve"> </w:t>
      </w:r>
      <w:r w:rsidRPr="00381F61">
        <w:rPr>
          <w:rFonts w:ascii="Garamond" w:hAnsi="Garamond"/>
          <w:color w:val="1A1A1A"/>
          <w:sz w:val="22"/>
          <w:szCs w:val="22"/>
        </w:rPr>
        <w:t>government retirement income policies, including KiwiSaver and New Zealand superannuation:</w:t>
      </w:r>
    </w:p>
    <w:p w14:paraId="7C9A68C7" w14:textId="6858C663" w:rsidR="00B44025" w:rsidRPr="00381F61" w:rsidRDefault="00B44025" w:rsidP="00B44025">
      <w:pPr>
        <w:pStyle w:val="ListParagraph"/>
        <w:widowControl w:val="0"/>
        <w:tabs>
          <w:tab w:val="left" w:pos="1186"/>
          <w:tab w:val="left" w:pos="1187"/>
        </w:tabs>
        <w:autoSpaceDE w:val="0"/>
        <w:autoSpaceDN w:val="0"/>
        <w:ind w:left="284" w:right="1096"/>
        <w:contextualSpacing w:val="0"/>
        <w:rPr>
          <w:rFonts w:ascii="Garamond" w:hAnsi="Garamond"/>
          <w:color w:val="1A1A1A"/>
          <w:sz w:val="22"/>
          <w:szCs w:val="22"/>
        </w:rPr>
      </w:pPr>
      <w:r w:rsidRPr="00381F61">
        <w:rPr>
          <w:rFonts w:ascii="Garamond" w:hAnsi="Garamond"/>
          <w:color w:val="1A1A1A"/>
          <w:sz w:val="22"/>
          <w:szCs w:val="22"/>
        </w:rPr>
        <w:t>………………</w:t>
      </w:r>
    </w:p>
    <w:p w14:paraId="30BFB6C2" w14:textId="77777777" w:rsidR="00B44025" w:rsidRPr="00381F61" w:rsidRDefault="00B44025" w:rsidP="00701CA1">
      <w:pPr>
        <w:pStyle w:val="ListParagraph"/>
        <w:widowControl w:val="0"/>
        <w:tabs>
          <w:tab w:val="left" w:pos="1186"/>
          <w:tab w:val="left" w:pos="1187"/>
        </w:tabs>
        <w:autoSpaceDE w:val="0"/>
        <w:autoSpaceDN w:val="0"/>
        <w:ind w:left="284" w:right="1096"/>
        <w:contextualSpacing w:val="0"/>
        <w:rPr>
          <w:rFonts w:ascii="Garamond" w:hAnsi="Garamond"/>
          <w:color w:val="1A1A1A"/>
          <w:sz w:val="8"/>
          <w:szCs w:val="8"/>
        </w:rPr>
      </w:pPr>
    </w:p>
    <w:p w14:paraId="3B2E95FF" w14:textId="67C31A99" w:rsidR="00B44025" w:rsidRPr="00381F61" w:rsidRDefault="006E5DAB" w:rsidP="00701CA1">
      <w:pPr>
        <w:widowControl w:val="0"/>
        <w:tabs>
          <w:tab w:val="left" w:pos="1903"/>
          <w:tab w:val="left" w:pos="1904"/>
        </w:tabs>
        <w:autoSpaceDE w:val="0"/>
        <w:autoSpaceDN w:val="0"/>
        <w:ind w:left="284"/>
        <w:rPr>
          <w:rFonts w:ascii="Garamond" w:hAnsi="Garamond"/>
          <w:color w:val="1A1A1A"/>
          <w:sz w:val="22"/>
          <w:szCs w:val="22"/>
        </w:rPr>
      </w:pPr>
      <w:r w:rsidRPr="00381F61">
        <w:rPr>
          <w:rFonts w:ascii="Garamond" w:hAnsi="Garamond"/>
          <w:color w:val="1A1A1A"/>
          <w:sz w:val="22"/>
          <w:szCs w:val="22"/>
        </w:rPr>
        <w:t>(b) d</w:t>
      </w:r>
      <w:r w:rsidR="00B44025" w:rsidRPr="00381F61">
        <w:rPr>
          <w:rFonts w:ascii="Garamond" w:hAnsi="Garamond"/>
          <w:color w:val="1A1A1A"/>
          <w:sz w:val="22"/>
          <w:szCs w:val="22"/>
        </w:rPr>
        <w:t>eclining rates of home ownership…”</w:t>
      </w:r>
    </w:p>
    <w:p w14:paraId="053D2B30" w14:textId="77777777" w:rsidR="00B44025" w:rsidRPr="00381F61" w:rsidRDefault="00B44025" w:rsidP="00B44025">
      <w:pPr>
        <w:jc w:val="both"/>
        <w:rPr>
          <w:rFonts w:ascii="Garamond" w:hAnsi="Garamond"/>
          <w:b/>
        </w:rPr>
      </w:pPr>
    </w:p>
    <w:p w14:paraId="70687931" w14:textId="3CFD495F" w:rsidR="001B1B68" w:rsidRPr="00381F61" w:rsidRDefault="006E5DAB" w:rsidP="00B44025">
      <w:pPr>
        <w:jc w:val="both"/>
        <w:rPr>
          <w:rFonts w:ascii="Garamond" w:hAnsi="Garamond"/>
        </w:rPr>
      </w:pPr>
      <w:r w:rsidRPr="00381F61">
        <w:rPr>
          <w:rFonts w:ascii="Garamond" w:hAnsi="Garamond"/>
        </w:rPr>
        <w:t xml:space="preserve">Based on this section’s analysis, and the inadequate data currently available at the links cited, the 2019 Review will not be in a position to make the requested assessment.  We suspect that the 2018 Census data, when </w:t>
      </w:r>
      <w:r w:rsidR="001B1B68" w:rsidRPr="00381F61">
        <w:rPr>
          <w:rFonts w:ascii="Garamond" w:hAnsi="Garamond"/>
        </w:rPr>
        <w:t xml:space="preserve">or if they are </w:t>
      </w:r>
      <w:r w:rsidRPr="00381F61">
        <w:rPr>
          <w:rFonts w:ascii="Garamond" w:hAnsi="Garamond"/>
        </w:rPr>
        <w:t>eventually delivered, will not help.</w:t>
      </w:r>
    </w:p>
    <w:p w14:paraId="1D6D58B0" w14:textId="77777777" w:rsidR="001B1B68" w:rsidRPr="00381F61" w:rsidRDefault="001B1B68" w:rsidP="00B44025">
      <w:pPr>
        <w:jc w:val="both"/>
        <w:rPr>
          <w:rFonts w:ascii="Garamond" w:hAnsi="Garamond"/>
        </w:rPr>
      </w:pPr>
    </w:p>
    <w:p w14:paraId="16AE71DC" w14:textId="4E2EE6BF" w:rsidR="00B44025" w:rsidRPr="00381F61" w:rsidRDefault="006E5DAB" w:rsidP="00B44025">
      <w:pPr>
        <w:jc w:val="both"/>
        <w:rPr>
          <w:rFonts w:ascii="Garamond" w:hAnsi="Garamond"/>
        </w:rPr>
      </w:pPr>
      <w:r w:rsidRPr="00381F61">
        <w:rPr>
          <w:rFonts w:ascii="Garamond" w:hAnsi="Garamond"/>
        </w:rPr>
        <w:t>We do not know that there are “declining rates of home ownership”</w:t>
      </w:r>
      <w:r w:rsidR="00A1151A" w:rsidRPr="00381F61">
        <w:rPr>
          <w:rFonts w:ascii="Garamond" w:hAnsi="Garamond"/>
        </w:rPr>
        <w:t xml:space="preserve"> so the assumption on </w:t>
      </w:r>
      <w:r w:rsidR="00BF7119" w:rsidRPr="00381F61">
        <w:rPr>
          <w:rFonts w:ascii="Garamond" w:hAnsi="Garamond"/>
        </w:rPr>
        <w:t>which the request for the assessment on this issue seems flawed</w:t>
      </w:r>
      <w:r w:rsidRPr="00381F61">
        <w:rPr>
          <w:rFonts w:ascii="Garamond" w:hAnsi="Garamond"/>
        </w:rPr>
        <w:t>.</w:t>
      </w:r>
    </w:p>
    <w:p w14:paraId="29AE75E7" w14:textId="77777777" w:rsidR="00B44025" w:rsidRPr="00381F61" w:rsidRDefault="00B44025" w:rsidP="00E71CEB">
      <w:pPr>
        <w:jc w:val="both"/>
        <w:rPr>
          <w:rFonts w:ascii="Garamond" w:hAnsi="Garamond"/>
          <w:b/>
        </w:rPr>
      </w:pPr>
    </w:p>
    <w:p w14:paraId="3662F8F6" w14:textId="0D4E6B0A" w:rsidR="009312D7" w:rsidRPr="00381F61" w:rsidRDefault="009312D7" w:rsidP="00E71CEB">
      <w:pPr>
        <w:jc w:val="both"/>
        <w:rPr>
          <w:rFonts w:ascii="Garamond" w:hAnsi="Garamond"/>
          <w:b/>
        </w:rPr>
      </w:pPr>
      <w:r w:rsidRPr="00381F61">
        <w:rPr>
          <w:rFonts w:ascii="Garamond" w:hAnsi="Garamond"/>
          <w:b/>
        </w:rPr>
        <w:t xml:space="preserve">Questions </w:t>
      </w:r>
      <w:r w:rsidR="00B44025" w:rsidRPr="00381F61">
        <w:rPr>
          <w:rFonts w:ascii="Garamond" w:hAnsi="Garamond"/>
          <w:b/>
        </w:rPr>
        <w:t>that the 2018 Census should be</w:t>
      </w:r>
      <w:r w:rsidRPr="00381F61">
        <w:rPr>
          <w:rFonts w:ascii="Garamond" w:hAnsi="Garamond"/>
          <w:b/>
        </w:rPr>
        <w:t xml:space="preserve"> answering</w:t>
      </w:r>
      <w:r w:rsidR="007C74E9" w:rsidRPr="00381F61">
        <w:rPr>
          <w:rFonts w:ascii="Garamond" w:hAnsi="Garamond"/>
          <w:b/>
        </w:rPr>
        <w:t xml:space="preserve"> </w:t>
      </w:r>
      <w:r w:rsidR="00A256AB" w:rsidRPr="00381F61">
        <w:rPr>
          <w:rFonts w:ascii="Garamond" w:hAnsi="Garamond"/>
          <w:b/>
        </w:rPr>
        <w:t>on home ownership</w:t>
      </w:r>
      <w:r w:rsidR="00B44025" w:rsidRPr="00381F61">
        <w:rPr>
          <w:rFonts w:ascii="Garamond" w:hAnsi="Garamond"/>
          <w:b/>
        </w:rPr>
        <w:t xml:space="preserve"> (but probably won’t)</w:t>
      </w:r>
      <w:r w:rsidR="006E28E9" w:rsidRPr="00381F61">
        <w:rPr>
          <w:rFonts w:ascii="Garamond" w:hAnsi="Garamond"/>
          <w:b/>
        </w:rPr>
        <w:t>:</w:t>
      </w:r>
    </w:p>
    <w:p w14:paraId="256508B0" w14:textId="77777777" w:rsidR="006E28E9" w:rsidRPr="00381F61" w:rsidRDefault="006E28E9" w:rsidP="00E71CEB">
      <w:pPr>
        <w:jc w:val="both"/>
        <w:rPr>
          <w:rFonts w:ascii="Garamond" w:hAnsi="Garamond"/>
          <w:b/>
        </w:rPr>
      </w:pPr>
    </w:p>
    <w:p w14:paraId="3C3AA745" w14:textId="7AD84540" w:rsidR="009312D7" w:rsidRPr="00381F61" w:rsidRDefault="001D5C1B" w:rsidP="00F86024">
      <w:pPr>
        <w:pStyle w:val="ListParagraph"/>
        <w:numPr>
          <w:ilvl w:val="0"/>
          <w:numId w:val="47"/>
        </w:numPr>
        <w:ind w:left="709"/>
        <w:jc w:val="both"/>
        <w:rPr>
          <w:rFonts w:ascii="Garamond" w:hAnsi="Garamond"/>
        </w:rPr>
      </w:pPr>
      <w:r w:rsidRPr="00381F61">
        <w:rPr>
          <w:rFonts w:ascii="Garamond" w:hAnsi="Garamond"/>
        </w:rPr>
        <w:t>Do</w:t>
      </w:r>
      <w:r w:rsidR="007C74E9" w:rsidRPr="00381F61">
        <w:rPr>
          <w:rFonts w:ascii="Garamond" w:hAnsi="Garamond"/>
        </w:rPr>
        <w:t xml:space="preserve"> the occupier</w:t>
      </w:r>
      <w:r w:rsidRPr="00381F61">
        <w:rPr>
          <w:rFonts w:ascii="Garamond" w:hAnsi="Garamond"/>
        </w:rPr>
        <w:t>s</w:t>
      </w:r>
      <w:r w:rsidR="009312D7" w:rsidRPr="00381F61">
        <w:rPr>
          <w:rFonts w:ascii="Garamond" w:hAnsi="Garamond"/>
        </w:rPr>
        <w:t xml:space="preserve"> </w:t>
      </w:r>
      <w:r w:rsidR="007C74E9" w:rsidRPr="00381F61">
        <w:rPr>
          <w:rFonts w:ascii="Garamond" w:hAnsi="Garamond"/>
        </w:rPr>
        <w:t xml:space="preserve">own the </w:t>
      </w:r>
      <w:r w:rsidR="006E28E9" w:rsidRPr="00381F61">
        <w:rPr>
          <w:rFonts w:ascii="Garamond" w:hAnsi="Garamond"/>
        </w:rPr>
        <w:t>dwelling</w:t>
      </w:r>
      <w:r w:rsidR="007C74E9" w:rsidRPr="00381F61">
        <w:rPr>
          <w:rFonts w:ascii="Garamond" w:hAnsi="Garamond"/>
        </w:rPr>
        <w:t xml:space="preserve"> they are currently living in?  That includes ownership through a family trust, </w:t>
      </w:r>
      <w:r w:rsidR="00BB0828" w:rsidRPr="00381F61">
        <w:rPr>
          <w:rFonts w:ascii="Garamond" w:hAnsi="Garamond"/>
        </w:rPr>
        <w:t xml:space="preserve">a will trust, </w:t>
      </w:r>
      <w:r w:rsidR="007C74E9" w:rsidRPr="00381F61">
        <w:rPr>
          <w:rFonts w:ascii="Garamond" w:hAnsi="Garamond"/>
        </w:rPr>
        <w:t>a family-controlled company or other indirect ownership.</w:t>
      </w:r>
    </w:p>
    <w:p w14:paraId="300B05D4" w14:textId="77777777" w:rsidR="006E28E9" w:rsidRPr="00381F61" w:rsidRDefault="006E28E9" w:rsidP="00F86024">
      <w:pPr>
        <w:pStyle w:val="ListParagraph"/>
        <w:ind w:left="709"/>
        <w:jc w:val="both"/>
        <w:rPr>
          <w:rFonts w:ascii="Garamond" w:hAnsi="Garamond"/>
        </w:rPr>
      </w:pPr>
    </w:p>
    <w:p w14:paraId="0D2A42B3" w14:textId="5B7B3D55" w:rsidR="00874F73" w:rsidRPr="00381F61" w:rsidRDefault="007C74E9" w:rsidP="00F86024">
      <w:pPr>
        <w:pStyle w:val="ListParagraph"/>
        <w:numPr>
          <w:ilvl w:val="0"/>
          <w:numId w:val="47"/>
        </w:numPr>
        <w:ind w:left="709"/>
        <w:jc w:val="both"/>
        <w:rPr>
          <w:rFonts w:ascii="Garamond" w:hAnsi="Garamond"/>
        </w:rPr>
      </w:pPr>
      <w:r w:rsidRPr="00381F61">
        <w:rPr>
          <w:rFonts w:ascii="Garamond" w:hAnsi="Garamond"/>
        </w:rPr>
        <w:t>If the answer to question 1 is ‘no’, how much rent does the occupier pay?  If the answer to that is nothing or is a nominal amount</w:t>
      </w:r>
      <w:r w:rsidR="000E29B7" w:rsidRPr="00381F61">
        <w:rPr>
          <w:rFonts w:ascii="Garamond" w:hAnsi="Garamond"/>
        </w:rPr>
        <w:t>,</w:t>
      </w:r>
      <w:r w:rsidRPr="00381F61">
        <w:rPr>
          <w:rFonts w:ascii="Garamond" w:hAnsi="Garamond"/>
        </w:rPr>
        <w:t xml:space="preserve"> then who specifically owns the home</w:t>
      </w:r>
      <w:r w:rsidR="00C93955" w:rsidRPr="00381F61">
        <w:rPr>
          <w:rFonts w:ascii="Garamond" w:hAnsi="Garamond"/>
        </w:rPr>
        <w:t xml:space="preserve"> (name and contact address)</w:t>
      </w:r>
      <w:r w:rsidR="00A21570" w:rsidRPr="00381F61">
        <w:rPr>
          <w:rFonts w:ascii="Garamond" w:hAnsi="Garamond"/>
        </w:rPr>
        <w:t xml:space="preserve"> and what is their relationship to the occupier</w:t>
      </w:r>
      <w:r w:rsidRPr="00381F61">
        <w:rPr>
          <w:rFonts w:ascii="Garamond" w:hAnsi="Garamond"/>
        </w:rPr>
        <w:t>?</w:t>
      </w:r>
    </w:p>
    <w:p w14:paraId="2419E729" w14:textId="77777777" w:rsidR="006E28E9" w:rsidRPr="00381F61" w:rsidRDefault="006E28E9" w:rsidP="00F86024">
      <w:pPr>
        <w:ind w:left="709"/>
        <w:jc w:val="both"/>
        <w:rPr>
          <w:rFonts w:ascii="Garamond" w:hAnsi="Garamond"/>
        </w:rPr>
      </w:pPr>
    </w:p>
    <w:p w14:paraId="294D8107" w14:textId="7B769639" w:rsidR="00874F73" w:rsidRPr="00381F61" w:rsidRDefault="007C74E9" w:rsidP="00F86024">
      <w:pPr>
        <w:pStyle w:val="ListParagraph"/>
        <w:numPr>
          <w:ilvl w:val="0"/>
          <w:numId w:val="47"/>
        </w:numPr>
        <w:ind w:left="709"/>
        <w:jc w:val="both"/>
        <w:rPr>
          <w:rFonts w:ascii="Garamond" w:hAnsi="Garamond"/>
        </w:rPr>
      </w:pPr>
      <w:r w:rsidRPr="00381F61">
        <w:rPr>
          <w:rFonts w:ascii="Garamond" w:hAnsi="Garamond"/>
        </w:rPr>
        <w:t xml:space="preserve">How much does the home-owner </w:t>
      </w:r>
      <w:r w:rsidR="006E28E9" w:rsidRPr="00381F61">
        <w:rPr>
          <w:rFonts w:ascii="Garamond" w:hAnsi="Garamond"/>
        </w:rPr>
        <w:t xml:space="preserve">(including a family trust or other indirect owner) </w:t>
      </w:r>
      <w:r w:rsidRPr="00381F61">
        <w:rPr>
          <w:rFonts w:ascii="Garamond" w:hAnsi="Garamond"/>
        </w:rPr>
        <w:t>owe on a mortgage of the home?</w:t>
      </w:r>
      <w:r w:rsidR="006E28E9" w:rsidRPr="00381F61">
        <w:rPr>
          <w:rStyle w:val="FootnoteReference"/>
          <w:rFonts w:ascii="Garamond" w:hAnsi="Garamond"/>
        </w:rPr>
        <w:footnoteReference w:id="156"/>
      </w:r>
      <w:r w:rsidRPr="00381F61">
        <w:rPr>
          <w:rFonts w:ascii="Garamond" w:hAnsi="Garamond"/>
        </w:rPr>
        <w:t xml:space="preserve">  How much of that mortgage is to finance an investment in a family business or in another property?</w:t>
      </w:r>
    </w:p>
    <w:p w14:paraId="16F7C251" w14:textId="77777777" w:rsidR="006E28E9" w:rsidRPr="00381F61" w:rsidRDefault="006E28E9" w:rsidP="00F86024">
      <w:pPr>
        <w:pStyle w:val="ListParagraph"/>
        <w:ind w:left="709"/>
        <w:jc w:val="both"/>
        <w:rPr>
          <w:rFonts w:ascii="Garamond" w:hAnsi="Garamond"/>
        </w:rPr>
      </w:pPr>
    </w:p>
    <w:p w14:paraId="7C3DAC8A" w14:textId="5BF4991A" w:rsidR="007C74E9" w:rsidRPr="00381F61" w:rsidRDefault="007C74E9" w:rsidP="00F86024">
      <w:pPr>
        <w:pStyle w:val="ListParagraph"/>
        <w:numPr>
          <w:ilvl w:val="0"/>
          <w:numId w:val="47"/>
        </w:numPr>
        <w:ind w:left="709"/>
        <w:jc w:val="both"/>
        <w:rPr>
          <w:rFonts w:ascii="Garamond" w:hAnsi="Garamond"/>
        </w:rPr>
      </w:pPr>
      <w:r w:rsidRPr="00381F61">
        <w:rPr>
          <w:rFonts w:ascii="Garamond" w:hAnsi="Garamond"/>
        </w:rPr>
        <w:t xml:space="preserve">The occupier should </w:t>
      </w:r>
      <w:r w:rsidR="000E75F6" w:rsidRPr="00381F61">
        <w:rPr>
          <w:rFonts w:ascii="Garamond" w:hAnsi="Garamond"/>
        </w:rPr>
        <w:t xml:space="preserve">also </w:t>
      </w:r>
      <w:r w:rsidR="005368FC" w:rsidRPr="00381F61">
        <w:rPr>
          <w:rFonts w:ascii="Garamond" w:hAnsi="Garamond"/>
        </w:rPr>
        <w:t xml:space="preserve">have </w:t>
      </w:r>
      <w:r w:rsidR="000E75F6" w:rsidRPr="00381F61">
        <w:rPr>
          <w:rFonts w:ascii="Garamond" w:hAnsi="Garamond"/>
        </w:rPr>
        <w:t>complete</w:t>
      </w:r>
      <w:r w:rsidR="005368FC" w:rsidRPr="00381F61">
        <w:rPr>
          <w:rFonts w:ascii="Garamond" w:hAnsi="Garamond"/>
        </w:rPr>
        <w:t>d</w:t>
      </w:r>
      <w:r w:rsidR="000E75F6" w:rsidRPr="00381F61">
        <w:rPr>
          <w:rFonts w:ascii="Garamond" w:hAnsi="Garamond"/>
        </w:rPr>
        <w:t xml:space="preserve"> a dwelling census return</w:t>
      </w:r>
      <w:r w:rsidRPr="00381F61">
        <w:rPr>
          <w:rFonts w:ascii="Garamond" w:hAnsi="Garamond"/>
        </w:rPr>
        <w:t xml:space="preserve"> in respect of any dwelling that is </w:t>
      </w:r>
      <w:r w:rsidR="00A21570" w:rsidRPr="00381F61">
        <w:rPr>
          <w:rFonts w:ascii="Garamond" w:hAnsi="Garamond"/>
        </w:rPr>
        <w:t xml:space="preserve">owned (directly or indirectly) by the occupier and that is </w:t>
      </w:r>
      <w:r w:rsidRPr="00381F61">
        <w:rPr>
          <w:rFonts w:ascii="Garamond" w:hAnsi="Garamond"/>
        </w:rPr>
        <w:t>unoccupied on the day of the Census.</w:t>
      </w:r>
      <w:r w:rsidR="000E29B7" w:rsidRPr="00381F61">
        <w:rPr>
          <w:rFonts w:ascii="Garamond" w:hAnsi="Garamond"/>
        </w:rPr>
        <w:t xml:space="preserve">  </w:t>
      </w:r>
      <w:r w:rsidR="005368FC" w:rsidRPr="00381F61">
        <w:rPr>
          <w:rFonts w:ascii="Garamond" w:hAnsi="Garamond"/>
        </w:rPr>
        <w:t xml:space="preserve">That did not happen.  Such a return </w:t>
      </w:r>
      <w:r w:rsidR="000E29B7" w:rsidRPr="00381F61">
        <w:rPr>
          <w:rFonts w:ascii="Garamond" w:hAnsi="Garamond"/>
        </w:rPr>
        <w:t>should</w:t>
      </w:r>
      <w:r w:rsidR="005368FC" w:rsidRPr="00381F61">
        <w:rPr>
          <w:rFonts w:ascii="Garamond" w:hAnsi="Garamond"/>
        </w:rPr>
        <w:t xml:space="preserve"> have</w:t>
      </w:r>
      <w:r w:rsidR="000E29B7" w:rsidRPr="00381F61">
        <w:rPr>
          <w:rFonts w:ascii="Garamond" w:hAnsi="Garamond"/>
        </w:rPr>
        <w:t xml:space="preserve"> include</w:t>
      </w:r>
      <w:r w:rsidR="005368FC" w:rsidRPr="00381F61">
        <w:rPr>
          <w:rFonts w:ascii="Garamond" w:hAnsi="Garamond"/>
        </w:rPr>
        <w:t>d</w:t>
      </w:r>
      <w:r w:rsidR="000E29B7" w:rsidRPr="00381F61">
        <w:rPr>
          <w:rFonts w:ascii="Garamond" w:hAnsi="Garamond"/>
        </w:rPr>
        <w:t xml:space="preserve"> information on why the dwelling is unoccupied on Census night.</w:t>
      </w:r>
    </w:p>
    <w:p w14:paraId="78D2D168" w14:textId="77777777" w:rsidR="000E29B7" w:rsidRPr="00381F61" w:rsidRDefault="000E29B7" w:rsidP="00E71CEB">
      <w:pPr>
        <w:jc w:val="both"/>
        <w:rPr>
          <w:rFonts w:ascii="Garamond" w:hAnsi="Garamond"/>
        </w:rPr>
      </w:pPr>
    </w:p>
    <w:p w14:paraId="1F28BC77" w14:textId="6A98D02A" w:rsidR="000E29B7" w:rsidRPr="00381F61" w:rsidRDefault="000E29B7" w:rsidP="00E71CEB">
      <w:pPr>
        <w:jc w:val="both"/>
        <w:rPr>
          <w:rFonts w:ascii="Garamond" w:hAnsi="Garamond"/>
        </w:rPr>
      </w:pPr>
      <w:r w:rsidRPr="00381F61">
        <w:rPr>
          <w:rFonts w:ascii="Garamond" w:hAnsi="Garamond"/>
        </w:rPr>
        <w:t>Without New Zealanders’ answers to these questions, we cannot have a useful discussion about home-ownership levels and whether there are public policy issues that need addressing in this regard</w:t>
      </w:r>
      <w:r w:rsidR="004D0D2B" w:rsidRPr="00381F61">
        <w:rPr>
          <w:rFonts w:ascii="Garamond" w:hAnsi="Garamond"/>
        </w:rPr>
        <w:t xml:space="preserve"> either generally or in specific regard to financial preparation for retirement</w:t>
      </w:r>
      <w:r w:rsidRPr="00381F61">
        <w:rPr>
          <w:rFonts w:ascii="Garamond" w:hAnsi="Garamond"/>
        </w:rPr>
        <w:t>.</w:t>
      </w:r>
    </w:p>
    <w:p w14:paraId="7E40CCD8" w14:textId="77777777" w:rsidR="00A97583" w:rsidRPr="00381F61" w:rsidRDefault="00A97583" w:rsidP="00E71CEB">
      <w:pPr>
        <w:jc w:val="both"/>
        <w:rPr>
          <w:rFonts w:ascii="Garamond" w:hAnsi="Garamond"/>
        </w:rPr>
      </w:pPr>
      <w:r w:rsidRPr="00381F61">
        <w:rPr>
          <w:rFonts w:ascii="Garamond" w:hAnsi="Garamond"/>
        </w:rPr>
        <w:br w:type="page"/>
      </w:r>
    </w:p>
    <w:p w14:paraId="568947EC" w14:textId="19B48C82" w:rsidR="007E5319" w:rsidRPr="00381F61" w:rsidRDefault="00A97583" w:rsidP="00E71CEB">
      <w:pPr>
        <w:jc w:val="both"/>
        <w:rPr>
          <w:rFonts w:ascii="Garamond" w:hAnsi="Garamond"/>
          <w:b/>
        </w:rPr>
      </w:pPr>
      <w:r w:rsidRPr="00381F61">
        <w:rPr>
          <w:rFonts w:ascii="Garamond" w:hAnsi="Garamond"/>
          <w:b/>
        </w:rPr>
        <w:t>1</w:t>
      </w:r>
      <w:r w:rsidR="00F519BC" w:rsidRPr="00381F61">
        <w:rPr>
          <w:rFonts w:ascii="Garamond" w:hAnsi="Garamond"/>
          <w:b/>
        </w:rPr>
        <w:t>3</w:t>
      </w:r>
      <w:r w:rsidRPr="00381F61">
        <w:rPr>
          <w:rFonts w:ascii="Garamond" w:hAnsi="Garamond"/>
          <w:b/>
        </w:rPr>
        <w:t xml:space="preserve">. </w:t>
      </w:r>
      <w:r w:rsidR="007E5319" w:rsidRPr="00381F61">
        <w:rPr>
          <w:rFonts w:ascii="Garamond" w:hAnsi="Garamond"/>
          <w:b/>
        </w:rPr>
        <w:t>Occupational superannuation</w:t>
      </w:r>
      <w:r w:rsidR="003E7437" w:rsidRPr="00381F61">
        <w:rPr>
          <w:rFonts w:ascii="Garamond" w:hAnsi="Garamond"/>
          <w:b/>
        </w:rPr>
        <w:t xml:space="preserve"> – role of employers</w:t>
      </w:r>
      <w:r w:rsidR="00301223" w:rsidRPr="00381F61">
        <w:rPr>
          <w:rStyle w:val="FootnoteReference"/>
          <w:rFonts w:ascii="Garamond" w:hAnsi="Garamond"/>
          <w:b/>
        </w:rPr>
        <w:footnoteReference w:id="157"/>
      </w:r>
    </w:p>
    <w:p w14:paraId="4AD2E0AE" w14:textId="77777777" w:rsidR="000D0068" w:rsidRPr="00381F61" w:rsidRDefault="000D0068" w:rsidP="00E71CEB">
      <w:pPr>
        <w:jc w:val="both"/>
        <w:rPr>
          <w:rFonts w:ascii="Garamond" w:hAnsi="Garamond"/>
          <w:b/>
        </w:rPr>
      </w:pPr>
    </w:p>
    <w:p w14:paraId="5EF15186" w14:textId="77777777" w:rsidR="005609B0" w:rsidRPr="00381F61" w:rsidRDefault="005609B0" w:rsidP="005609B0">
      <w:pPr>
        <w:jc w:val="both"/>
        <w:rPr>
          <w:rFonts w:ascii="Garamond" w:hAnsi="Garamond"/>
        </w:rPr>
      </w:pPr>
      <w:r w:rsidRPr="00381F61">
        <w:rPr>
          <w:rFonts w:ascii="Garamond" w:hAnsi="Garamond"/>
        </w:rPr>
        <w:t>In section 11 (The role of governments), we suggest that, when setting public policies on retirement incomes, governments should focus on objectives where they have a unique capacity to influence outcomes.</w:t>
      </w:r>
    </w:p>
    <w:p w14:paraId="4FA2A522" w14:textId="77777777" w:rsidR="005609B0" w:rsidRPr="00381F61" w:rsidRDefault="005609B0" w:rsidP="00E71CEB">
      <w:pPr>
        <w:jc w:val="both"/>
        <w:rPr>
          <w:rFonts w:ascii="Garamond" w:hAnsi="Garamond"/>
          <w:b/>
        </w:rPr>
      </w:pPr>
    </w:p>
    <w:p w14:paraId="6E7A4D38" w14:textId="2DA9B50E" w:rsidR="00881A29" w:rsidRPr="00381F61" w:rsidRDefault="00881A29" w:rsidP="00043E1D">
      <w:pPr>
        <w:jc w:val="both"/>
        <w:rPr>
          <w:rFonts w:ascii="Garamond" w:hAnsi="Garamond"/>
        </w:rPr>
      </w:pPr>
      <w:r w:rsidRPr="00381F61">
        <w:rPr>
          <w:rFonts w:ascii="Garamond" w:hAnsi="Garamond"/>
        </w:rPr>
        <w:t xml:space="preserve">Governments should avoid trying to influence or direct private provision for retirement by tax breaks </w:t>
      </w:r>
      <w:r w:rsidR="00253A44" w:rsidRPr="00381F61">
        <w:rPr>
          <w:rFonts w:ascii="Garamond" w:hAnsi="Garamond"/>
        </w:rPr>
        <w:t xml:space="preserve">(section 9) </w:t>
      </w:r>
      <w:r w:rsidRPr="00381F61">
        <w:rPr>
          <w:rFonts w:ascii="Garamond" w:hAnsi="Garamond"/>
        </w:rPr>
        <w:t xml:space="preserve">or </w:t>
      </w:r>
      <w:r w:rsidR="00253A44" w:rsidRPr="00381F61">
        <w:rPr>
          <w:rFonts w:ascii="Garamond" w:hAnsi="Garamond"/>
        </w:rPr>
        <w:t>through compulsion, ‘hard’ or ‘soft’ (section 10)</w:t>
      </w:r>
      <w:r w:rsidRPr="00381F61">
        <w:rPr>
          <w:rFonts w:ascii="Garamond" w:hAnsi="Garamond"/>
        </w:rPr>
        <w:t>.  That those common interventions seem not to work is only one of their many shortcomings.  Citizens should instead make their own decisions about financial provision for retirement; and employers might have a say in that as well for their own employees.</w:t>
      </w:r>
    </w:p>
    <w:p w14:paraId="64F14B56" w14:textId="77777777" w:rsidR="00881A29" w:rsidRPr="00381F61" w:rsidRDefault="00881A29" w:rsidP="00881A29">
      <w:pPr>
        <w:pStyle w:val="FootnoteText"/>
        <w:rPr>
          <w:rFonts w:ascii="Garamond" w:hAnsi="Garamond"/>
        </w:rPr>
      </w:pPr>
    </w:p>
    <w:p w14:paraId="17E414F6" w14:textId="0DDAC733" w:rsidR="00881A29" w:rsidRPr="00381F61" w:rsidRDefault="00881A29" w:rsidP="00043E1D">
      <w:pPr>
        <w:pStyle w:val="FootnoteText"/>
        <w:jc w:val="both"/>
        <w:rPr>
          <w:rFonts w:ascii="Garamond" w:hAnsi="Garamond"/>
        </w:rPr>
      </w:pPr>
      <w:r w:rsidRPr="00381F61">
        <w:rPr>
          <w:rFonts w:ascii="Garamond" w:hAnsi="Garamond"/>
        </w:rPr>
        <w:t>Tax incentives aim to encourage citizens to behave in particular ways by either a direct subsidy (a ‘tax credit’), by allowing a deduction against other income or by giving a more favoured tax treatment of ‘income’ earned by such savings.  It does not matter how they are delivered, tax incentives come with large direct costs to the government’s revenue and indirect ‘costs’ that derive from the other n</w:t>
      </w:r>
      <w:r w:rsidR="004249E1" w:rsidRPr="00381F61">
        <w:rPr>
          <w:rFonts w:ascii="Garamond" w:hAnsi="Garamond"/>
        </w:rPr>
        <w:t>egative effects of tax breaks.</w:t>
      </w:r>
    </w:p>
    <w:p w14:paraId="2404D85E" w14:textId="77777777" w:rsidR="00881A29" w:rsidRPr="00381F61" w:rsidRDefault="00881A29" w:rsidP="00881A29">
      <w:pPr>
        <w:pStyle w:val="FootnoteText"/>
        <w:rPr>
          <w:rFonts w:ascii="Garamond" w:hAnsi="Garamond"/>
        </w:rPr>
      </w:pPr>
    </w:p>
    <w:p w14:paraId="68ED4E0F" w14:textId="2737318A" w:rsidR="00881A29" w:rsidRPr="00381F61" w:rsidRDefault="00881A29" w:rsidP="00043E1D">
      <w:pPr>
        <w:pStyle w:val="FootnoteText"/>
        <w:jc w:val="both"/>
        <w:rPr>
          <w:rFonts w:ascii="Garamond" w:hAnsi="Garamond"/>
        </w:rPr>
      </w:pPr>
      <w:r w:rsidRPr="00381F61">
        <w:rPr>
          <w:rFonts w:ascii="Garamond" w:hAnsi="Garamond"/>
        </w:rPr>
        <w:t xml:space="preserve">An employer faces similar policy issues when it decides to pay employees in a particular way and to reward ‘appropriate’ behaviour.  Despite some structural similarities, an employer is not the country, writ small.  When employers make decisions about financial provision </w:t>
      </w:r>
      <w:r w:rsidR="00EF6821" w:rsidRPr="00381F61">
        <w:rPr>
          <w:rFonts w:ascii="Garamond" w:hAnsi="Garamond"/>
        </w:rPr>
        <w:t>for their employees’ retirement</w:t>
      </w:r>
      <w:r w:rsidRPr="00381F61">
        <w:rPr>
          <w:rFonts w:ascii="Garamond" w:hAnsi="Garamond"/>
        </w:rPr>
        <w:t xml:space="preserve"> and other financial needs, other policy considerations should apply.  But the central question remains similar – should an employer directly subsidise an employee’s saving programme (for retirement or otherwise)</w:t>
      </w:r>
      <w:r w:rsidR="0002612C" w:rsidRPr="00381F61">
        <w:rPr>
          <w:rFonts w:ascii="Garamond" w:hAnsi="Garamond"/>
        </w:rPr>
        <w:t xml:space="preserve"> to help </w:t>
      </w:r>
      <w:r w:rsidR="002E1B52" w:rsidRPr="00381F61">
        <w:rPr>
          <w:rFonts w:ascii="Garamond" w:hAnsi="Garamond"/>
        </w:rPr>
        <w:t xml:space="preserve">it </w:t>
      </w:r>
      <w:r w:rsidR="0002612C" w:rsidRPr="00381F61">
        <w:rPr>
          <w:rFonts w:ascii="Garamond" w:hAnsi="Garamond"/>
        </w:rPr>
        <w:t>achieve its business goals</w:t>
      </w:r>
      <w:r w:rsidRPr="00381F61">
        <w:rPr>
          <w:rFonts w:ascii="Garamond" w:hAnsi="Garamond"/>
        </w:rPr>
        <w:t>?</w:t>
      </w:r>
    </w:p>
    <w:p w14:paraId="72D89353" w14:textId="77777777" w:rsidR="00881A29" w:rsidRPr="00381F61" w:rsidRDefault="00881A29" w:rsidP="00881A29">
      <w:pPr>
        <w:pStyle w:val="FootnoteText"/>
        <w:rPr>
          <w:rFonts w:ascii="Garamond" w:hAnsi="Garamond"/>
          <w:b/>
        </w:rPr>
      </w:pPr>
    </w:p>
    <w:p w14:paraId="7998DD59" w14:textId="219C05B4" w:rsidR="00881A29" w:rsidRPr="00381F61" w:rsidRDefault="00881A29" w:rsidP="00881A29">
      <w:pPr>
        <w:pStyle w:val="FootnoteText"/>
        <w:rPr>
          <w:rFonts w:ascii="Garamond" w:hAnsi="Garamond"/>
          <w:b/>
        </w:rPr>
      </w:pPr>
      <w:r w:rsidRPr="00381F61">
        <w:rPr>
          <w:rFonts w:ascii="Garamond" w:hAnsi="Garamond"/>
          <w:b/>
        </w:rPr>
        <w:t>‘Pay + benefits’</w:t>
      </w:r>
    </w:p>
    <w:p w14:paraId="78708575" w14:textId="77777777" w:rsidR="00881A29" w:rsidRPr="00381F61" w:rsidRDefault="00881A29" w:rsidP="00043E1D">
      <w:pPr>
        <w:pStyle w:val="FootnoteText"/>
        <w:jc w:val="both"/>
        <w:rPr>
          <w:rFonts w:ascii="Garamond" w:hAnsi="Garamond"/>
        </w:rPr>
      </w:pPr>
      <w:r w:rsidRPr="00381F61">
        <w:rPr>
          <w:rFonts w:ascii="Garamond" w:hAnsi="Garamond"/>
        </w:rPr>
        <w:t>The compensation practices of employers in most countries developed over many years into a ‘pay + benefits’ patchwork.  The price paid by an employer to get a job done is usually divided into two:</w:t>
      </w:r>
    </w:p>
    <w:p w14:paraId="27C0A92F" w14:textId="77777777" w:rsidR="005609B0" w:rsidRPr="00381F61" w:rsidRDefault="005609B0" w:rsidP="00881A29">
      <w:pPr>
        <w:pStyle w:val="FootnoteText"/>
        <w:rPr>
          <w:rFonts w:ascii="Garamond" w:hAnsi="Garamond"/>
          <w:sz w:val="8"/>
          <w:szCs w:val="8"/>
        </w:rPr>
      </w:pPr>
    </w:p>
    <w:p w14:paraId="1AB63FF4" w14:textId="06F5C87F" w:rsidR="005609B0" w:rsidRPr="00381F61" w:rsidRDefault="00881A29">
      <w:pPr>
        <w:pStyle w:val="FootnoteText"/>
        <w:numPr>
          <w:ilvl w:val="0"/>
          <w:numId w:val="59"/>
        </w:numPr>
        <w:jc w:val="both"/>
        <w:rPr>
          <w:rFonts w:ascii="Garamond" w:hAnsi="Garamond"/>
        </w:rPr>
      </w:pPr>
      <w:r w:rsidRPr="00381F61">
        <w:rPr>
          <w:rFonts w:ascii="Garamond" w:hAnsi="Garamond"/>
          <w:b/>
        </w:rPr>
        <w:t>Direct cash</w:t>
      </w:r>
      <w:r w:rsidRPr="00381F61">
        <w:rPr>
          <w:rFonts w:ascii="Garamond" w:hAnsi="Garamond"/>
        </w:rPr>
        <w:t xml:space="preserve"> that can include ‘at risk’ or bonus elements;</w:t>
      </w:r>
    </w:p>
    <w:p w14:paraId="588BE26F" w14:textId="77777777" w:rsidR="00881A29" w:rsidRPr="00381F61" w:rsidRDefault="00881A29" w:rsidP="00881A29">
      <w:pPr>
        <w:pStyle w:val="FootnoteText"/>
        <w:numPr>
          <w:ilvl w:val="0"/>
          <w:numId w:val="59"/>
        </w:numPr>
        <w:jc w:val="both"/>
        <w:rPr>
          <w:rFonts w:ascii="Garamond" w:hAnsi="Garamond"/>
        </w:rPr>
      </w:pPr>
      <w:r w:rsidRPr="00381F61">
        <w:rPr>
          <w:rFonts w:ascii="Garamond" w:hAnsi="Garamond"/>
          <w:b/>
        </w:rPr>
        <w:t>Indirect benefits</w:t>
      </w:r>
      <w:r w:rsidRPr="00381F61">
        <w:rPr>
          <w:rFonts w:ascii="Garamond" w:hAnsi="Garamond"/>
        </w:rPr>
        <w:t xml:space="preserve"> such as retirement pensions, the use of an employer-owned vehicle, insurance (for health needs, death cover and disability protection), subsidised loans, club subscriptions and so on.</w:t>
      </w:r>
    </w:p>
    <w:p w14:paraId="097AA47A" w14:textId="77777777" w:rsidR="00881A29" w:rsidRPr="00381F61" w:rsidRDefault="00881A29" w:rsidP="00881A29">
      <w:pPr>
        <w:pStyle w:val="FootnoteText"/>
        <w:rPr>
          <w:rFonts w:ascii="Garamond" w:hAnsi="Garamond"/>
        </w:rPr>
      </w:pPr>
    </w:p>
    <w:p w14:paraId="4104A23B" w14:textId="77777777" w:rsidR="00881A29" w:rsidRPr="00381F61" w:rsidRDefault="00881A29" w:rsidP="00881A29">
      <w:pPr>
        <w:pStyle w:val="FootnoteText"/>
        <w:rPr>
          <w:rFonts w:ascii="Garamond" w:hAnsi="Garamond"/>
        </w:rPr>
      </w:pPr>
      <w:r w:rsidRPr="00381F61">
        <w:rPr>
          <w:rFonts w:ascii="Garamond" w:hAnsi="Garamond"/>
        </w:rPr>
        <w:t>Indirect benefits grew in number, significance and complexity.  They were usually driven by:</w:t>
      </w:r>
    </w:p>
    <w:p w14:paraId="69D076F7" w14:textId="77777777" w:rsidR="00881A29" w:rsidRPr="00381F61" w:rsidRDefault="00881A29" w:rsidP="00881A29">
      <w:pPr>
        <w:pStyle w:val="FootnoteText"/>
        <w:rPr>
          <w:rFonts w:ascii="Garamond" w:hAnsi="Garamond"/>
          <w:sz w:val="8"/>
          <w:szCs w:val="8"/>
        </w:rPr>
      </w:pPr>
    </w:p>
    <w:p w14:paraId="7D70D125" w14:textId="77777777" w:rsidR="00881A29" w:rsidRPr="00381F61" w:rsidRDefault="00881A29" w:rsidP="00881A29">
      <w:pPr>
        <w:pStyle w:val="FootnoteText"/>
        <w:numPr>
          <w:ilvl w:val="0"/>
          <w:numId w:val="60"/>
        </w:numPr>
        <w:jc w:val="both"/>
        <w:rPr>
          <w:rFonts w:ascii="Garamond" w:hAnsi="Garamond"/>
        </w:rPr>
      </w:pPr>
      <w:r w:rsidRPr="00381F61">
        <w:rPr>
          <w:rFonts w:ascii="Garamond" w:hAnsi="Garamond"/>
        </w:rPr>
        <w:t>Tax laws that favoured indirect benefits over cash and some benefits over others;</w:t>
      </w:r>
    </w:p>
    <w:p w14:paraId="6C147C76" w14:textId="77777777" w:rsidR="00881A29" w:rsidRPr="00381F61" w:rsidRDefault="00881A29" w:rsidP="00881A29">
      <w:pPr>
        <w:pStyle w:val="FootnoteText"/>
        <w:ind w:left="720"/>
        <w:rPr>
          <w:rFonts w:ascii="Garamond" w:hAnsi="Garamond"/>
          <w:sz w:val="8"/>
          <w:szCs w:val="8"/>
        </w:rPr>
      </w:pPr>
    </w:p>
    <w:p w14:paraId="68F7BD2A" w14:textId="1F04E3FD" w:rsidR="00881A29" w:rsidRPr="00381F61" w:rsidRDefault="00881A29" w:rsidP="00881A29">
      <w:pPr>
        <w:pStyle w:val="FootnoteText"/>
        <w:numPr>
          <w:ilvl w:val="0"/>
          <w:numId w:val="60"/>
        </w:numPr>
        <w:jc w:val="both"/>
        <w:rPr>
          <w:rFonts w:ascii="Garamond" w:hAnsi="Garamond"/>
        </w:rPr>
      </w:pPr>
      <w:r w:rsidRPr="00381F61">
        <w:rPr>
          <w:rFonts w:ascii="Garamond" w:hAnsi="Garamond"/>
        </w:rPr>
        <w:t xml:space="preserve">Personnel </w:t>
      </w:r>
      <w:r w:rsidR="0028292F" w:rsidRPr="00381F61">
        <w:rPr>
          <w:rFonts w:ascii="Garamond" w:hAnsi="Garamond"/>
        </w:rPr>
        <w:t xml:space="preserve">(HR) </w:t>
      </w:r>
      <w:r w:rsidRPr="00381F61">
        <w:rPr>
          <w:rFonts w:ascii="Garamond" w:hAnsi="Garamond"/>
        </w:rPr>
        <w:t>policy that favoured certain types of behaviour over others;</w:t>
      </w:r>
    </w:p>
    <w:p w14:paraId="0320EFAB" w14:textId="77777777" w:rsidR="00881A29" w:rsidRPr="00381F61" w:rsidRDefault="00881A29" w:rsidP="00881A29">
      <w:pPr>
        <w:pStyle w:val="FootnoteText"/>
        <w:ind w:left="709"/>
        <w:rPr>
          <w:rFonts w:ascii="Garamond" w:hAnsi="Garamond"/>
          <w:sz w:val="8"/>
          <w:szCs w:val="8"/>
        </w:rPr>
      </w:pPr>
    </w:p>
    <w:p w14:paraId="21972CD1" w14:textId="77777777" w:rsidR="00881A29" w:rsidRPr="00381F61" w:rsidRDefault="00881A29" w:rsidP="00881A29">
      <w:pPr>
        <w:pStyle w:val="FootnoteText"/>
        <w:numPr>
          <w:ilvl w:val="0"/>
          <w:numId w:val="60"/>
        </w:numPr>
        <w:jc w:val="both"/>
        <w:rPr>
          <w:rFonts w:ascii="Garamond" w:hAnsi="Garamond"/>
        </w:rPr>
      </w:pPr>
      <w:r w:rsidRPr="00381F61">
        <w:rPr>
          <w:rFonts w:ascii="Garamond" w:hAnsi="Garamond"/>
        </w:rPr>
        <w:t>Pressures from other employers that are competitors for labour;</w:t>
      </w:r>
    </w:p>
    <w:p w14:paraId="3F9F2286" w14:textId="77777777" w:rsidR="00881A29" w:rsidRPr="00381F61" w:rsidRDefault="00881A29" w:rsidP="00881A29">
      <w:pPr>
        <w:pStyle w:val="FootnoteText"/>
        <w:ind w:left="709"/>
        <w:rPr>
          <w:rFonts w:ascii="Garamond" w:hAnsi="Garamond"/>
          <w:sz w:val="8"/>
          <w:szCs w:val="8"/>
        </w:rPr>
      </w:pPr>
    </w:p>
    <w:p w14:paraId="56FC3BEE" w14:textId="572DBE1D" w:rsidR="00881A29" w:rsidRPr="00381F61" w:rsidRDefault="0028292F" w:rsidP="00881A29">
      <w:pPr>
        <w:pStyle w:val="FootnoteText"/>
        <w:numPr>
          <w:ilvl w:val="0"/>
          <w:numId w:val="60"/>
        </w:numPr>
        <w:jc w:val="both"/>
        <w:rPr>
          <w:rFonts w:ascii="Garamond" w:hAnsi="Garamond"/>
        </w:rPr>
      </w:pPr>
      <w:r w:rsidRPr="00381F61">
        <w:rPr>
          <w:rFonts w:ascii="Garamond" w:hAnsi="Garamond"/>
        </w:rPr>
        <w:t>The</w:t>
      </w:r>
      <w:r w:rsidR="00881A29" w:rsidRPr="00381F61">
        <w:rPr>
          <w:rFonts w:ascii="Garamond" w:hAnsi="Garamond"/>
        </w:rPr>
        <w:t xml:space="preserve"> historical need to distinguish between waged employees (represented by unions) with benefits such as overtime pay and penal allowances, and salaried employees (non-unionised) who tended to receive fixed amounts of pay;</w:t>
      </w:r>
    </w:p>
    <w:p w14:paraId="2593FDB8" w14:textId="77777777" w:rsidR="00881A29" w:rsidRPr="00381F61" w:rsidRDefault="00881A29" w:rsidP="00881A29">
      <w:pPr>
        <w:pStyle w:val="FootnoteText"/>
        <w:ind w:left="709"/>
        <w:rPr>
          <w:rFonts w:ascii="Garamond" w:hAnsi="Garamond"/>
          <w:sz w:val="8"/>
          <w:szCs w:val="8"/>
        </w:rPr>
      </w:pPr>
    </w:p>
    <w:p w14:paraId="397930AB" w14:textId="77777777" w:rsidR="00881A29" w:rsidRPr="00381F61" w:rsidRDefault="00881A29" w:rsidP="00881A29">
      <w:pPr>
        <w:pStyle w:val="FootnoteText"/>
        <w:numPr>
          <w:ilvl w:val="0"/>
          <w:numId w:val="60"/>
        </w:numPr>
        <w:jc w:val="both"/>
        <w:rPr>
          <w:rFonts w:ascii="Garamond" w:hAnsi="Garamond"/>
        </w:rPr>
      </w:pPr>
      <w:r w:rsidRPr="00381F61">
        <w:rPr>
          <w:rFonts w:ascii="Garamond" w:hAnsi="Garamond"/>
        </w:rPr>
        <w:t>The purchasing power of employers that could gain access to benefits at a cheaper cost than employees were able to obtain on their own.</w:t>
      </w:r>
    </w:p>
    <w:p w14:paraId="3676DBED" w14:textId="77777777" w:rsidR="00881A29" w:rsidRPr="00381F61" w:rsidRDefault="00881A29" w:rsidP="00881A29">
      <w:pPr>
        <w:pStyle w:val="FootnoteText"/>
        <w:rPr>
          <w:rFonts w:ascii="Garamond" w:hAnsi="Garamond"/>
        </w:rPr>
      </w:pPr>
    </w:p>
    <w:p w14:paraId="08DFF329" w14:textId="77777777" w:rsidR="00881A29" w:rsidRPr="00381F61" w:rsidRDefault="00881A29" w:rsidP="00043E1D">
      <w:pPr>
        <w:pStyle w:val="FootnoteText"/>
        <w:jc w:val="both"/>
        <w:rPr>
          <w:rFonts w:ascii="Garamond" w:hAnsi="Garamond"/>
        </w:rPr>
      </w:pPr>
      <w:r w:rsidRPr="00381F61">
        <w:rPr>
          <w:rFonts w:ascii="Garamond" w:hAnsi="Garamond"/>
        </w:rPr>
        <w:t xml:space="preserve">‘Pay + benefits’ is one remuneration strategy; an alternative is ‘total remuneration’ where a cash value is placed on the role and it is for </w:t>
      </w:r>
      <w:r w:rsidRPr="00381F61">
        <w:rPr>
          <w:rFonts w:ascii="Garamond" w:hAnsi="Garamond"/>
          <w:i/>
        </w:rPr>
        <w:t>employees</w:t>
      </w:r>
      <w:r w:rsidRPr="00381F61">
        <w:rPr>
          <w:rFonts w:ascii="Garamond" w:hAnsi="Garamond"/>
        </w:rPr>
        <w:t xml:space="preserve"> to decide how that is spent.  Any particular employer’s actual strategy is normally somewhere between the two alternatives.</w:t>
      </w:r>
    </w:p>
    <w:p w14:paraId="12801A21" w14:textId="77777777" w:rsidR="00881A29" w:rsidRPr="00381F61" w:rsidRDefault="00881A29" w:rsidP="00881A29">
      <w:pPr>
        <w:pStyle w:val="FootnoteText"/>
        <w:rPr>
          <w:rFonts w:ascii="Garamond" w:hAnsi="Garamond"/>
        </w:rPr>
      </w:pPr>
    </w:p>
    <w:p w14:paraId="57771A3C" w14:textId="06F00D11" w:rsidR="00881A29" w:rsidRPr="00381F61" w:rsidRDefault="00881A29" w:rsidP="00881A29">
      <w:pPr>
        <w:pStyle w:val="FootnoteText"/>
        <w:rPr>
          <w:rFonts w:ascii="Garamond" w:hAnsi="Garamond"/>
          <w:b/>
        </w:rPr>
      </w:pPr>
      <w:r w:rsidRPr="00381F61">
        <w:rPr>
          <w:rFonts w:ascii="Garamond" w:hAnsi="Garamond"/>
          <w:b/>
        </w:rPr>
        <w:t>Problems of ‘pay + benefits’</w:t>
      </w:r>
    </w:p>
    <w:p w14:paraId="4231F056" w14:textId="77777777" w:rsidR="001B1B68" w:rsidRPr="00381F61" w:rsidRDefault="001B1B68" w:rsidP="00881A29">
      <w:pPr>
        <w:pStyle w:val="FootnoteText"/>
        <w:rPr>
          <w:rFonts w:ascii="Garamond" w:hAnsi="Garamond"/>
          <w:b/>
        </w:rPr>
      </w:pPr>
    </w:p>
    <w:p w14:paraId="11A3E947" w14:textId="51A2613F" w:rsidR="00EF2999" w:rsidRPr="00381F61" w:rsidRDefault="00881A29" w:rsidP="00043E1D">
      <w:pPr>
        <w:pStyle w:val="FootnoteText"/>
        <w:jc w:val="both"/>
        <w:rPr>
          <w:rFonts w:ascii="Garamond" w:hAnsi="Garamond"/>
        </w:rPr>
      </w:pPr>
      <w:r w:rsidRPr="00381F61">
        <w:rPr>
          <w:rFonts w:ascii="Garamond" w:hAnsi="Garamond"/>
        </w:rPr>
        <w:t xml:space="preserve">There are many </w:t>
      </w:r>
      <w:r w:rsidR="005D50F2" w:rsidRPr="00381F61">
        <w:rPr>
          <w:rFonts w:ascii="Garamond" w:hAnsi="Garamond"/>
        </w:rPr>
        <w:t>issue</w:t>
      </w:r>
      <w:r w:rsidRPr="00381F61">
        <w:rPr>
          <w:rFonts w:ascii="Garamond" w:hAnsi="Garamond"/>
        </w:rPr>
        <w:t xml:space="preserve">s with a ‘pay + benefits’ approach to compensation.  </w:t>
      </w:r>
      <w:r w:rsidR="00422E5D" w:rsidRPr="00381F61">
        <w:rPr>
          <w:rFonts w:ascii="Garamond" w:hAnsi="Garamond"/>
        </w:rPr>
        <w:t>It’s important to understand these because</w:t>
      </w:r>
      <w:r w:rsidR="00946F22" w:rsidRPr="00381F61">
        <w:rPr>
          <w:rFonts w:ascii="Garamond" w:hAnsi="Garamond"/>
        </w:rPr>
        <w:t>, in New Zealand,</w:t>
      </w:r>
      <w:r w:rsidR="00422E5D" w:rsidRPr="00381F61">
        <w:rPr>
          <w:rFonts w:ascii="Garamond" w:hAnsi="Garamond"/>
        </w:rPr>
        <w:t xml:space="preserve"> they are increasing</w:t>
      </w:r>
      <w:r w:rsidR="005609B0" w:rsidRPr="00381F61">
        <w:rPr>
          <w:rFonts w:ascii="Garamond" w:hAnsi="Garamond"/>
        </w:rPr>
        <w:t>ly</w:t>
      </w:r>
      <w:r w:rsidR="00422E5D" w:rsidRPr="00381F61">
        <w:rPr>
          <w:rFonts w:ascii="Garamond" w:hAnsi="Garamond"/>
        </w:rPr>
        <w:t xml:space="preserve"> the old way of structuring remuneration arrangements between employers and employees.</w:t>
      </w:r>
    </w:p>
    <w:p w14:paraId="1F57BC0A" w14:textId="77777777" w:rsidR="00EF2999" w:rsidRPr="00381F61" w:rsidRDefault="00EF2999" w:rsidP="00043E1D">
      <w:pPr>
        <w:pStyle w:val="FootnoteText"/>
        <w:jc w:val="both"/>
        <w:rPr>
          <w:rFonts w:ascii="Garamond" w:hAnsi="Garamond"/>
        </w:rPr>
      </w:pPr>
    </w:p>
    <w:p w14:paraId="0F365D1F" w14:textId="3E536BE6" w:rsidR="00881A29" w:rsidRPr="00381F61" w:rsidRDefault="00881A29" w:rsidP="00043E1D">
      <w:pPr>
        <w:pStyle w:val="FootnoteText"/>
        <w:jc w:val="both"/>
        <w:rPr>
          <w:rFonts w:ascii="Garamond" w:hAnsi="Garamond"/>
        </w:rPr>
      </w:pPr>
      <w:r w:rsidRPr="00381F61">
        <w:rPr>
          <w:rFonts w:ascii="Garamond" w:hAnsi="Garamond"/>
        </w:rPr>
        <w:t xml:space="preserve">Here are the main </w:t>
      </w:r>
      <w:r w:rsidR="005609B0" w:rsidRPr="00381F61">
        <w:rPr>
          <w:rFonts w:ascii="Garamond" w:hAnsi="Garamond"/>
        </w:rPr>
        <w:t>difficulties</w:t>
      </w:r>
      <w:r w:rsidRPr="00381F61">
        <w:rPr>
          <w:rFonts w:ascii="Garamond" w:hAnsi="Garamond"/>
        </w:rPr>
        <w:t>:</w:t>
      </w:r>
    </w:p>
    <w:p w14:paraId="339F2243" w14:textId="77777777" w:rsidR="00881A29" w:rsidRPr="00381F61" w:rsidRDefault="00881A29" w:rsidP="00881A29">
      <w:pPr>
        <w:pStyle w:val="FootnoteText"/>
        <w:rPr>
          <w:rFonts w:ascii="Garamond" w:hAnsi="Garamond"/>
          <w:sz w:val="8"/>
          <w:szCs w:val="8"/>
        </w:rPr>
      </w:pPr>
    </w:p>
    <w:p w14:paraId="7AF2406C" w14:textId="1552883F" w:rsidR="00881A29" w:rsidRPr="00381F61" w:rsidRDefault="007C6366" w:rsidP="00043E1D">
      <w:pPr>
        <w:pStyle w:val="FootnoteText"/>
        <w:ind w:left="425"/>
        <w:jc w:val="both"/>
        <w:rPr>
          <w:rFonts w:ascii="Garamond" w:hAnsi="Garamond"/>
        </w:rPr>
      </w:pPr>
      <w:r w:rsidRPr="00381F61">
        <w:rPr>
          <w:rFonts w:ascii="Garamond" w:hAnsi="Garamond"/>
          <w:b/>
        </w:rPr>
        <w:t>(a)</w:t>
      </w:r>
      <w:r w:rsidR="00881A29" w:rsidRPr="00381F61">
        <w:rPr>
          <w:rFonts w:ascii="Garamond" w:hAnsi="Garamond"/>
          <w:b/>
        </w:rPr>
        <w:t xml:space="preserve"> Differing tax treatments of benefits: </w:t>
      </w:r>
      <w:r w:rsidR="00881A29" w:rsidRPr="00381F61">
        <w:rPr>
          <w:rFonts w:ascii="Garamond" w:hAnsi="Garamond"/>
        </w:rPr>
        <w:t xml:space="preserve">Between 1985 and 2000, New Zealand eliminated the privileged tax treatment of all indirect benefits, including retirement saving schemes. </w:t>
      </w:r>
      <w:r w:rsidRPr="00381F61">
        <w:rPr>
          <w:rFonts w:ascii="Garamond" w:hAnsi="Garamond"/>
        </w:rPr>
        <w:t xml:space="preserve"> </w:t>
      </w:r>
      <w:r w:rsidR="00946F22" w:rsidRPr="00381F61">
        <w:rPr>
          <w:rFonts w:ascii="Garamond" w:hAnsi="Garamond"/>
        </w:rPr>
        <w:t>We generally treat</w:t>
      </w:r>
      <w:r w:rsidR="00881A29" w:rsidRPr="00381F61">
        <w:rPr>
          <w:rFonts w:ascii="Garamond" w:hAnsi="Garamond"/>
        </w:rPr>
        <w:t xml:space="preserve"> retirement savings </w:t>
      </w:r>
      <w:r w:rsidR="00946F22" w:rsidRPr="00381F61">
        <w:rPr>
          <w:rFonts w:ascii="Garamond" w:hAnsi="Garamond"/>
        </w:rPr>
        <w:t xml:space="preserve">(TTE) </w:t>
      </w:r>
      <w:r w:rsidR="00881A29" w:rsidRPr="00381F61">
        <w:rPr>
          <w:rFonts w:ascii="Garamond" w:hAnsi="Garamond"/>
        </w:rPr>
        <w:t>in the same way as other savings, such as through a bank account</w:t>
      </w:r>
      <w:r w:rsidR="00881A29" w:rsidRPr="00381F61">
        <w:rPr>
          <w:rStyle w:val="FootnoteReference"/>
          <w:rFonts w:ascii="Garamond" w:hAnsi="Garamond"/>
        </w:rPr>
        <w:footnoteReference w:id="158"/>
      </w:r>
      <w:r w:rsidR="0092685B" w:rsidRPr="00381F61">
        <w:rPr>
          <w:rFonts w:ascii="Garamond" w:hAnsi="Garamond"/>
        </w:rPr>
        <w:t xml:space="preserve"> - see section 9 (On tax subsidies for saving) for more on this.  </w:t>
      </w:r>
      <w:r w:rsidR="00881A29" w:rsidRPr="00381F61">
        <w:rPr>
          <w:rFonts w:ascii="Garamond" w:hAnsi="Garamond"/>
        </w:rPr>
        <w:t>Cash and indirect benefits now have broadly similar tax treatments so one reason for the development of different types of be</w:t>
      </w:r>
      <w:r w:rsidRPr="00381F61">
        <w:rPr>
          <w:rFonts w:ascii="Garamond" w:hAnsi="Garamond"/>
        </w:rPr>
        <w:t>nefits</w:t>
      </w:r>
      <w:r w:rsidR="00881A29" w:rsidRPr="00381F61">
        <w:rPr>
          <w:rFonts w:ascii="Garamond" w:hAnsi="Garamond"/>
        </w:rPr>
        <w:t xml:space="preserve"> has gone</w:t>
      </w:r>
      <w:r w:rsidRPr="00381F61">
        <w:rPr>
          <w:rFonts w:ascii="Garamond" w:hAnsi="Garamond"/>
        </w:rPr>
        <w:t xml:space="preserve"> –</w:t>
      </w:r>
      <w:r w:rsidR="00946F22" w:rsidRPr="00381F61">
        <w:rPr>
          <w:rFonts w:ascii="Garamond" w:hAnsi="Garamond"/>
        </w:rPr>
        <w:t xml:space="preserve"> New Zealand</w:t>
      </w:r>
      <w:r w:rsidRPr="00381F61">
        <w:rPr>
          <w:rFonts w:ascii="Garamond" w:hAnsi="Garamond"/>
        </w:rPr>
        <w:t xml:space="preserve"> </w:t>
      </w:r>
      <w:r w:rsidR="0092685B" w:rsidRPr="00381F61">
        <w:rPr>
          <w:rFonts w:ascii="Garamond" w:hAnsi="Garamond"/>
        </w:rPr>
        <w:t>is alone in this</w:t>
      </w:r>
      <w:r w:rsidRPr="00381F61">
        <w:rPr>
          <w:rFonts w:ascii="Garamond" w:hAnsi="Garamond"/>
        </w:rPr>
        <w:t xml:space="preserve"> regard</w:t>
      </w:r>
      <w:r w:rsidR="00881A29" w:rsidRPr="00381F61">
        <w:rPr>
          <w:rFonts w:ascii="Garamond" w:hAnsi="Garamond"/>
        </w:rPr>
        <w:t>.</w:t>
      </w:r>
    </w:p>
    <w:p w14:paraId="3A9E7881" w14:textId="77777777" w:rsidR="00881A29" w:rsidRPr="00381F61" w:rsidRDefault="00881A29" w:rsidP="00881A29">
      <w:pPr>
        <w:pStyle w:val="FootnoteText"/>
        <w:ind w:left="425"/>
        <w:rPr>
          <w:rFonts w:ascii="Garamond" w:hAnsi="Garamond"/>
          <w:sz w:val="8"/>
          <w:szCs w:val="8"/>
        </w:rPr>
      </w:pPr>
    </w:p>
    <w:p w14:paraId="6C81BDB5" w14:textId="6FA955B6" w:rsidR="00881A29" w:rsidRPr="00381F61" w:rsidRDefault="007C6366" w:rsidP="00043E1D">
      <w:pPr>
        <w:pStyle w:val="FootnoteText"/>
        <w:ind w:left="425"/>
        <w:jc w:val="both"/>
        <w:rPr>
          <w:rFonts w:ascii="Garamond" w:hAnsi="Garamond"/>
        </w:rPr>
      </w:pPr>
      <w:r w:rsidRPr="00381F61">
        <w:rPr>
          <w:rFonts w:ascii="Garamond" w:hAnsi="Garamond"/>
          <w:b/>
        </w:rPr>
        <w:t>(b)</w:t>
      </w:r>
      <w:r w:rsidR="00881A29" w:rsidRPr="00381F61">
        <w:rPr>
          <w:rFonts w:ascii="Garamond" w:hAnsi="Garamond"/>
          <w:b/>
        </w:rPr>
        <w:t xml:space="preserve"> Poor understanding of benefits: </w:t>
      </w:r>
      <w:r w:rsidR="00881A29" w:rsidRPr="00381F61">
        <w:rPr>
          <w:rFonts w:ascii="Garamond" w:hAnsi="Garamond"/>
        </w:rPr>
        <w:t>Employees tend not to understand (or know how to calculate) the total value of their compensation in a year.  They tend to under-value non-cash benefits or even not to value them at all, especially if they are not directly relevant to the employee’s particular needs.  As a result, the amounts spent by the employer are, in part, wasted.  Employers may not have communicated with or educated their employees wel</w:t>
      </w:r>
      <w:r w:rsidR="0092685B" w:rsidRPr="00381F61">
        <w:rPr>
          <w:rFonts w:ascii="Garamond" w:hAnsi="Garamond"/>
        </w:rPr>
        <w:t>l</w:t>
      </w:r>
      <w:r w:rsidR="005D50F2" w:rsidRPr="00381F61">
        <w:rPr>
          <w:rFonts w:ascii="Garamond" w:hAnsi="Garamond"/>
        </w:rPr>
        <w:t>,</w:t>
      </w:r>
      <w:r w:rsidR="0092685B" w:rsidRPr="00381F61">
        <w:rPr>
          <w:rFonts w:ascii="Garamond" w:hAnsi="Garamond"/>
        </w:rPr>
        <w:t xml:space="preserve"> so part of this waste was</w:t>
      </w:r>
      <w:r w:rsidR="00881A29" w:rsidRPr="00381F61">
        <w:rPr>
          <w:rFonts w:ascii="Garamond" w:hAnsi="Garamond"/>
        </w:rPr>
        <w:t xml:space="preserve"> self-inflicted.</w:t>
      </w:r>
    </w:p>
    <w:p w14:paraId="4857C895" w14:textId="77777777" w:rsidR="00881A29" w:rsidRPr="00381F61" w:rsidRDefault="00881A29" w:rsidP="00881A29">
      <w:pPr>
        <w:pStyle w:val="FootnoteText"/>
        <w:ind w:left="425"/>
        <w:rPr>
          <w:rFonts w:ascii="Garamond" w:hAnsi="Garamond"/>
          <w:sz w:val="8"/>
          <w:szCs w:val="8"/>
        </w:rPr>
      </w:pPr>
    </w:p>
    <w:p w14:paraId="6AB6D178" w14:textId="611D3395" w:rsidR="00881A29" w:rsidRPr="00381F61" w:rsidRDefault="000D7CC9" w:rsidP="00043E1D">
      <w:pPr>
        <w:pStyle w:val="FootnoteText"/>
        <w:ind w:left="425"/>
        <w:jc w:val="both"/>
        <w:rPr>
          <w:rFonts w:ascii="Garamond" w:hAnsi="Garamond"/>
        </w:rPr>
      </w:pPr>
      <w:r w:rsidRPr="00381F61">
        <w:rPr>
          <w:rFonts w:ascii="Garamond" w:hAnsi="Garamond"/>
          <w:b/>
        </w:rPr>
        <w:t>(c)</w:t>
      </w:r>
      <w:r w:rsidR="00881A29" w:rsidRPr="00381F61">
        <w:rPr>
          <w:rFonts w:ascii="Garamond" w:hAnsi="Garamond"/>
          <w:b/>
        </w:rPr>
        <w:t xml:space="preserve"> Correlation with performance: </w:t>
      </w:r>
      <w:r w:rsidR="00881A29" w:rsidRPr="00381F61">
        <w:rPr>
          <w:rFonts w:ascii="Garamond" w:hAnsi="Garamond"/>
        </w:rPr>
        <w:t>Benefits can only be indirectly related to an individual employee’s performance.  Benefits that are based on pay, such as retirement benefits, have some of that linkage but other benefits do not (for example, cars, medical insurance).</w:t>
      </w:r>
    </w:p>
    <w:p w14:paraId="028EE487" w14:textId="77777777" w:rsidR="00881A29" w:rsidRPr="00381F61" w:rsidRDefault="00881A29" w:rsidP="00881A29">
      <w:pPr>
        <w:pStyle w:val="FootnoteText"/>
        <w:ind w:left="425"/>
        <w:rPr>
          <w:rFonts w:ascii="Garamond" w:hAnsi="Garamond"/>
          <w:sz w:val="8"/>
          <w:szCs w:val="8"/>
        </w:rPr>
      </w:pPr>
    </w:p>
    <w:p w14:paraId="3EE1D327" w14:textId="7CA7EBA6" w:rsidR="00881A29" w:rsidRPr="00381F61" w:rsidRDefault="000D7CC9" w:rsidP="00043E1D">
      <w:pPr>
        <w:pStyle w:val="FootnoteText"/>
        <w:ind w:left="425"/>
        <w:jc w:val="both"/>
        <w:rPr>
          <w:rFonts w:ascii="Garamond" w:hAnsi="Garamond"/>
        </w:rPr>
      </w:pPr>
      <w:r w:rsidRPr="00381F61">
        <w:rPr>
          <w:rFonts w:ascii="Garamond" w:hAnsi="Garamond"/>
          <w:b/>
        </w:rPr>
        <w:t>(d)</w:t>
      </w:r>
      <w:r w:rsidR="00881A29" w:rsidRPr="00381F61">
        <w:rPr>
          <w:rFonts w:ascii="Garamond" w:hAnsi="Garamond"/>
          <w:b/>
        </w:rPr>
        <w:t xml:space="preserve"> Standardisation of </w:t>
      </w:r>
      <w:r w:rsidR="00AB14C3" w:rsidRPr="00381F61">
        <w:rPr>
          <w:rFonts w:ascii="Garamond" w:hAnsi="Garamond"/>
          <w:b/>
        </w:rPr>
        <w:t>benefits</w:t>
      </w:r>
      <w:r w:rsidR="00881A29" w:rsidRPr="00381F61">
        <w:rPr>
          <w:rFonts w:ascii="Garamond" w:hAnsi="Garamond"/>
          <w:b/>
        </w:rPr>
        <w:t xml:space="preserve">: </w:t>
      </w:r>
      <w:r w:rsidR="00881A29" w:rsidRPr="00381F61">
        <w:rPr>
          <w:rFonts w:ascii="Garamond" w:hAnsi="Garamond"/>
        </w:rPr>
        <w:t>Benefit schemes can be designed only for the average condition or for the average employee.  They will, by definition, over-provide for some and under-provide for others.  That over-provision can also arise from duplication where, for example, two different employers provide similar coverage for the same family (for example, medical insurance).</w:t>
      </w:r>
    </w:p>
    <w:p w14:paraId="786E5D47" w14:textId="77777777" w:rsidR="00881A29" w:rsidRPr="00381F61" w:rsidRDefault="00881A29" w:rsidP="00881A29">
      <w:pPr>
        <w:pStyle w:val="FootnoteText"/>
        <w:ind w:left="425"/>
        <w:rPr>
          <w:rFonts w:ascii="Garamond" w:hAnsi="Garamond"/>
          <w:sz w:val="8"/>
          <w:szCs w:val="8"/>
        </w:rPr>
      </w:pPr>
    </w:p>
    <w:p w14:paraId="3CFD6308" w14:textId="4C811749" w:rsidR="00881A29" w:rsidRPr="00381F61" w:rsidRDefault="000D7CC9" w:rsidP="00043E1D">
      <w:pPr>
        <w:pStyle w:val="FootnoteText"/>
        <w:ind w:left="425"/>
        <w:jc w:val="both"/>
        <w:rPr>
          <w:rFonts w:ascii="Garamond" w:hAnsi="Garamond"/>
        </w:rPr>
      </w:pPr>
      <w:r w:rsidRPr="00381F61">
        <w:rPr>
          <w:rFonts w:ascii="Garamond" w:hAnsi="Garamond"/>
          <w:b/>
        </w:rPr>
        <w:t>(e)</w:t>
      </w:r>
      <w:r w:rsidR="00881A29" w:rsidRPr="00381F61">
        <w:rPr>
          <w:rFonts w:ascii="Garamond" w:hAnsi="Garamond"/>
          <w:b/>
        </w:rPr>
        <w:t xml:space="preserve"> Changing tax treatment: </w:t>
      </w:r>
      <w:r w:rsidR="00881A29" w:rsidRPr="00381F61">
        <w:rPr>
          <w:rFonts w:ascii="Garamond" w:hAnsi="Garamond"/>
        </w:rPr>
        <w:t>As tax laws change, the pre-tax equivalent of ‘total remuneration’ changes, particularly if inconsistent changes occur across various types of benefit.  The employer has no control over tax changes but may end up paying for their impact if taxes, as happened in New Zealand, are imposed on the employer (as proxy) rather than directly on the employee</w:t>
      </w:r>
      <w:r w:rsidR="004F2CB5" w:rsidRPr="00381F61">
        <w:rPr>
          <w:rFonts w:ascii="Garamond" w:hAnsi="Garamond"/>
        </w:rPr>
        <w:t xml:space="preserve"> (such as Fringe Benefit Tax)</w:t>
      </w:r>
      <w:r w:rsidR="00881A29" w:rsidRPr="00381F61">
        <w:rPr>
          <w:rFonts w:ascii="Garamond" w:hAnsi="Garamond"/>
        </w:rPr>
        <w:t>.</w:t>
      </w:r>
    </w:p>
    <w:p w14:paraId="5FCCF5A8" w14:textId="77777777" w:rsidR="00881A29" w:rsidRPr="00381F61" w:rsidRDefault="00881A29" w:rsidP="00881A29">
      <w:pPr>
        <w:pStyle w:val="FootnoteText"/>
        <w:ind w:left="425"/>
        <w:rPr>
          <w:rFonts w:ascii="Garamond" w:hAnsi="Garamond"/>
          <w:sz w:val="8"/>
          <w:szCs w:val="8"/>
        </w:rPr>
      </w:pPr>
    </w:p>
    <w:p w14:paraId="54F9205F" w14:textId="06E96B5C" w:rsidR="00881A29" w:rsidRPr="00381F61" w:rsidRDefault="000D7CC9" w:rsidP="00043E1D">
      <w:pPr>
        <w:pStyle w:val="FootnoteText"/>
        <w:ind w:left="425"/>
        <w:jc w:val="both"/>
        <w:rPr>
          <w:rFonts w:ascii="Garamond" w:hAnsi="Garamond"/>
        </w:rPr>
      </w:pPr>
      <w:r w:rsidRPr="00381F61">
        <w:rPr>
          <w:rFonts w:ascii="Garamond" w:hAnsi="Garamond"/>
          <w:b/>
        </w:rPr>
        <w:t>(f)</w:t>
      </w:r>
      <w:r w:rsidR="00881A29" w:rsidRPr="00381F61">
        <w:rPr>
          <w:rFonts w:ascii="Garamond" w:hAnsi="Garamond"/>
          <w:b/>
        </w:rPr>
        <w:t xml:space="preserve"> Obstacles to participation: </w:t>
      </w:r>
      <w:r w:rsidR="00881A29" w:rsidRPr="00381F61">
        <w:rPr>
          <w:rFonts w:ascii="Garamond" w:hAnsi="Garamond"/>
        </w:rPr>
        <w:t>Employee benefit schemes tend to be unfair, particularly those that require members to contribute</w:t>
      </w:r>
      <w:r w:rsidRPr="00381F61">
        <w:rPr>
          <w:rFonts w:ascii="Garamond" w:hAnsi="Garamond"/>
        </w:rPr>
        <w:t xml:space="preserve"> (like KiwiSaver)</w:t>
      </w:r>
      <w:r w:rsidR="00881A29" w:rsidRPr="00381F61">
        <w:rPr>
          <w:rFonts w:ascii="Garamond" w:hAnsi="Garamond"/>
        </w:rPr>
        <w:t>.  These impose a contribution hurdle so that an elemen</w:t>
      </w:r>
      <w:r w:rsidR="006C22B1" w:rsidRPr="00381F61">
        <w:rPr>
          <w:rFonts w:ascii="Garamond" w:hAnsi="Garamond"/>
        </w:rPr>
        <w:t>t of compensation</w:t>
      </w:r>
      <w:r w:rsidR="00881A29" w:rsidRPr="00381F61">
        <w:rPr>
          <w:rFonts w:ascii="Garamond" w:hAnsi="Garamond"/>
        </w:rPr>
        <w:t xml:space="preserve"> is available only to those who can afford to join or who think that hurdle is important enough to jump.</w:t>
      </w:r>
    </w:p>
    <w:p w14:paraId="745BBD64" w14:textId="77777777" w:rsidR="00881A29" w:rsidRPr="00381F61" w:rsidRDefault="00881A29" w:rsidP="00881A29">
      <w:pPr>
        <w:pStyle w:val="FootnoteText"/>
        <w:ind w:left="425"/>
        <w:rPr>
          <w:rFonts w:ascii="Garamond" w:hAnsi="Garamond"/>
          <w:sz w:val="8"/>
          <w:szCs w:val="8"/>
        </w:rPr>
      </w:pPr>
    </w:p>
    <w:p w14:paraId="7E7DA035" w14:textId="4E4A2286" w:rsidR="00881A29" w:rsidRPr="00381F61" w:rsidRDefault="000D7CC9" w:rsidP="00043E1D">
      <w:pPr>
        <w:pStyle w:val="FootnoteText"/>
        <w:ind w:left="425"/>
        <w:jc w:val="both"/>
        <w:rPr>
          <w:rFonts w:ascii="Garamond" w:hAnsi="Garamond"/>
        </w:rPr>
      </w:pPr>
      <w:r w:rsidRPr="00381F61">
        <w:rPr>
          <w:rFonts w:ascii="Garamond" w:hAnsi="Garamond"/>
          <w:b/>
        </w:rPr>
        <w:t>(g)</w:t>
      </w:r>
      <w:r w:rsidR="00881A29" w:rsidRPr="00381F61">
        <w:rPr>
          <w:rFonts w:ascii="Garamond" w:hAnsi="Garamond"/>
          <w:b/>
        </w:rPr>
        <w:t xml:space="preserve"> Lack of relevanc</w:t>
      </w:r>
      <w:r w:rsidR="001A0CA9" w:rsidRPr="00381F61">
        <w:rPr>
          <w:rFonts w:ascii="Garamond" w:hAnsi="Garamond"/>
          <w:b/>
        </w:rPr>
        <w:t>e</w:t>
      </w:r>
      <w:r w:rsidR="00881A29" w:rsidRPr="00381F61">
        <w:rPr>
          <w:rFonts w:ascii="Garamond" w:hAnsi="Garamond"/>
          <w:b/>
        </w:rPr>
        <w:t xml:space="preserve">: </w:t>
      </w:r>
      <w:r w:rsidR="00881A29" w:rsidRPr="00381F61">
        <w:rPr>
          <w:rFonts w:ascii="Garamond" w:hAnsi="Garamond"/>
        </w:rPr>
        <w:t>Some employee benefit schemes are not relevant to an employee’s needs</w:t>
      </w:r>
      <w:r w:rsidR="005D50F2" w:rsidRPr="00381F61">
        <w:rPr>
          <w:rFonts w:ascii="Garamond" w:hAnsi="Garamond"/>
        </w:rPr>
        <w:t>,</w:t>
      </w:r>
      <w:r w:rsidR="00881A29" w:rsidRPr="00381F61">
        <w:rPr>
          <w:rFonts w:ascii="Garamond" w:hAnsi="Garamond"/>
        </w:rPr>
        <w:t xml:space="preserve"> so the price paid by the employer is wasted.  An example is the provision of life insurance cover for a single employee with no dependants.  In fact, the individual needs of employees cannot be accommodated in a single level of benefits, delivered in bulk to all employees.</w:t>
      </w:r>
    </w:p>
    <w:p w14:paraId="34780D43" w14:textId="77777777" w:rsidR="00881A29" w:rsidRPr="00381F61" w:rsidRDefault="00881A29" w:rsidP="00881A29">
      <w:pPr>
        <w:pStyle w:val="FootnoteText"/>
        <w:ind w:left="425"/>
        <w:rPr>
          <w:rFonts w:ascii="Garamond" w:hAnsi="Garamond"/>
          <w:sz w:val="8"/>
          <w:szCs w:val="8"/>
        </w:rPr>
      </w:pPr>
    </w:p>
    <w:p w14:paraId="7CA18E7D" w14:textId="3A0E6ECE" w:rsidR="00881A29" w:rsidRPr="00381F61" w:rsidRDefault="000D7CC9" w:rsidP="00043E1D">
      <w:pPr>
        <w:pStyle w:val="FootnoteText"/>
        <w:ind w:left="425"/>
        <w:jc w:val="both"/>
        <w:rPr>
          <w:rFonts w:ascii="Garamond" w:hAnsi="Garamond"/>
        </w:rPr>
      </w:pPr>
      <w:r w:rsidRPr="00381F61">
        <w:rPr>
          <w:rFonts w:ascii="Garamond" w:hAnsi="Garamond"/>
          <w:b/>
        </w:rPr>
        <w:t>(h)</w:t>
      </w:r>
      <w:r w:rsidR="00881A29" w:rsidRPr="00381F61">
        <w:rPr>
          <w:rFonts w:ascii="Garamond" w:hAnsi="Garamond"/>
          <w:b/>
        </w:rPr>
        <w:t xml:space="preserve"> Collective agreements less important:</w:t>
      </w:r>
      <w:r w:rsidR="00881A29" w:rsidRPr="00381F61">
        <w:rPr>
          <w:rFonts w:ascii="Garamond" w:hAnsi="Garamond"/>
        </w:rPr>
        <w:t xml:space="preserve"> ‘Collective’ employment agreements are much less common than previously.  Union </w:t>
      </w:r>
      <w:r w:rsidR="005609B0" w:rsidRPr="00381F61">
        <w:rPr>
          <w:rFonts w:ascii="Garamond" w:hAnsi="Garamond"/>
        </w:rPr>
        <w:t>membership</w:t>
      </w:r>
      <w:r w:rsidR="00881A29" w:rsidRPr="00381F61">
        <w:rPr>
          <w:rFonts w:ascii="Garamond" w:hAnsi="Garamond"/>
        </w:rPr>
        <w:t xml:space="preserve"> in New Zealand is now about 17</w:t>
      </w:r>
      <w:r w:rsidR="0005029A" w:rsidRPr="00381F61">
        <w:rPr>
          <w:rFonts w:ascii="Garamond" w:hAnsi="Garamond"/>
        </w:rPr>
        <w:t>.</w:t>
      </w:r>
      <w:r w:rsidR="001A0CA9" w:rsidRPr="00381F61">
        <w:rPr>
          <w:rFonts w:ascii="Garamond" w:hAnsi="Garamond"/>
        </w:rPr>
        <w:t>2</w:t>
      </w:r>
      <w:r w:rsidR="00881A29" w:rsidRPr="00381F61">
        <w:rPr>
          <w:rFonts w:ascii="Garamond" w:hAnsi="Garamond"/>
        </w:rPr>
        <w:t xml:space="preserve">% </w:t>
      </w:r>
      <w:r w:rsidR="00502D79" w:rsidRPr="00381F61">
        <w:rPr>
          <w:rFonts w:ascii="Garamond" w:hAnsi="Garamond"/>
        </w:rPr>
        <w:t>of employees in the workforce</w:t>
      </w:r>
      <w:r w:rsidR="00502D79" w:rsidRPr="00381F61">
        <w:rPr>
          <w:rStyle w:val="FootnoteReference"/>
          <w:rFonts w:ascii="Garamond" w:hAnsi="Garamond"/>
        </w:rPr>
        <w:footnoteReference w:id="159"/>
      </w:r>
      <w:r w:rsidR="00502D79" w:rsidRPr="00381F61">
        <w:rPr>
          <w:rFonts w:ascii="Garamond" w:hAnsi="Garamond"/>
        </w:rPr>
        <w:t xml:space="preserve"> </w:t>
      </w:r>
      <w:r w:rsidR="00881A29" w:rsidRPr="00381F61">
        <w:rPr>
          <w:rFonts w:ascii="Garamond" w:hAnsi="Garamond"/>
        </w:rPr>
        <w:t xml:space="preserve">and collective employment agreements apply to about </w:t>
      </w:r>
      <w:r w:rsidR="00DC1603" w:rsidRPr="00381F61">
        <w:rPr>
          <w:rFonts w:ascii="Garamond" w:hAnsi="Garamond"/>
        </w:rPr>
        <w:t>30</w:t>
      </w:r>
      <w:r w:rsidR="00881A29" w:rsidRPr="00381F61">
        <w:rPr>
          <w:rFonts w:ascii="Garamond" w:hAnsi="Garamond"/>
        </w:rPr>
        <w:t>% of the employed workf</w:t>
      </w:r>
      <w:r w:rsidR="000A09F7" w:rsidRPr="00381F61">
        <w:rPr>
          <w:rFonts w:ascii="Garamond" w:hAnsi="Garamond"/>
        </w:rPr>
        <w:t>orce.</w:t>
      </w:r>
      <w:r w:rsidR="00881A29" w:rsidRPr="00381F61">
        <w:rPr>
          <w:rStyle w:val="FootnoteReference"/>
          <w:rFonts w:ascii="Garamond" w:hAnsi="Garamond"/>
        </w:rPr>
        <w:footnoteReference w:id="160"/>
      </w:r>
      <w:r w:rsidR="00881A29" w:rsidRPr="00381F61">
        <w:rPr>
          <w:rFonts w:ascii="Garamond" w:hAnsi="Garamond"/>
        </w:rPr>
        <w:t xml:space="preserve">  The emphasis in New Zealand is now on the individual employment relationship.  Traditional employee benefit schemes are difficult to adapt to individual relationships that potentially have an infinite variety.  One employee can have a variety of arrangements with one or more employers.</w:t>
      </w:r>
    </w:p>
    <w:p w14:paraId="5CE458BB" w14:textId="77777777" w:rsidR="00881A29" w:rsidRPr="00381F61" w:rsidRDefault="00881A29" w:rsidP="00881A29">
      <w:pPr>
        <w:pStyle w:val="FootnoteText"/>
        <w:ind w:left="425"/>
        <w:rPr>
          <w:rFonts w:ascii="Garamond" w:hAnsi="Garamond"/>
          <w:sz w:val="8"/>
          <w:szCs w:val="8"/>
        </w:rPr>
      </w:pPr>
    </w:p>
    <w:p w14:paraId="3F2CD992" w14:textId="5E20B412" w:rsidR="00881A29" w:rsidRPr="00381F61" w:rsidRDefault="00686BEB" w:rsidP="00043E1D">
      <w:pPr>
        <w:pStyle w:val="FootnoteText"/>
        <w:ind w:left="425"/>
        <w:jc w:val="both"/>
        <w:rPr>
          <w:rFonts w:ascii="Garamond" w:hAnsi="Garamond"/>
        </w:rPr>
      </w:pPr>
      <w:r w:rsidRPr="00381F61">
        <w:rPr>
          <w:rFonts w:ascii="Garamond" w:hAnsi="Garamond"/>
          <w:b/>
        </w:rPr>
        <w:t>(i)</w:t>
      </w:r>
      <w:r w:rsidR="00881A29" w:rsidRPr="00381F61">
        <w:rPr>
          <w:rFonts w:ascii="Garamond" w:hAnsi="Garamond"/>
          <w:b/>
        </w:rPr>
        <w:t xml:space="preserve"> Poor fit with variable pay: </w:t>
      </w:r>
      <w:r w:rsidR="00881A29" w:rsidRPr="00381F61">
        <w:rPr>
          <w:rFonts w:ascii="Garamond" w:hAnsi="Garamond"/>
        </w:rPr>
        <w:t xml:space="preserve">Pay-related benefits do not fit neatly into a variable pay environment (for example performance-based pay such as commissions or profit-sharing).  Artificial definitions of pay for benefit purposes are usually needed to limit the employer’s and employees’ exposure to risk and to preserve relativities.  Variable pay is usually excluded from counting in a </w:t>
      </w:r>
      <w:r w:rsidR="005609B0" w:rsidRPr="00381F61">
        <w:rPr>
          <w:rFonts w:ascii="Garamond" w:hAnsi="Garamond"/>
        </w:rPr>
        <w:t>‘defined benefit’ (</w:t>
      </w:r>
      <w:r w:rsidR="00881A29" w:rsidRPr="00381F61">
        <w:rPr>
          <w:rFonts w:ascii="Garamond" w:hAnsi="Garamond"/>
        </w:rPr>
        <w:t>DB</w:t>
      </w:r>
      <w:r w:rsidR="005609B0" w:rsidRPr="00381F61">
        <w:rPr>
          <w:rFonts w:ascii="Garamond" w:hAnsi="Garamond"/>
        </w:rPr>
        <w:t>)</w:t>
      </w:r>
      <w:r w:rsidR="00881A29" w:rsidRPr="00381F61">
        <w:rPr>
          <w:rFonts w:ascii="Garamond" w:hAnsi="Garamond"/>
        </w:rPr>
        <w:t xml:space="preserve"> retirement savings scheme or turned into a notional number to reflect the difficulty.</w:t>
      </w:r>
    </w:p>
    <w:p w14:paraId="36A39580" w14:textId="77777777" w:rsidR="00881A29" w:rsidRPr="00381F61" w:rsidRDefault="00881A29" w:rsidP="00881A29">
      <w:pPr>
        <w:pStyle w:val="FootnoteText"/>
        <w:ind w:left="425"/>
        <w:rPr>
          <w:rFonts w:ascii="Garamond" w:hAnsi="Garamond"/>
          <w:sz w:val="8"/>
          <w:szCs w:val="8"/>
        </w:rPr>
      </w:pPr>
    </w:p>
    <w:p w14:paraId="3CAB12B6" w14:textId="1BD57672" w:rsidR="00881A29" w:rsidRPr="00381F61" w:rsidRDefault="00686BEB" w:rsidP="00043E1D">
      <w:pPr>
        <w:pStyle w:val="FootnoteText"/>
        <w:ind w:left="425"/>
        <w:jc w:val="both"/>
        <w:rPr>
          <w:rFonts w:ascii="Garamond" w:hAnsi="Garamond"/>
        </w:rPr>
      </w:pPr>
      <w:r w:rsidRPr="00381F61">
        <w:rPr>
          <w:rFonts w:ascii="Garamond" w:hAnsi="Garamond"/>
          <w:b/>
        </w:rPr>
        <w:t>(j)</w:t>
      </w:r>
      <w:r w:rsidR="00881A29" w:rsidRPr="00381F61">
        <w:rPr>
          <w:rFonts w:ascii="Garamond" w:hAnsi="Garamond"/>
          <w:b/>
        </w:rPr>
        <w:t xml:space="preserve"> Lack of needs assessment: </w:t>
      </w:r>
      <w:r w:rsidR="00881A29" w:rsidRPr="00381F61">
        <w:rPr>
          <w:rFonts w:ascii="Garamond" w:hAnsi="Garamond"/>
        </w:rPr>
        <w:t>In the traditional ‘pay + benefits’ environment, the responsibility for designing and delivering benefits rests with the employer so employees tend not to assess their own needs.  Adequacy of coverage tends either to be assumed by the employee or, at least, not questioned, especially when the employee is not required to contribute directly.</w:t>
      </w:r>
    </w:p>
    <w:p w14:paraId="09F9A756" w14:textId="77777777" w:rsidR="00881A29" w:rsidRPr="00381F61" w:rsidRDefault="00881A29" w:rsidP="00881A29">
      <w:pPr>
        <w:pStyle w:val="FootnoteText"/>
        <w:ind w:left="425"/>
        <w:rPr>
          <w:rFonts w:ascii="Garamond" w:hAnsi="Garamond"/>
          <w:sz w:val="8"/>
          <w:szCs w:val="8"/>
        </w:rPr>
      </w:pPr>
    </w:p>
    <w:p w14:paraId="49955234" w14:textId="606D87B6" w:rsidR="00881A29" w:rsidRPr="00381F61" w:rsidRDefault="00686BEB" w:rsidP="00043E1D">
      <w:pPr>
        <w:pStyle w:val="FootnoteText"/>
        <w:ind w:left="425"/>
        <w:jc w:val="both"/>
        <w:rPr>
          <w:rFonts w:ascii="Garamond" w:hAnsi="Garamond"/>
        </w:rPr>
      </w:pPr>
      <w:r w:rsidRPr="00381F61">
        <w:rPr>
          <w:rFonts w:ascii="Garamond" w:hAnsi="Garamond"/>
          <w:b/>
        </w:rPr>
        <w:t>(k)</w:t>
      </w:r>
      <w:r w:rsidR="00881A29" w:rsidRPr="00381F61">
        <w:rPr>
          <w:rFonts w:ascii="Garamond" w:hAnsi="Garamond"/>
          <w:b/>
        </w:rPr>
        <w:t xml:space="preserve"> Job mobility:</w:t>
      </w:r>
      <w:r w:rsidR="00881A29" w:rsidRPr="00381F61">
        <w:rPr>
          <w:rFonts w:ascii="Garamond" w:hAnsi="Garamond"/>
        </w:rPr>
        <w:t xml:space="preserve"> Traditional employee benefit schemes tend to act as ‘golden handcuffs’ and to reward service rather than performance.  They can create a positive disincentive to leaving, creating situations that suit neither the employee nor the employer.  Examples here include the DB retirement savings scheme and medical insurance where the employee or a family member has an indifferent medical history.  Benefits that depend on pay also restrict employment practices such as reduced responsibilities, part-time work and other ways of easing the transition from fulltime work to fulltime retirement, or independent contracting.  Again, this potentially disadvantages both the employer and employee.</w:t>
      </w:r>
    </w:p>
    <w:p w14:paraId="007F6511" w14:textId="77777777" w:rsidR="00881A29" w:rsidRPr="00381F61" w:rsidRDefault="00881A29" w:rsidP="00881A29">
      <w:pPr>
        <w:pStyle w:val="FootnoteText"/>
        <w:ind w:left="425"/>
        <w:rPr>
          <w:rFonts w:ascii="Garamond" w:hAnsi="Garamond"/>
          <w:sz w:val="8"/>
          <w:szCs w:val="8"/>
        </w:rPr>
      </w:pPr>
    </w:p>
    <w:p w14:paraId="3254FE4A" w14:textId="5E9D0463" w:rsidR="00881A29" w:rsidRPr="00381F61" w:rsidRDefault="00686BEB" w:rsidP="00043E1D">
      <w:pPr>
        <w:pStyle w:val="FootnoteText"/>
        <w:ind w:left="425"/>
        <w:jc w:val="both"/>
        <w:rPr>
          <w:rFonts w:ascii="Garamond" w:hAnsi="Garamond"/>
        </w:rPr>
      </w:pPr>
      <w:r w:rsidRPr="00381F61">
        <w:rPr>
          <w:rFonts w:ascii="Garamond" w:hAnsi="Garamond"/>
          <w:b/>
        </w:rPr>
        <w:t>(l)</w:t>
      </w:r>
      <w:r w:rsidR="00881A29" w:rsidRPr="00381F61">
        <w:rPr>
          <w:rFonts w:ascii="Garamond" w:hAnsi="Garamond"/>
          <w:b/>
        </w:rPr>
        <w:t xml:space="preserve"> Regressive compensation component: </w:t>
      </w:r>
      <w:r w:rsidR="00881A29" w:rsidRPr="00381F61">
        <w:rPr>
          <w:rFonts w:ascii="Garamond" w:hAnsi="Garamond"/>
        </w:rPr>
        <w:t>The annual value of deferred compensation conferred on older employees under a DB scheme is significantly greater than on otherwise equivalent younger employees.  Two employees of different ages doing the same job on the same direct pay will receive very different ‘total remuneration’ because of the favour conferred by the DB scheme on the older employee.  If employees understood this process, the employer would find it difficult to explain the different ‘total remunerations’.  Fortunately for employers, most employees do not understand what is really happening.</w:t>
      </w:r>
    </w:p>
    <w:p w14:paraId="01AC30CF" w14:textId="77777777" w:rsidR="00881A29" w:rsidRPr="00381F61" w:rsidRDefault="00881A29" w:rsidP="00881A29">
      <w:pPr>
        <w:pStyle w:val="FootnoteText"/>
        <w:ind w:left="425"/>
        <w:rPr>
          <w:rFonts w:ascii="Garamond" w:hAnsi="Garamond"/>
          <w:sz w:val="8"/>
          <w:szCs w:val="8"/>
        </w:rPr>
      </w:pPr>
    </w:p>
    <w:p w14:paraId="45D91E99" w14:textId="4F9B33EA" w:rsidR="00881A29" w:rsidRPr="00381F61" w:rsidRDefault="00686BEB" w:rsidP="00043E1D">
      <w:pPr>
        <w:pStyle w:val="FootnoteText"/>
        <w:ind w:left="425"/>
        <w:jc w:val="both"/>
        <w:rPr>
          <w:rFonts w:ascii="Garamond" w:hAnsi="Garamond"/>
        </w:rPr>
      </w:pPr>
      <w:r w:rsidRPr="00381F61">
        <w:rPr>
          <w:rFonts w:ascii="Garamond" w:hAnsi="Garamond"/>
          <w:b/>
        </w:rPr>
        <w:t xml:space="preserve">(m) </w:t>
      </w:r>
      <w:r w:rsidR="00881A29" w:rsidRPr="00381F61">
        <w:rPr>
          <w:rFonts w:ascii="Garamond" w:hAnsi="Garamond"/>
          <w:b/>
        </w:rPr>
        <w:t xml:space="preserve"> Other distortions: </w:t>
      </w:r>
      <w:r w:rsidR="00881A29" w:rsidRPr="00381F61">
        <w:rPr>
          <w:rFonts w:ascii="Garamond" w:hAnsi="Garamond"/>
        </w:rPr>
        <w:t>DB retirement saving schemes have other unintended consequences that are inherent in their design:</w:t>
      </w:r>
    </w:p>
    <w:p w14:paraId="3577A7EB" w14:textId="77777777" w:rsidR="00881A29" w:rsidRPr="00381F61" w:rsidRDefault="00881A29" w:rsidP="00881A29">
      <w:pPr>
        <w:pStyle w:val="FootnoteText"/>
        <w:ind w:left="425"/>
        <w:rPr>
          <w:rFonts w:ascii="Garamond" w:hAnsi="Garamond"/>
          <w:sz w:val="8"/>
          <w:szCs w:val="8"/>
        </w:rPr>
      </w:pPr>
    </w:p>
    <w:p w14:paraId="4A71AA60" w14:textId="3CA7EE6D" w:rsidR="00881A29" w:rsidRPr="00381F61" w:rsidRDefault="00686BEB" w:rsidP="00043E1D">
      <w:pPr>
        <w:pStyle w:val="FootnoteText"/>
        <w:ind w:left="720"/>
        <w:jc w:val="both"/>
        <w:rPr>
          <w:rFonts w:ascii="Garamond" w:hAnsi="Garamond"/>
        </w:rPr>
      </w:pPr>
      <w:r w:rsidRPr="00381F61">
        <w:rPr>
          <w:rFonts w:ascii="Garamond" w:hAnsi="Garamond"/>
          <w:b/>
        </w:rPr>
        <w:t>(i</w:t>
      </w:r>
      <w:r w:rsidR="00881A29" w:rsidRPr="00381F61">
        <w:rPr>
          <w:rFonts w:ascii="Garamond" w:hAnsi="Garamond"/>
          <w:b/>
        </w:rPr>
        <w:t>) Female retirees advantaged:</w:t>
      </w:r>
      <w:r w:rsidR="00881A29" w:rsidRPr="00381F61">
        <w:rPr>
          <w:rFonts w:ascii="Garamond" w:hAnsi="Garamond"/>
        </w:rPr>
        <w:t xml:space="preserve"> Because a female pensioner is expected to live longer on average, a given retirement pension has a higher value when compared to the same pension payable to a male.  That distortion extends to the annual accrual of entitlements during service.</w:t>
      </w:r>
    </w:p>
    <w:p w14:paraId="05A21413" w14:textId="77777777" w:rsidR="00881A29" w:rsidRPr="00381F61" w:rsidRDefault="00881A29" w:rsidP="00881A29">
      <w:pPr>
        <w:pStyle w:val="FootnoteText"/>
        <w:ind w:left="720"/>
        <w:rPr>
          <w:rFonts w:ascii="Garamond" w:hAnsi="Garamond"/>
          <w:sz w:val="8"/>
          <w:szCs w:val="8"/>
        </w:rPr>
      </w:pPr>
    </w:p>
    <w:p w14:paraId="35E8BF4C" w14:textId="6DFE41A6" w:rsidR="00881A29" w:rsidRPr="00381F61" w:rsidRDefault="00686BEB" w:rsidP="00043E1D">
      <w:pPr>
        <w:pStyle w:val="FootnoteText"/>
        <w:ind w:left="720"/>
        <w:jc w:val="both"/>
        <w:rPr>
          <w:rFonts w:ascii="Garamond" w:hAnsi="Garamond"/>
        </w:rPr>
      </w:pPr>
      <w:r w:rsidRPr="00381F61">
        <w:rPr>
          <w:rFonts w:ascii="Garamond" w:hAnsi="Garamond"/>
          <w:b/>
        </w:rPr>
        <w:t>(ii</w:t>
      </w:r>
      <w:r w:rsidR="00FB6036" w:rsidRPr="00381F61">
        <w:rPr>
          <w:rFonts w:ascii="Garamond" w:hAnsi="Garamond"/>
          <w:b/>
        </w:rPr>
        <w:t>) E</w:t>
      </w:r>
      <w:r w:rsidR="00881A29" w:rsidRPr="00381F61">
        <w:rPr>
          <w:rFonts w:ascii="Garamond" w:hAnsi="Garamond"/>
          <w:b/>
        </w:rPr>
        <w:t xml:space="preserve">mployees </w:t>
      </w:r>
      <w:r w:rsidR="00FB6036" w:rsidRPr="00381F61">
        <w:rPr>
          <w:rFonts w:ascii="Garamond" w:hAnsi="Garamond"/>
          <w:b/>
        </w:rPr>
        <w:t xml:space="preserve">with dependants </w:t>
      </w:r>
      <w:r w:rsidR="00881A29" w:rsidRPr="00381F61">
        <w:rPr>
          <w:rFonts w:ascii="Garamond" w:hAnsi="Garamond"/>
          <w:b/>
        </w:rPr>
        <w:t xml:space="preserve">advantaged: </w:t>
      </w:r>
      <w:r w:rsidR="00881A29" w:rsidRPr="00381F61">
        <w:rPr>
          <w:rFonts w:ascii="Garamond" w:hAnsi="Garamond"/>
        </w:rPr>
        <w:t>If the pension entitlement carries with it an automatic continuing pension to a surviving spouse or partner, again the pension itself and the annual accrual of entitlements favour the partnered employee.</w:t>
      </w:r>
    </w:p>
    <w:p w14:paraId="3CFF8866" w14:textId="77777777" w:rsidR="00881A29" w:rsidRPr="00381F61" w:rsidRDefault="00881A29" w:rsidP="00881A29">
      <w:pPr>
        <w:pStyle w:val="FootnoteText"/>
        <w:ind w:left="720"/>
        <w:rPr>
          <w:rFonts w:ascii="Garamond" w:hAnsi="Garamond"/>
          <w:sz w:val="8"/>
          <w:szCs w:val="8"/>
        </w:rPr>
      </w:pPr>
    </w:p>
    <w:p w14:paraId="322076F7" w14:textId="696250CC" w:rsidR="00881A29" w:rsidRPr="00381F61" w:rsidRDefault="00686BEB" w:rsidP="00043E1D">
      <w:pPr>
        <w:pStyle w:val="FootnoteText"/>
        <w:ind w:left="720"/>
        <w:jc w:val="both"/>
        <w:rPr>
          <w:rFonts w:ascii="Garamond" w:hAnsi="Garamond"/>
        </w:rPr>
      </w:pPr>
      <w:r w:rsidRPr="00381F61">
        <w:rPr>
          <w:rFonts w:ascii="Garamond" w:hAnsi="Garamond"/>
          <w:b/>
        </w:rPr>
        <w:t>(iii</w:t>
      </w:r>
      <w:r w:rsidR="00881A29" w:rsidRPr="00381F61">
        <w:rPr>
          <w:rFonts w:ascii="Garamond" w:hAnsi="Garamond"/>
          <w:b/>
        </w:rPr>
        <w:t>) Star employees advantaged:</w:t>
      </w:r>
      <w:r w:rsidR="00881A29" w:rsidRPr="00381F61">
        <w:rPr>
          <w:rFonts w:ascii="Garamond" w:hAnsi="Garamond"/>
        </w:rPr>
        <w:t xml:space="preserve"> Employees who have careers marked by rapid pay increases are favoured over those with lower rates of increases.  An employer may want to retain and motivate the stars but if annual remuneration is the main retention tool, the employer might wonder why normally uncounted, retrospective increases in today’s remuneration are delivered through the DB scheme’s past service promises when benefits are based on pay near retirement.</w:t>
      </w:r>
    </w:p>
    <w:p w14:paraId="2280A744" w14:textId="77777777" w:rsidR="00881A29" w:rsidRPr="00381F61" w:rsidRDefault="00881A29" w:rsidP="00881A29">
      <w:pPr>
        <w:pStyle w:val="FootnoteText"/>
        <w:ind w:left="720"/>
        <w:rPr>
          <w:rFonts w:ascii="Garamond" w:hAnsi="Garamond"/>
          <w:sz w:val="8"/>
          <w:szCs w:val="8"/>
        </w:rPr>
      </w:pPr>
    </w:p>
    <w:p w14:paraId="3C9DA4C2" w14:textId="215F1D5E" w:rsidR="00881A29" w:rsidRPr="00381F61" w:rsidRDefault="00686BEB" w:rsidP="00043E1D">
      <w:pPr>
        <w:pStyle w:val="FootnoteText"/>
        <w:ind w:left="720"/>
        <w:jc w:val="both"/>
        <w:rPr>
          <w:rFonts w:ascii="Garamond" w:hAnsi="Garamond"/>
        </w:rPr>
      </w:pPr>
      <w:r w:rsidRPr="00381F61">
        <w:rPr>
          <w:rFonts w:ascii="Garamond" w:hAnsi="Garamond"/>
          <w:b/>
        </w:rPr>
        <w:t>(iv</w:t>
      </w:r>
      <w:r w:rsidR="00881A29" w:rsidRPr="00381F61">
        <w:rPr>
          <w:rFonts w:ascii="Garamond" w:hAnsi="Garamond"/>
          <w:b/>
        </w:rPr>
        <w:t>) Business risks to employer:</w:t>
      </w:r>
      <w:r w:rsidR="00881A29" w:rsidRPr="00381F61">
        <w:rPr>
          <w:rFonts w:ascii="Garamond" w:hAnsi="Garamond"/>
        </w:rPr>
        <w:t xml:space="preserve"> Because the employer-sponsor of a DB scheme promises to deliver benefits at the end of long (but uncertain) periods of service and for long, uncertain periods in retirement, the employer exposes itself to uncontrollable business risks that will probably be alien to its normal operations.  It acquires an investment management business with potentially large financial obligations if the returns are low</w:t>
      </w:r>
      <w:r w:rsidR="001F312F" w:rsidRPr="00381F61">
        <w:rPr>
          <w:rFonts w:ascii="Garamond" w:hAnsi="Garamond"/>
        </w:rPr>
        <w:t>er than required</w:t>
      </w:r>
      <w:r w:rsidR="00881A29" w:rsidRPr="00381F61">
        <w:rPr>
          <w:rFonts w:ascii="Garamond" w:hAnsi="Garamond"/>
        </w:rPr>
        <w:t>.  A DB scheme also exposes the employer to an uninsurable inflation risk and to a numbingly complex regulatory environment.  DB schemes can become an unacceptable risk of doing business</w:t>
      </w:r>
      <w:r w:rsidR="00881A29" w:rsidRPr="00381F61">
        <w:rPr>
          <w:rStyle w:val="FootnoteReference"/>
          <w:rFonts w:ascii="Garamond" w:hAnsi="Garamond"/>
        </w:rPr>
        <w:footnoteReference w:id="161"/>
      </w:r>
      <w:r w:rsidR="00881A29" w:rsidRPr="00381F61">
        <w:rPr>
          <w:rFonts w:ascii="Garamond" w:hAnsi="Garamond"/>
        </w:rPr>
        <w:t>.</w:t>
      </w:r>
    </w:p>
    <w:p w14:paraId="22AE8FB9" w14:textId="77777777" w:rsidR="00881A29" w:rsidRPr="00381F61" w:rsidRDefault="00881A29" w:rsidP="00881A29">
      <w:pPr>
        <w:pStyle w:val="FootnoteText"/>
        <w:rPr>
          <w:rFonts w:ascii="Garamond" w:hAnsi="Garamond"/>
        </w:rPr>
      </w:pPr>
    </w:p>
    <w:p w14:paraId="1DCC7018" w14:textId="1BCC14DB" w:rsidR="00881A29" w:rsidRPr="00381F61" w:rsidRDefault="00881A29" w:rsidP="00043E1D">
      <w:pPr>
        <w:pStyle w:val="FootnoteText"/>
        <w:jc w:val="both"/>
        <w:rPr>
          <w:rFonts w:ascii="Garamond" w:hAnsi="Garamond"/>
        </w:rPr>
      </w:pPr>
      <w:r w:rsidRPr="00381F61">
        <w:rPr>
          <w:rFonts w:ascii="Garamond" w:hAnsi="Garamond"/>
        </w:rPr>
        <w:t xml:space="preserve">In summary, a ‘pay + benefits’ strategy tends to be complex, inflexible, misunderstood, undervalued, inappropriate and unfair.  Some of the problems are associated with just DB schemes; others with all subsidised retirement saving schemes, including </w:t>
      </w:r>
      <w:r w:rsidR="005609B0" w:rsidRPr="00381F61">
        <w:rPr>
          <w:rFonts w:ascii="Garamond" w:hAnsi="Garamond"/>
        </w:rPr>
        <w:t>defined contribution (</w:t>
      </w:r>
      <w:r w:rsidRPr="00381F61">
        <w:rPr>
          <w:rFonts w:ascii="Garamond" w:hAnsi="Garamond"/>
        </w:rPr>
        <w:t>DC</w:t>
      </w:r>
      <w:r w:rsidR="005609B0" w:rsidRPr="00381F61">
        <w:rPr>
          <w:rFonts w:ascii="Garamond" w:hAnsi="Garamond"/>
        </w:rPr>
        <w:t>)</w:t>
      </w:r>
      <w:r w:rsidRPr="00381F61">
        <w:rPr>
          <w:rFonts w:ascii="Garamond" w:hAnsi="Garamond"/>
        </w:rPr>
        <w:t xml:space="preserve"> schemes</w:t>
      </w:r>
      <w:r w:rsidR="005609B0" w:rsidRPr="00381F61">
        <w:rPr>
          <w:rFonts w:ascii="Garamond" w:hAnsi="Garamond"/>
        </w:rPr>
        <w:t xml:space="preserve"> like KiwiSaver</w:t>
      </w:r>
      <w:r w:rsidRPr="00381F61">
        <w:rPr>
          <w:rFonts w:ascii="Garamond" w:hAnsi="Garamond"/>
        </w:rPr>
        <w:t>; yet others derive from the inherently complicated nature of all collective saving vehicles and governments’ attempts to regulate their generosity (given their tax-favoured status) and their governance.</w:t>
      </w:r>
    </w:p>
    <w:p w14:paraId="46F511EC" w14:textId="77777777" w:rsidR="00881A29" w:rsidRPr="00381F61" w:rsidRDefault="00881A29" w:rsidP="00881A29">
      <w:pPr>
        <w:pStyle w:val="FootnoteText"/>
        <w:rPr>
          <w:rFonts w:ascii="Garamond" w:hAnsi="Garamond"/>
        </w:rPr>
      </w:pPr>
    </w:p>
    <w:p w14:paraId="42BD7655" w14:textId="61B9961C" w:rsidR="00881A29" w:rsidRPr="00381F61" w:rsidRDefault="00881A29" w:rsidP="00881A29">
      <w:pPr>
        <w:pStyle w:val="FootnoteText"/>
        <w:rPr>
          <w:rFonts w:ascii="Garamond" w:hAnsi="Garamond"/>
          <w:b/>
        </w:rPr>
      </w:pPr>
      <w:r w:rsidRPr="00381F61">
        <w:rPr>
          <w:rFonts w:ascii="Garamond" w:hAnsi="Garamond"/>
          <w:b/>
        </w:rPr>
        <w:t>‘Total remuneration’ – an alternative approach</w:t>
      </w:r>
    </w:p>
    <w:p w14:paraId="79716E6C" w14:textId="77777777" w:rsidR="00881A29" w:rsidRPr="00381F61" w:rsidRDefault="00881A29" w:rsidP="00043E1D">
      <w:pPr>
        <w:pStyle w:val="FootnoteText"/>
        <w:jc w:val="both"/>
        <w:rPr>
          <w:rFonts w:ascii="Garamond" w:hAnsi="Garamond"/>
        </w:rPr>
      </w:pPr>
      <w:r w:rsidRPr="00381F61">
        <w:rPr>
          <w:rFonts w:ascii="Garamond" w:hAnsi="Garamond"/>
        </w:rPr>
        <w:t>Employers need to get jobs done and to pay a price that is acceptable to employees.  The two parties must agree on the total price and that may be a mixture of regular cash and an ‘at risk’ or variable amount that depends on performance.</w:t>
      </w:r>
    </w:p>
    <w:p w14:paraId="0FA61362" w14:textId="77777777" w:rsidR="00881A29" w:rsidRPr="00381F61" w:rsidRDefault="00881A29" w:rsidP="00881A29">
      <w:pPr>
        <w:pStyle w:val="FootnoteText"/>
        <w:rPr>
          <w:rFonts w:ascii="Garamond" w:hAnsi="Garamond"/>
        </w:rPr>
      </w:pPr>
    </w:p>
    <w:p w14:paraId="71424AAD" w14:textId="03EBA055" w:rsidR="00881A29" w:rsidRPr="00381F61" w:rsidRDefault="00881A29" w:rsidP="00043E1D">
      <w:pPr>
        <w:pStyle w:val="FootnoteText"/>
        <w:jc w:val="both"/>
        <w:rPr>
          <w:rFonts w:ascii="Garamond" w:hAnsi="Garamond"/>
        </w:rPr>
      </w:pPr>
      <w:r w:rsidRPr="00381F61">
        <w:rPr>
          <w:rFonts w:ascii="Garamond" w:hAnsi="Garamond"/>
        </w:rPr>
        <w:t xml:space="preserve">Having agreed that price, the ‘total remuneration’ approach suggests there should be no restrictions on the way in which that price is delivered.  It can be all cash or a mixture of cash and benefits as the </w:t>
      </w:r>
      <w:r w:rsidRPr="00381F61">
        <w:rPr>
          <w:rFonts w:ascii="Garamond" w:hAnsi="Garamond"/>
          <w:i/>
        </w:rPr>
        <w:t>employee</w:t>
      </w:r>
      <w:r w:rsidRPr="00381F61">
        <w:rPr>
          <w:rFonts w:ascii="Garamond" w:hAnsi="Garamond"/>
        </w:rPr>
        <w:t xml:space="preserve"> chooses.  In an extreme case, the price could be d</w:t>
      </w:r>
      <w:r w:rsidR="00AA13F4" w:rsidRPr="00381F61">
        <w:rPr>
          <w:rFonts w:ascii="Garamond" w:hAnsi="Garamond"/>
        </w:rPr>
        <w:t>elivered entirely in benefits.</w:t>
      </w:r>
    </w:p>
    <w:p w14:paraId="325EB9AD" w14:textId="77777777" w:rsidR="00881A29" w:rsidRPr="00381F61" w:rsidRDefault="00881A29" w:rsidP="00881A29">
      <w:pPr>
        <w:pStyle w:val="FootnoteText"/>
        <w:rPr>
          <w:rFonts w:ascii="Garamond" w:hAnsi="Garamond"/>
        </w:rPr>
      </w:pPr>
    </w:p>
    <w:p w14:paraId="03530187" w14:textId="77777777" w:rsidR="005368FC" w:rsidRPr="00381F61" w:rsidRDefault="00881A29" w:rsidP="00043E1D">
      <w:pPr>
        <w:pStyle w:val="FootnoteText"/>
        <w:jc w:val="both"/>
        <w:rPr>
          <w:rFonts w:ascii="Garamond" w:hAnsi="Garamond"/>
        </w:rPr>
      </w:pPr>
      <w:r w:rsidRPr="00381F61">
        <w:rPr>
          <w:rFonts w:ascii="Garamond" w:hAnsi="Garamond"/>
          <w:b/>
        </w:rPr>
        <w:t>No employer subsidies</w:t>
      </w:r>
    </w:p>
    <w:p w14:paraId="05695C0D" w14:textId="1B8F2E47" w:rsidR="008102DD" w:rsidRPr="00381F61" w:rsidRDefault="008102DD" w:rsidP="00043E1D">
      <w:pPr>
        <w:pStyle w:val="FootnoteText"/>
        <w:jc w:val="both"/>
        <w:rPr>
          <w:rFonts w:ascii="Garamond" w:hAnsi="Garamond"/>
        </w:rPr>
      </w:pPr>
      <w:r w:rsidRPr="00381F61">
        <w:rPr>
          <w:rFonts w:ascii="Garamond" w:hAnsi="Garamond"/>
        </w:rPr>
        <w:t>Unless an employer can establish a business case for a particular benefit programme</w:t>
      </w:r>
      <w:r w:rsidR="004A5412" w:rsidRPr="00381F61">
        <w:rPr>
          <w:rStyle w:val="FootnoteReference"/>
          <w:rFonts w:ascii="Garamond" w:hAnsi="Garamond"/>
        </w:rPr>
        <w:footnoteReference w:id="162"/>
      </w:r>
      <w:r w:rsidRPr="00381F61">
        <w:rPr>
          <w:rFonts w:ascii="Garamond" w:hAnsi="Garamond"/>
        </w:rPr>
        <w:t>, a general move to a ‘total remuneration’ environment will see the eventual disappearance of subsidised retirement saving schemes.  If the government intervenes in this process (as with KiwiSaver and as in Australia with the compulsory SG Tier 2 retirement savings scheme), the committed ‘total remuneration’ employer should factor that forced contribution into its remuneration costs.  Where, as with KiwiSaver, that forced cost applies only to members, employers should, as a matter of equity, allow for the compulsory employer contribution as part of ‘total remuneration</w:t>
      </w:r>
      <w:r w:rsidR="00970BA9" w:rsidRPr="00381F61">
        <w:rPr>
          <w:rFonts w:ascii="Garamond" w:hAnsi="Garamond"/>
        </w:rPr>
        <w:t>’.  W</w:t>
      </w:r>
      <w:r w:rsidR="00652DBA" w:rsidRPr="00381F61">
        <w:rPr>
          <w:rFonts w:ascii="Garamond" w:hAnsi="Garamond"/>
        </w:rPr>
        <w:t>e have mo</w:t>
      </w:r>
      <w:r w:rsidRPr="00381F61">
        <w:rPr>
          <w:rFonts w:ascii="Garamond" w:hAnsi="Garamond"/>
        </w:rPr>
        <w:t xml:space="preserve">re </w:t>
      </w:r>
      <w:r w:rsidR="00652DBA" w:rsidRPr="00381F61">
        <w:rPr>
          <w:rFonts w:ascii="Garamond" w:hAnsi="Garamond"/>
        </w:rPr>
        <w:t>to say on this in the next section 14 (KiwiSaver in the new environment).</w:t>
      </w:r>
    </w:p>
    <w:p w14:paraId="47097336" w14:textId="77777777" w:rsidR="008102DD" w:rsidRPr="00381F61" w:rsidRDefault="008102DD" w:rsidP="00043E1D">
      <w:pPr>
        <w:pStyle w:val="FootnoteText"/>
        <w:jc w:val="both"/>
        <w:rPr>
          <w:rFonts w:ascii="Garamond" w:hAnsi="Garamond"/>
        </w:rPr>
      </w:pPr>
    </w:p>
    <w:p w14:paraId="4399455C" w14:textId="30E6E304" w:rsidR="00881A29" w:rsidRPr="00381F61" w:rsidRDefault="00652DBA" w:rsidP="00043E1D">
      <w:pPr>
        <w:pStyle w:val="FootnoteText"/>
        <w:jc w:val="both"/>
        <w:rPr>
          <w:rFonts w:ascii="Garamond" w:hAnsi="Garamond"/>
        </w:rPr>
      </w:pPr>
      <w:r w:rsidRPr="00381F61">
        <w:rPr>
          <w:rFonts w:ascii="Garamond" w:hAnsi="Garamond"/>
        </w:rPr>
        <w:t>So</w:t>
      </w:r>
      <w:r w:rsidR="00113659" w:rsidRPr="00381F61">
        <w:rPr>
          <w:rFonts w:ascii="Garamond" w:hAnsi="Garamond"/>
        </w:rPr>
        <w:t>,</w:t>
      </w:r>
      <w:r w:rsidRPr="00381F61">
        <w:rPr>
          <w:rFonts w:ascii="Garamond" w:hAnsi="Garamond"/>
        </w:rPr>
        <w:t xml:space="preserve"> the</w:t>
      </w:r>
      <w:r w:rsidR="00881A29" w:rsidRPr="00381F61">
        <w:rPr>
          <w:rFonts w:ascii="Garamond" w:hAnsi="Garamond"/>
        </w:rPr>
        <w:t xml:space="preserve"> employer fixes ‘total remuneration’ for a position</w:t>
      </w:r>
      <w:r w:rsidRPr="00381F61">
        <w:rPr>
          <w:rFonts w:ascii="Garamond" w:hAnsi="Garamond"/>
        </w:rPr>
        <w:t xml:space="preserve"> and</w:t>
      </w:r>
      <w:r w:rsidR="00881A29" w:rsidRPr="00381F61">
        <w:rPr>
          <w:rFonts w:ascii="Garamond" w:hAnsi="Garamond"/>
        </w:rPr>
        <w:t xml:space="preserve"> does not then impose any barrier in the deli</w:t>
      </w:r>
      <w:r w:rsidR="00360F91" w:rsidRPr="00381F61">
        <w:rPr>
          <w:rFonts w:ascii="Garamond" w:hAnsi="Garamond"/>
        </w:rPr>
        <w:t>very of the element that</w:t>
      </w:r>
      <w:r w:rsidR="00881A29" w:rsidRPr="00381F61">
        <w:rPr>
          <w:rFonts w:ascii="Garamond" w:hAnsi="Garamond"/>
        </w:rPr>
        <w:t xml:space="preserve"> is delivered as a subsidy </w:t>
      </w:r>
      <w:r w:rsidRPr="00381F61">
        <w:rPr>
          <w:rFonts w:ascii="Garamond" w:hAnsi="Garamond"/>
        </w:rPr>
        <w:t>in a ‘pay + benefits’ environment</w:t>
      </w:r>
      <w:r w:rsidR="00881A29" w:rsidRPr="00381F61">
        <w:rPr>
          <w:rFonts w:ascii="Garamond" w:hAnsi="Garamond"/>
        </w:rPr>
        <w:t>.</w:t>
      </w:r>
    </w:p>
    <w:p w14:paraId="44FA831D" w14:textId="77777777" w:rsidR="00881A29" w:rsidRPr="00381F61" w:rsidRDefault="00881A29" w:rsidP="00043E1D">
      <w:pPr>
        <w:pStyle w:val="FootnoteText"/>
        <w:jc w:val="both"/>
        <w:rPr>
          <w:rFonts w:ascii="Garamond" w:hAnsi="Garamond"/>
        </w:rPr>
      </w:pPr>
    </w:p>
    <w:p w14:paraId="63EF0C26" w14:textId="77777777" w:rsidR="00652DBA" w:rsidRPr="00381F61" w:rsidRDefault="00881A29" w:rsidP="00043E1D">
      <w:pPr>
        <w:pStyle w:val="FootnoteText"/>
        <w:jc w:val="both"/>
        <w:rPr>
          <w:rFonts w:ascii="Garamond" w:hAnsi="Garamond"/>
        </w:rPr>
      </w:pPr>
      <w:r w:rsidRPr="00381F61">
        <w:rPr>
          <w:rFonts w:ascii="Garamond" w:hAnsi="Garamond"/>
        </w:rPr>
        <w:t>Also, the employer will deliver that element to all employees, not just those who choose to join the scheme or who qualify to become a member after an eligibility period or other r</w:t>
      </w:r>
      <w:r w:rsidR="00652DBA" w:rsidRPr="00381F61">
        <w:rPr>
          <w:rFonts w:ascii="Garamond" w:hAnsi="Garamond"/>
        </w:rPr>
        <w:t>equirement has been satisfied.</w:t>
      </w:r>
    </w:p>
    <w:p w14:paraId="1C40A661" w14:textId="77777777" w:rsidR="00652DBA" w:rsidRPr="00381F61" w:rsidRDefault="00652DBA" w:rsidP="00043E1D">
      <w:pPr>
        <w:pStyle w:val="FootnoteText"/>
        <w:jc w:val="both"/>
        <w:rPr>
          <w:rFonts w:ascii="Garamond" w:hAnsi="Garamond"/>
        </w:rPr>
      </w:pPr>
    </w:p>
    <w:p w14:paraId="64824F9D" w14:textId="56BDB69E" w:rsidR="008B085D" w:rsidRPr="00381F61" w:rsidRDefault="00652DBA" w:rsidP="00043E1D">
      <w:pPr>
        <w:pStyle w:val="FootnoteText"/>
        <w:jc w:val="both"/>
        <w:rPr>
          <w:rFonts w:ascii="Garamond" w:hAnsi="Garamond"/>
        </w:rPr>
      </w:pPr>
      <w:r w:rsidRPr="00381F61">
        <w:rPr>
          <w:rFonts w:ascii="Garamond" w:hAnsi="Garamond"/>
        </w:rPr>
        <w:t xml:space="preserve">Before the major tax changes to superannuation in the 1987-1990 period, </w:t>
      </w:r>
      <w:r w:rsidR="00296AFC" w:rsidRPr="00381F61">
        <w:rPr>
          <w:rFonts w:ascii="Garamond" w:hAnsi="Garamond"/>
        </w:rPr>
        <w:t xml:space="preserve">membership of </w:t>
      </w:r>
      <w:r w:rsidR="00881A29" w:rsidRPr="00381F61">
        <w:rPr>
          <w:rFonts w:ascii="Garamond" w:hAnsi="Garamond"/>
        </w:rPr>
        <w:t xml:space="preserve">subsidised, occupational retirement saving schemes </w:t>
      </w:r>
      <w:r w:rsidR="008B085D" w:rsidRPr="00381F61">
        <w:rPr>
          <w:rFonts w:ascii="Garamond" w:hAnsi="Garamond"/>
        </w:rPr>
        <w:t xml:space="preserve">was low – only 22.6% of </w:t>
      </w:r>
      <w:r w:rsidR="00113659" w:rsidRPr="00381F61">
        <w:rPr>
          <w:rFonts w:ascii="Garamond" w:hAnsi="Garamond"/>
        </w:rPr>
        <w:t>employees</w:t>
      </w:r>
      <w:r w:rsidR="008B085D" w:rsidRPr="00381F61">
        <w:rPr>
          <w:rFonts w:ascii="Garamond" w:hAnsi="Garamond"/>
        </w:rPr>
        <w:t xml:space="preserve"> were ‘active’ members</w:t>
      </w:r>
      <w:r w:rsidR="009B39DA" w:rsidRPr="00381F61">
        <w:rPr>
          <w:rFonts w:ascii="Garamond" w:hAnsi="Garamond"/>
        </w:rPr>
        <w:t xml:space="preserve"> in 1990</w:t>
      </w:r>
      <w:r w:rsidR="008B085D" w:rsidRPr="00381F61">
        <w:rPr>
          <w:rFonts w:ascii="Garamond" w:hAnsi="Garamond"/>
        </w:rPr>
        <w:t>.  That proportion fell as schemes closed in subsequent years.  By 2003, only 13.9% were active members</w:t>
      </w:r>
      <w:r w:rsidR="008B085D" w:rsidRPr="00381F61">
        <w:rPr>
          <w:rStyle w:val="FootnoteReference"/>
          <w:rFonts w:ascii="Garamond" w:hAnsi="Garamond"/>
        </w:rPr>
        <w:footnoteReference w:id="163"/>
      </w:r>
      <w:r w:rsidR="008B085D" w:rsidRPr="00381F61">
        <w:rPr>
          <w:rFonts w:ascii="Garamond" w:hAnsi="Garamond"/>
        </w:rPr>
        <w:t>.</w:t>
      </w:r>
      <w:r w:rsidR="005364E5" w:rsidRPr="00381F61">
        <w:rPr>
          <w:rFonts w:ascii="Garamond" w:hAnsi="Garamond"/>
        </w:rPr>
        <w:t xml:space="preserve">  We should expect that number </w:t>
      </w:r>
      <w:r w:rsidR="00E44B17" w:rsidRPr="00381F61">
        <w:rPr>
          <w:rFonts w:ascii="Garamond" w:hAnsi="Garamond"/>
        </w:rPr>
        <w:t xml:space="preserve">to fall further.  Statistics New Zealand’s </w:t>
      </w:r>
      <w:r w:rsidR="00E44B17" w:rsidRPr="00381F61">
        <w:rPr>
          <w:rFonts w:ascii="Garamond" w:hAnsi="Garamond"/>
          <w:i/>
        </w:rPr>
        <w:t xml:space="preserve">Household Net Worth Survey </w:t>
      </w:r>
      <w:r w:rsidR="00E44B17" w:rsidRPr="00381F61">
        <w:rPr>
          <w:rFonts w:ascii="Garamond" w:hAnsi="Garamond"/>
        </w:rPr>
        <w:t xml:space="preserve">(accessible </w:t>
      </w:r>
      <w:hyperlink r:id="rId47" w:history="1">
        <w:r w:rsidR="00E44B17" w:rsidRPr="00381F61">
          <w:rPr>
            <w:rStyle w:val="Hyperlink"/>
            <w:rFonts w:ascii="Garamond" w:hAnsi="Garamond"/>
          </w:rPr>
          <w:t>here</w:t>
        </w:r>
      </w:hyperlink>
      <w:r w:rsidR="00E44B17" w:rsidRPr="00381F61">
        <w:rPr>
          <w:rFonts w:ascii="Garamond" w:hAnsi="Garamond"/>
        </w:rPr>
        <w:t>) reports that, at 2015, the proportion of the whole population (not just</w:t>
      </w:r>
      <w:r w:rsidR="00113659" w:rsidRPr="00381F61">
        <w:rPr>
          <w:rFonts w:ascii="Garamond" w:hAnsi="Garamond"/>
        </w:rPr>
        <w:t xml:space="preserve"> employees nor</w:t>
      </w:r>
      <w:r w:rsidR="00E44B17" w:rsidRPr="00381F61">
        <w:rPr>
          <w:rFonts w:ascii="Garamond" w:hAnsi="Garamond"/>
        </w:rPr>
        <w:t xml:space="preserve"> those under age 65) with a ‘non-KiwiSaver’ scheme was just 8%</w:t>
      </w:r>
      <w:r w:rsidR="00C44921" w:rsidRPr="00381F61">
        <w:rPr>
          <w:rFonts w:ascii="Garamond" w:hAnsi="Garamond"/>
        </w:rPr>
        <w:t xml:space="preserve"> but we do not know how that number relates to active, contributing, employed members</w:t>
      </w:r>
      <w:r w:rsidR="00E44B17" w:rsidRPr="00381F61">
        <w:rPr>
          <w:rFonts w:ascii="Garamond" w:hAnsi="Garamond"/>
        </w:rPr>
        <w:t>.</w:t>
      </w:r>
    </w:p>
    <w:p w14:paraId="70C641D3" w14:textId="77777777" w:rsidR="008B085D" w:rsidRPr="00381F61" w:rsidRDefault="008B085D" w:rsidP="00043E1D">
      <w:pPr>
        <w:pStyle w:val="FootnoteText"/>
        <w:jc w:val="both"/>
        <w:rPr>
          <w:rFonts w:ascii="Garamond" w:hAnsi="Garamond"/>
        </w:rPr>
      </w:pPr>
    </w:p>
    <w:p w14:paraId="00D25A11" w14:textId="29A75A3B" w:rsidR="00881A29" w:rsidRPr="00381F61" w:rsidRDefault="00881A29" w:rsidP="00881A29">
      <w:pPr>
        <w:pStyle w:val="FootnoteText"/>
        <w:rPr>
          <w:rFonts w:ascii="Garamond" w:hAnsi="Garamond"/>
        </w:rPr>
      </w:pPr>
      <w:r w:rsidRPr="00381F61">
        <w:rPr>
          <w:rFonts w:ascii="Garamond" w:hAnsi="Garamond"/>
          <w:b/>
        </w:rPr>
        <w:t>Should employers still be involved?</w:t>
      </w:r>
    </w:p>
    <w:p w14:paraId="20D5EBA9" w14:textId="77777777" w:rsidR="00881A29" w:rsidRPr="00381F61" w:rsidRDefault="00881A29" w:rsidP="00043E1D">
      <w:pPr>
        <w:pStyle w:val="FootnoteText"/>
        <w:jc w:val="both"/>
        <w:rPr>
          <w:rFonts w:ascii="Garamond" w:hAnsi="Garamond"/>
        </w:rPr>
      </w:pPr>
      <w:r w:rsidRPr="00381F61">
        <w:rPr>
          <w:rFonts w:ascii="Garamond" w:hAnsi="Garamond"/>
        </w:rPr>
        <w:t>In a ‘total remuneration’ environment, employees are responsible for making their own decisions about saving and insurance needs.  Arguably, the employer has no direct interest in those decisions, just as the employer has no direct role or interest in the decisions the employees make about the houses they buy, the food they eat or the clothes they wear.  Saving and insurance decisions are, or should be, personal and private.</w:t>
      </w:r>
    </w:p>
    <w:p w14:paraId="49BE6FB0" w14:textId="77777777" w:rsidR="00881A29" w:rsidRPr="00381F61" w:rsidRDefault="00881A29" w:rsidP="00881A29">
      <w:pPr>
        <w:pStyle w:val="FootnoteText"/>
        <w:rPr>
          <w:rFonts w:ascii="Garamond" w:hAnsi="Garamond"/>
        </w:rPr>
      </w:pPr>
    </w:p>
    <w:p w14:paraId="29CF883F" w14:textId="24FA491D" w:rsidR="00881A29" w:rsidRPr="00381F61" w:rsidRDefault="00881A29" w:rsidP="00043E1D">
      <w:pPr>
        <w:pStyle w:val="FootnoteText"/>
        <w:jc w:val="both"/>
        <w:rPr>
          <w:rFonts w:ascii="Garamond" w:hAnsi="Garamond"/>
        </w:rPr>
      </w:pPr>
      <w:r w:rsidRPr="00381F61">
        <w:rPr>
          <w:rFonts w:ascii="Garamond" w:hAnsi="Garamond"/>
        </w:rPr>
        <w:t>However, em</w:t>
      </w:r>
      <w:r w:rsidR="00946F22" w:rsidRPr="00381F61">
        <w:rPr>
          <w:rFonts w:ascii="Garamond" w:hAnsi="Garamond"/>
        </w:rPr>
        <w:t>ployers have historically been</w:t>
      </w:r>
      <w:r w:rsidRPr="00381F61">
        <w:rPr>
          <w:rFonts w:ascii="Garamond" w:hAnsi="Garamond"/>
        </w:rPr>
        <w:t xml:space="preserve"> involved in saving and insurance arrangements for employees and the reasons for that invo</w:t>
      </w:r>
      <w:r w:rsidR="00292754" w:rsidRPr="00381F61">
        <w:rPr>
          <w:rFonts w:ascii="Garamond" w:hAnsi="Garamond"/>
        </w:rPr>
        <w:t>lvement may still be relevant in</w:t>
      </w:r>
      <w:r w:rsidRPr="00381F61">
        <w:rPr>
          <w:rFonts w:ascii="Garamond" w:hAnsi="Garamond"/>
        </w:rPr>
        <w:t xml:space="preserve"> a ‘total remuneration’ environment.  </w:t>
      </w:r>
      <w:r w:rsidR="00946F22" w:rsidRPr="00381F61">
        <w:rPr>
          <w:rFonts w:ascii="Garamond" w:hAnsi="Garamond"/>
        </w:rPr>
        <w:t>B</w:t>
      </w:r>
      <w:r w:rsidRPr="00381F61">
        <w:rPr>
          <w:rFonts w:ascii="Garamond" w:hAnsi="Garamond"/>
        </w:rPr>
        <w:t>oth employers and governments have an interest in whether employees are, for example, saving ‘enough’ for retirement.</w:t>
      </w:r>
    </w:p>
    <w:p w14:paraId="2713663F" w14:textId="77777777" w:rsidR="00C44921" w:rsidRPr="00381F61" w:rsidRDefault="00C44921" w:rsidP="00043E1D">
      <w:pPr>
        <w:pStyle w:val="FootnoteText"/>
        <w:jc w:val="both"/>
        <w:rPr>
          <w:rFonts w:ascii="Garamond" w:hAnsi="Garamond"/>
        </w:rPr>
      </w:pPr>
    </w:p>
    <w:p w14:paraId="2E464672" w14:textId="543A9B97" w:rsidR="00C44921" w:rsidRPr="00381F61" w:rsidRDefault="00C44921" w:rsidP="00043E1D">
      <w:pPr>
        <w:pStyle w:val="FootnoteText"/>
        <w:jc w:val="both"/>
        <w:rPr>
          <w:rFonts w:ascii="Garamond" w:hAnsi="Garamond"/>
        </w:rPr>
      </w:pPr>
      <w:r w:rsidRPr="00381F61">
        <w:rPr>
          <w:rFonts w:ascii="Garamond" w:hAnsi="Garamond"/>
        </w:rPr>
        <w:t>Here are some of those reasons:</w:t>
      </w:r>
    </w:p>
    <w:p w14:paraId="590948CC" w14:textId="77777777" w:rsidR="00C44921" w:rsidRPr="00381F61" w:rsidRDefault="00C44921" w:rsidP="00043E1D">
      <w:pPr>
        <w:pStyle w:val="FootnoteText"/>
        <w:jc w:val="both"/>
        <w:rPr>
          <w:rFonts w:ascii="Garamond" w:hAnsi="Garamond"/>
          <w:sz w:val="8"/>
          <w:szCs w:val="8"/>
        </w:rPr>
      </w:pPr>
    </w:p>
    <w:p w14:paraId="6498EC07" w14:textId="2D0504D5" w:rsidR="00C44921" w:rsidRPr="00381F61" w:rsidRDefault="00C44921" w:rsidP="00043E1D">
      <w:pPr>
        <w:pStyle w:val="FootnoteText"/>
        <w:numPr>
          <w:ilvl w:val="0"/>
          <w:numId w:val="12"/>
        </w:numPr>
        <w:jc w:val="both"/>
        <w:rPr>
          <w:rFonts w:ascii="Garamond" w:hAnsi="Garamond"/>
          <w:b/>
        </w:rPr>
      </w:pPr>
      <w:r w:rsidRPr="00381F61">
        <w:rPr>
          <w:rFonts w:ascii="Garamond" w:hAnsi="Garamond"/>
          <w:b/>
        </w:rPr>
        <w:t xml:space="preserve">(i) HR policies: </w:t>
      </w:r>
      <w:r w:rsidRPr="00381F61">
        <w:rPr>
          <w:rFonts w:ascii="Garamond" w:hAnsi="Garamond"/>
        </w:rPr>
        <w:t>When the employer wishes to move an employee on to a lesser role or even to terminate employment at an older age, an economic argument might encourage the employer to pay the employee to make the move.  The cost of keeping the employee on might be otherwise higher than making the change now and payi</w:t>
      </w:r>
      <w:r w:rsidR="00927714" w:rsidRPr="00381F61">
        <w:rPr>
          <w:rFonts w:ascii="Garamond" w:hAnsi="Garamond"/>
        </w:rPr>
        <w:t>ng the money.  That HR</w:t>
      </w:r>
      <w:r w:rsidRPr="00381F61">
        <w:rPr>
          <w:rFonts w:ascii="Garamond" w:hAnsi="Garamond"/>
        </w:rPr>
        <w:t xml:space="preserve"> need will not disappear in a ‘total remuneration’ environment but the employer must recognise such </w:t>
      </w:r>
      <w:r w:rsidRPr="00381F61">
        <w:rPr>
          <w:rFonts w:ascii="Garamond" w:hAnsi="Garamond"/>
          <w:i/>
        </w:rPr>
        <w:t>ad hoc</w:t>
      </w:r>
      <w:r w:rsidRPr="00381F61">
        <w:rPr>
          <w:rFonts w:ascii="Garamond" w:hAnsi="Garamond"/>
        </w:rPr>
        <w:t xml:space="preserve"> payments are similar in character to the formal retirement saving scheme that is normally part of a ‘pay + benefits’ policy.  One of the reasons that employers introduced subsidised retirement saving schemes was to formalise the retirement process and to make the termination </w:t>
      </w:r>
      <w:r w:rsidR="00927714" w:rsidRPr="00381F61">
        <w:rPr>
          <w:rFonts w:ascii="Garamond" w:hAnsi="Garamond"/>
        </w:rPr>
        <w:t xml:space="preserve">or role-shifting </w:t>
      </w:r>
      <w:r w:rsidRPr="00381F61">
        <w:rPr>
          <w:rFonts w:ascii="Garamond" w:hAnsi="Garamond"/>
        </w:rPr>
        <w:t>easier to handle for both employees and the employer.</w:t>
      </w:r>
    </w:p>
    <w:p w14:paraId="1FFA1FBA" w14:textId="77777777" w:rsidR="00C44921" w:rsidRPr="00381F61" w:rsidRDefault="00C44921" w:rsidP="00043E1D">
      <w:pPr>
        <w:pStyle w:val="FootnoteText"/>
        <w:ind w:left="720"/>
        <w:jc w:val="both"/>
        <w:rPr>
          <w:rFonts w:ascii="Garamond" w:hAnsi="Garamond"/>
          <w:b/>
          <w:sz w:val="8"/>
          <w:szCs w:val="8"/>
        </w:rPr>
      </w:pPr>
    </w:p>
    <w:p w14:paraId="0D890A21" w14:textId="57B5A2CD" w:rsidR="00C44921" w:rsidRPr="00381F61" w:rsidRDefault="00C44921">
      <w:pPr>
        <w:pStyle w:val="FootnoteText"/>
        <w:numPr>
          <w:ilvl w:val="0"/>
          <w:numId w:val="12"/>
        </w:numPr>
        <w:jc w:val="both"/>
        <w:rPr>
          <w:rFonts w:ascii="Garamond" w:hAnsi="Garamond"/>
          <w:b/>
        </w:rPr>
      </w:pPr>
      <w:r w:rsidRPr="00381F61">
        <w:rPr>
          <w:rFonts w:ascii="Garamond" w:hAnsi="Garamond"/>
          <w:b/>
        </w:rPr>
        <w:t xml:space="preserve">(ii) Purchasing power: </w:t>
      </w:r>
      <w:r w:rsidRPr="00381F61">
        <w:rPr>
          <w:rFonts w:ascii="Garamond" w:hAnsi="Garamond"/>
        </w:rPr>
        <w:t>In most cases, an employer can buy financial services in bulk at a considerable discount to the costs faced by individual employees.  Even if the employer decides that employees should make their own decisions about saving and insurance, the employer can use its superior negotiating position to make those services available through group schemes and a payroll deduction facility.</w:t>
      </w:r>
    </w:p>
    <w:p w14:paraId="6E33832A" w14:textId="77777777" w:rsidR="00C44921" w:rsidRPr="00381F61" w:rsidRDefault="00C44921" w:rsidP="00043E1D">
      <w:pPr>
        <w:pStyle w:val="FootnoteText"/>
        <w:ind w:left="720"/>
        <w:jc w:val="both"/>
        <w:rPr>
          <w:rFonts w:ascii="Garamond" w:hAnsi="Garamond"/>
          <w:b/>
          <w:sz w:val="8"/>
          <w:szCs w:val="8"/>
        </w:rPr>
      </w:pPr>
    </w:p>
    <w:p w14:paraId="599FE794" w14:textId="0D5475C7" w:rsidR="00C44921" w:rsidRPr="00381F61" w:rsidRDefault="00C44921" w:rsidP="00043E1D">
      <w:pPr>
        <w:pStyle w:val="FootnoteText"/>
        <w:numPr>
          <w:ilvl w:val="0"/>
          <w:numId w:val="12"/>
        </w:numPr>
        <w:jc w:val="both"/>
        <w:rPr>
          <w:rFonts w:ascii="Garamond" w:hAnsi="Garamond"/>
          <w:b/>
        </w:rPr>
      </w:pPr>
      <w:r w:rsidRPr="00381F61">
        <w:rPr>
          <w:rFonts w:ascii="Garamond" w:hAnsi="Garamond"/>
          <w:b/>
        </w:rPr>
        <w:t xml:space="preserve">(iii) Information/education: </w:t>
      </w:r>
      <w:r w:rsidRPr="00381F61">
        <w:rPr>
          <w:rFonts w:ascii="Garamond" w:hAnsi="Garamond"/>
        </w:rPr>
        <w:t>The employer can help to achieve its HR objective ((i) above) by actively informing employees about the long-term, financial implications of saving for retirement – helping them to make ‘appropriate’ decisions about spending their ‘total remuneration’</w:t>
      </w:r>
      <w:r w:rsidR="00B2030D" w:rsidRPr="00381F61">
        <w:rPr>
          <w:rFonts w:ascii="Garamond" w:hAnsi="Garamond"/>
        </w:rPr>
        <w:t xml:space="preserve">.  </w:t>
      </w:r>
      <w:r w:rsidR="00927714" w:rsidRPr="00381F61">
        <w:rPr>
          <w:rFonts w:ascii="Garamond" w:hAnsi="Garamond"/>
        </w:rPr>
        <w:t xml:space="preserve">It will also help employees to understand what might happen if they do nothing so there are no surprises when the employee reaches retirement.  </w:t>
      </w:r>
      <w:r w:rsidR="00B2030D" w:rsidRPr="00381F61">
        <w:rPr>
          <w:rFonts w:ascii="Garamond" w:hAnsi="Garamond"/>
        </w:rPr>
        <w:t>That financi</w:t>
      </w:r>
      <w:r w:rsidRPr="00381F61">
        <w:rPr>
          <w:rFonts w:ascii="Garamond" w:hAnsi="Garamond"/>
        </w:rPr>
        <w:t xml:space="preserve">al education may help </w:t>
      </w:r>
      <w:r w:rsidR="00B2030D" w:rsidRPr="00381F61">
        <w:rPr>
          <w:rFonts w:ascii="Garamond" w:hAnsi="Garamond"/>
        </w:rPr>
        <w:t xml:space="preserve">the employer in its own business.  We have more to say about improving mathematical competence in section 20 (Information and education) </w:t>
      </w:r>
      <w:r w:rsidR="00927714" w:rsidRPr="00381F61">
        <w:rPr>
          <w:rFonts w:ascii="Garamond" w:hAnsi="Garamond"/>
        </w:rPr>
        <w:t xml:space="preserve">and </w:t>
      </w:r>
      <w:r w:rsidR="00B2030D" w:rsidRPr="00381F61">
        <w:rPr>
          <w:rFonts w:ascii="Garamond" w:hAnsi="Garamond"/>
        </w:rPr>
        <w:t>on the potential role of employers in helping develop the financial literacy of their employees.</w:t>
      </w:r>
      <w:r w:rsidR="00C422F3" w:rsidRPr="00381F61">
        <w:rPr>
          <w:rFonts w:ascii="Garamond" w:hAnsi="Garamond"/>
        </w:rPr>
        <w:t xml:space="preserve">  As that section explains, we have no recent information on what employers as a whole are doing in this area or whether employers might be interesting in doing more.</w:t>
      </w:r>
    </w:p>
    <w:p w14:paraId="47A6F624" w14:textId="77777777" w:rsidR="000D0068" w:rsidRPr="00381F61" w:rsidRDefault="000D0068" w:rsidP="00E71CEB">
      <w:pPr>
        <w:jc w:val="both"/>
        <w:rPr>
          <w:rFonts w:ascii="Garamond" w:hAnsi="Garamond"/>
          <w:b/>
        </w:rPr>
      </w:pPr>
    </w:p>
    <w:p w14:paraId="08AD9BC4" w14:textId="77777777" w:rsidR="00382EB3" w:rsidRPr="00381F61" w:rsidRDefault="00382EB3">
      <w:pPr>
        <w:rPr>
          <w:rFonts w:ascii="Garamond" w:hAnsi="Garamond"/>
          <w:b/>
        </w:rPr>
      </w:pPr>
      <w:r w:rsidRPr="00381F61">
        <w:rPr>
          <w:rFonts w:ascii="Garamond" w:hAnsi="Garamond"/>
          <w:b/>
        </w:rPr>
        <w:br w:type="page"/>
      </w:r>
    </w:p>
    <w:p w14:paraId="0D116C36" w14:textId="4569D8C3" w:rsidR="00C422F3" w:rsidRPr="00381F61" w:rsidRDefault="00C422F3" w:rsidP="00E71CEB">
      <w:pPr>
        <w:jc w:val="both"/>
        <w:rPr>
          <w:rFonts w:ascii="Garamond" w:hAnsi="Garamond"/>
          <w:b/>
        </w:rPr>
      </w:pPr>
      <w:r w:rsidRPr="00381F61">
        <w:rPr>
          <w:rFonts w:ascii="Garamond" w:hAnsi="Garamond"/>
          <w:b/>
        </w:rPr>
        <w:t>Implications for public policy</w:t>
      </w:r>
    </w:p>
    <w:p w14:paraId="3DD056DF" w14:textId="5D2F8553" w:rsidR="00C422F3" w:rsidRPr="00381F61" w:rsidRDefault="007C2876" w:rsidP="00E71CEB">
      <w:pPr>
        <w:jc w:val="both"/>
        <w:rPr>
          <w:rFonts w:ascii="Garamond" w:hAnsi="Garamond"/>
        </w:rPr>
      </w:pPr>
      <w:r w:rsidRPr="00381F61">
        <w:rPr>
          <w:rFonts w:ascii="Garamond" w:hAnsi="Garamond"/>
        </w:rPr>
        <w:t>Under historic ‘pay + benefits’ compensation strategies, the public policy focus was on employers and the retirement saving schemes they ran.  That meant regulation of offers by employers and trustees, information provided by schemes, preservation of accrued entitlements and their eventual distribution (including on winding up those schemes).</w:t>
      </w:r>
      <w:r w:rsidR="00927714" w:rsidRPr="00381F61">
        <w:rPr>
          <w:rFonts w:ascii="Garamond" w:hAnsi="Garamond"/>
        </w:rPr>
        <w:t xml:space="preserve">  Those rules are necessarily (and increasingly) complex.</w:t>
      </w:r>
    </w:p>
    <w:p w14:paraId="34DB31DD" w14:textId="77777777" w:rsidR="007C2876" w:rsidRPr="00381F61" w:rsidRDefault="007C2876" w:rsidP="00E71CEB">
      <w:pPr>
        <w:jc w:val="both"/>
        <w:rPr>
          <w:rFonts w:ascii="Garamond" w:hAnsi="Garamond"/>
        </w:rPr>
      </w:pPr>
    </w:p>
    <w:p w14:paraId="55EB2F1B" w14:textId="44B926BC" w:rsidR="007C2876" w:rsidRPr="00381F61" w:rsidRDefault="007C2876" w:rsidP="00E71CEB">
      <w:pPr>
        <w:jc w:val="both"/>
        <w:rPr>
          <w:rFonts w:ascii="Garamond" w:hAnsi="Garamond"/>
        </w:rPr>
      </w:pPr>
      <w:r w:rsidRPr="00381F61">
        <w:rPr>
          <w:rFonts w:ascii="Garamond" w:hAnsi="Garamond"/>
        </w:rPr>
        <w:t xml:space="preserve">The ‘customers’ of public policy initiatives in a ‘total remuneration’ environment are the savers themselves.  Everything the regulator does should focus on the needs of the savers to have appropriate information before committing to a saving programme, on joining, while a member and then on leaving.  Some of that communication can be delivered through the employment relationship, given the employer’s </w:t>
      </w:r>
      <w:r w:rsidR="003C4896" w:rsidRPr="00381F61">
        <w:rPr>
          <w:rFonts w:ascii="Garamond" w:hAnsi="Garamond"/>
        </w:rPr>
        <w:t>potential HR objectives</w:t>
      </w:r>
      <w:r w:rsidR="0050305E" w:rsidRPr="00381F61">
        <w:rPr>
          <w:rFonts w:ascii="Garamond" w:hAnsi="Garamond"/>
        </w:rPr>
        <w:t xml:space="preserve"> (see above) and, for the regulator, the much smaller number of employers.</w:t>
      </w:r>
      <w:r w:rsidR="007E0DA9" w:rsidRPr="00381F61">
        <w:rPr>
          <w:rStyle w:val="FootnoteReference"/>
          <w:rFonts w:ascii="Garamond" w:hAnsi="Garamond"/>
        </w:rPr>
        <w:footnoteReference w:id="164"/>
      </w:r>
    </w:p>
    <w:p w14:paraId="0CDB1E89" w14:textId="77777777" w:rsidR="00F112B3" w:rsidRPr="00381F61" w:rsidRDefault="00F112B3" w:rsidP="00E71CEB">
      <w:pPr>
        <w:jc w:val="both"/>
        <w:rPr>
          <w:rFonts w:ascii="Garamond" w:hAnsi="Garamond"/>
        </w:rPr>
      </w:pPr>
    </w:p>
    <w:p w14:paraId="5FF4A0D3" w14:textId="131A4561" w:rsidR="00F2146A" w:rsidRPr="00381F61" w:rsidRDefault="00825B0B" w:rsidP="00E71CEB">
      <w:pPr>
        <w:jc w:val="both"/>
        <w:rPr>
          <w:rFonts w:ascii="Garamond" w:hAnsi="Garamond"/>
          <w:b/>
        </w:rPr>
      </w:pPr>
      <w:r w:rsidRPr="00381F61">
        <w:rPr>
          <w:rFonts w:ascii="Garamond" w:hAnsi="Garamond"/>
          <w:b/>
        </w:rPr>
        <w:t>On ‘workplace’ superannuation schemes</w:t>
      </w:r>
    </w:p>
    <w:p w14:paraId="41021F5F" w14:textId="57F3441D" w:rsidR="000A0F97" w:rsidRPr="00381F61" w:rsidRDefault="000A0F97" w:rsidP="00E71CEB">
      <w:pPr>
        <w:jc w:val="both"/>
        <w:rPr>
          <w:rFonts w:ascii="Garamond" w:hAnsi="Garamond"/>
        </w:rPr>
      </w:pPr>
      <w:r w:rsidRPr="00381F61">
        <w:rPr>
          <w:rFonts w:ascii="Garamond" w:hAnsi="Garamond"/>
        </w:rPr>
        <w:t xml:space="preserve">In 2012, the Ministry of Business Innovation &amp; Employment published the </w:t>
      </w:r>
      <w:r w:rsidRPr="00381F61">
        <w:rPr>
          <w:rFonts w:ascii="Garamond" w:hAnsi="Garamond"/>
          <w:i/>
        </w:rPr>
        <w:t>Financial Markets Conduct Regulations – Discussion Paper</w:t>
      </w:r>
      <w:r w:rsidRPr="00381F61">
        <w:rPr>
          <w:rFonts w:ascii="Garamond" w:hAnsi="Garamond"/>
        </w:rPr>
        <w:t xml:space="preserve"> (accessible </w:t>
      </w:r>
      <w:hyperlink r:id="rId48" w:history="1">
        <w:r w:rsidRPr="00381F61">
          <w:rPr>
            <w:rStyle w:val="Hyperlink"/>
            <w:rFonts w:ascii="Garamond" w:hAnsi="Garamond"/>
          </w:rPr>
          <w:t>here</w:t>
        </w:r>
      </w:hyperlink>
      <w:r w:rsidRPr="00381F61">
        <w:rPr>
          <w:rFonts w:ascii="Garamond" w:hAnsi="Garamond"/>
        </w:rPr>
        <w:t>).</w:t>
      </w:r>
      <w:r w:rsidR="00AB0FE2" w:rsidRPr="00381F61">
        <w:rPr>
          <w:rFonts w:ascii="Garamond" w:hAnsi="Garamond"/>
        </w:rPr>
        <w:t xml:space="preserve">  It was a 243-page document that, in summary, lay the groundwork for how the then-new Financial Markets Authority would administer financial markets – we have more to say about the FMA in section 18 (Disclosure – initial and ongoing).</w:t>
      </w:r>
    </w:p>
    <w:p w14:paraId="07D20C2A" w14:textId="77777777" w:rsidR="00AB0FE2" w:rsidRPr="00381F61" w:rsidRDefault="00AB0FE2" w:rsidP="00E71CEB">
      <w:pPr>
        <w:jc w:val="both"/>
        <w:rPr>
          <w:rFonts w:ascii="Garamond" w:hAnsi="Garamond"/>
        </w:rPr>
      </w:pPr>
    </w:p>
    <w:p w14:paraId="23EA3CDE" w14:textId="29B9559C" w:rsidR="00AB0FE2" w:rsidRPr="00381F61" w:rsidRDefault="00AB0FE2" w:rsidP="00E71CEB">
      <w:pPr>
        <w:jc w:val="both"/>
        <w:rPr>
          <w:rFonts w:ascii="Garamond" w:hAnsi="Garamond"/>
        </w:rPr>
      </w:pPr>
      <w:r w:rsidRPr="00381F61">
        <w:rPr>
          <w:rFonts w:ascii="Garamond" w:hAnsi="Garamond"/>
        </w:rPr>
        <w:t xml:space="preserve">The Retirement Policy and Research Centre made a submission on one aspect of that </w:t>
      </w:r>
      <w:r w:rsidRPr="00381F61">
        <w:rPr>
          <w:rFonts w:ascii="Garamond" w:hAnsi="Garamond"/>
          <w:i/>
        </w:rPr>
        <w:t>Discussion Paper</w:t>
      </w:r>
      <w:r w:rsidRPr="00381F61">
        <w:rPr>
          <w:rStyle w:val="FootnoteReference"/>
          <w:rFonts w:ascii="Garamond" w:hAnsi="Garamond"/>
          <w:i/>
        </w:rPr>
        <w:footnoteReference w:id="165"/>
      </w:r>
      <w:r w:rsidR="001D2A28" w:rsidRPr="00381F61">
        <w:rPr>
          <w:rFonts w:ascii="Garamond" w:hAnsi="Garamond"/>
        </w:rPr>
        <w:t xml:space="preserve"> In summary, the </w:t>
      </w:r>
      <w:r w:rsidR="001D2A28" w:rsidRPr="00381F61">
        <w:rPr>
          <w:rFonts w:ascii="Garamond" w:hAnsi="Garamond"/>
          <w:i/>
        </w:rPr>
        <w:t>Discussion Paper</w:t>
      </w:r>
      <w:r w:rsidR="001D2A28" w:rsidRPr="00381F61">
        <w:rPr>
          <w:rFonts w:ascii="Garamond" w:hAnsi="Garamond"/>
        </w:rPr>
        <w:t xml:space="preserve"> proposed to change the rules on occupational superannuation schemes by denying members’ access to their savings until they reached a retirement age.  This was seemingly based on a view that ‘superannuation’ is (or should be) just about ‘retirement’</w:t>
      </w:r>
      <w:r w:rsidR="00962D53" w:rsidRPr="00381F61">
        <w:rPr>
          <w:rFonts w:ascii="Garamond" w:hAnsi="Garamond"/>
        </w:rPr>
        <w:t>.</w:t>
      </w:r>
      <w:r w:rsidR="001D2A28" w:rsidRPr="00381F61">
        <w:rPr>
          <w:rFonts w:ascii="Garamond" w:hAnsi="Garamond"/>
        </w:rPr>
        <w:t xml:space="preserve">  That ignored the fact that since the tax changes in 1987-1990, New Zealand (unlike all other countries) no longer had a regulatory stake in what occupational superannuation schemes’ main purpose should be.  The then Superannuation Schemes Act </w:t>
      </w:r>
      <w:r w:rsidR="00962D53" w:rsidRPr="00381F61">
        <w:rPr>
          <w:rFonts w:ascii="Garamond" w:hAnsi="Garamond"/>
        </w:rPr>
        <w:t xml:space="preserve">1989 (archive copy accessible </w:t>
      </w:r>
      <w:hyperlink r:id="rId49" w:history="1">
        <w:r w:rsidR="00962D53" w:rsidRPr="00381F61">
          <w:rPr>
            <w:rStyle w:val="Hyperlink"/>
            <w:rFonts w:ascii="Garamond" w:hAnsi="Garamond"/>
          </w:rPr>
          <w:t>here</w:t>
        </w:r>
      </w:hyperlink>
      <w:r w:rsidR="00962D53" w:rsidRPr="00381F61">
        <w:rPr>
          <w:rFonts w:ascii="Garamond" w:hAnsi="Garamond"/>
        </w:rPr>
        <w:t>) still had a provision that</w:t>
      </w:r>
      <w:r w:rsidR="005E4F86" w:rsidRPr="00381F61">
        <w:rPr>
          <w:rFonts w:ascii="Garamond" w:hAnsi="Garamond"/>
        </w:rPr>
        <w:t xml:space="preserve"> defined a ‘superannuation scheme’ as being “…principally for the purpose of providing retirement benefits to beneficiaries who are natural persons… (section 2(1) – definitions).  The 2012 </w:t>
      </w:r>
      <w:r w:rsidR="005E4F86" w:rsidRPr="00381F61">
        <w:rPr>
          <w:rFonts w:ascii="Garamond" w:hAnsi="Garamond"/>
          <w:i/>
        </w:rPr>
        <w:t>Discussion Paper</w:t>
      </w:r>
      <w:r w:rsidR="005E4F86" w:rsidRPr="00381F61">
        <w:rPr>
          <w:rFonts w:ascii="Garamond" w:hAnsi="Garamond"/>
        </w:rPr>
        <w:t xml:space="preserve"> proposed, essentially, to define what ‘retirement’ meant and to say that a workplace scheme had to be about saving for ‘retirement’ and not about insurance.</w:t>
      </w:r>
    </w:p>
    <w:p w14:paraId="64FE70A2" w14:textId="77777777" w:rsidR="0020661B" w:rsidRPr="00381F61" w:rsidRDefault="0020661B" w:rsidP="00E71CEB">
      <w:pPr>
        <w:jc w:val="both"/>
        <w:rPr>
          <w:rFonts w:ascii="Garamond" w:hAnsi="Garamond"/>
        </w:rPr>
      </w:pPr>
    </w:p>
    <w:p w14:paraId="743BBB2E" w14:textId="3824CF78" w:rsidR="0020661B" w:rsidRPr="00381F61" w:rsidRDefault="0020661B" w:rsidP="00E71CEB">
      <w:pPr>
        <w:jc w:val="both"/>
        <w:rPr>
          <w:rFonts w:ascii="Garamond" w:hAnsi="Garamond"/>
        </w:rPr>
      </w:pPr>
      <w:r w:rsidRPr="00381F61">
        <w:rPr>
          <w:rFonts w:ascii="Garamond" w:hAnsi="Garamond"/>
        </w:rPr>
        <w:t xml:space="preserve">In the end, the </w:t>
      </w:r>
      <w:r w:rsidRPr="00381F61">
        <w:rPr>
          <w:rFonts w:ascii="Garamond" w:hAnsi="Garamond"/>
          <w:i/>
        </w:rPr>
        <w:t>Discussion Paper’s</w:t>
      </w:r>
      <w:r w:rsidRPr="00381F61">
        <w:rPr>
          <w:rFonts w:ascii="Garamond" w:hAnsi="Garamond"/>
        </w:rPr>
        <w:t xml:space="preserve"> recommendations were </w:t>
      </w:r>
      <w:r w:rsidR="00536476" w:rsidRPr="00381F61">
        <w:rPr>
          <w:rFonts w:ascii="Garamond" w:hAnsi="Garamond"/>
        </w:rPr>
        <w:t>watered down in the Financial Markets Conduct Act 2013</w:t>
      </w:r>
      <w:r w:rsidR="001B3854" w:rsidRPr="00381F61">
        <w:rPr>
          <w:rFonts w:ascii="Garamond" w:hAnsi="Garamond"/>
        </w:rPr>
        <w:t xml:space="preserve"> so that a ‘workplace savings scheme’ can allow benefits to be paid to an employee “on leaving employment” (section 130(1)(b)(ii) accessible </w:t>
      </w:r>
      <w:hyperlink r:id="rId50" w:history="1">
        <w:r w:rsidR="001B3854" w:rsidRPr="00381F61">
          <w:rPr>
            <w:rStyle w:val="Hyperlink"/>
            <w:rFonts w:ascii="Garamond" w:hAnsi="Garamond"/>
          </w:rPr>
          <w:t>here</w:t>
        </w:r>
      </w:hyperlink>
      <w:r w:rsidR="001B3854" w:rsidRPr="00381F61">
        <w:rPr>
          <w:rFonts w:ascii="Garamond" w:hAnsi="Garamond"/>
        </w:rPr>
        <w:t>).  However, insurance benefits are permitted only if “they are incidental or secondary to the purposes of the scheme” (section 130(1)(c)(ii)).</w:t>
      </w:r>
      <w:r w:rsidR="00AC3124" w:rsidRPr="00381F61">
        <w:rPr>
          <w:rFonts w:ascii="Garamond" w:hAnsi="Garamond"/>
        </w:rPr>
        <w:t xml:space="preserve">  Saving provisions were included for then-existing ‘registered superannuation schemes’ that did not comply with the new rules.</w:t>
      </w:r>
    </w:p>
    <w:p w14:paraId="02FCD284" w14:textId="77777777" w:rsidR="00AC3124" w:rsidRPr="00381F61" w:rsidRDefault="00AC3124" w:rsidP="00E71CEB">
      <w:pPr>
        <w:jc w:val="both"/>
        <w:rPr>
          <w:rFonts w:ascii="Garamond" w:hAnsi="Garamond"/>
        </w:rPr>
      </w:pPr>
    </w:p>
    <w:p w14:paraId="77380D4D" w14:textId="5570A7D5" w:rsidR="00AC3124" w:rsidRPr="00381F61" w:rsidRDefault="00AC3124" w:rsidP="00E71CEB">
      <w:pPr>
        <w:jc w:val="both"/>
        <w:rPr>
          <w:rFonts w:ascii="Garamond" w:hAnsi="Garamond"/>
        </w:rPr>
      </w:pPr>
      <w:r w:rsidRPr="00381F61">
        <w:rPr>
          <w:rFonts w:ascii="Garamond" w:hAnsi="Garamond"/>
        </w:rPr>
        <w:t xml:space="preserve">Our </w:t>
      </w:r>
      <w:r w:rsidR="00780624" w:rsidRPr="00381F61">
        <w:rPr>
          <w:rFonts w:ascii="Garamond" w:hAnsi="Garamond"/>
        </w:rPr>
        <w:t>point here</w:t>
      </w:r>
      <w:r w:rsidRPr="00381F61">
        <w:rPr>
          <w:rFonts w:ascii="Garamond" w:hAnsi="Garamond"/>
        </w:rPr>
        <w:t xml:space="preserve"> is the same as </w:t>
      </w:r>
      <w:r w:rsidR="00780624" w:rsidRPr="00381F61">
        <w:rPr>
          <w:rFonts w:ascii="Garamond" w:hAnsi="Garamond"/>
        </w:rPr>
        <w:t xml:space="preserve">was </w:t>
      </w:r>
      <w:r w:rsidRPr="00381F61">
        <w:rPr>
          <w:rFonts w:ascii="Garamond" w:hAnsi="Garamond"/>
        </w:rPr>
        <w:t xml:space="preserve">raised in the RPRC’s 2013 submission: </w:t>
      </w:r>
    </w:p>
    <w:p w14:paraId="7F5EB293" w14:textId="77777777" w:rsidR="00F35307" w:rsidRPr="00381F61" w:rsidRDefault="00F35307" w:rsidP="00F35307">
      <w:pPr>
        <w:rPr>
          <w:rFonts w:ascii="Garamond" w:hAnsi="Garamond"/>
          <w:sz w:val="8"/>
          <w:szCs w:val="8"/>
        </w:rPr>
      </w:pPr>
    </w:p>
    <w:p w14:paraId="6B3585E6" w14:textId="4488BF90" w:rsidR="00F35307" w:rsidRPr="00381F61" w:rsidRDefault="00F35307" w:rsidP="00563816">
      <w:pPr>
        <w:ind w:left="709"/>
        <w:jc w:val="both"/>
        <w:rPr>
          <w:rFonts w:ascii="Garamond" w:hAnsi="Garamond"/>
          <w:sz w:val="22"/>
          <w:szCs w:val="22"/>
        </w:rPr>
      </w:pPr>
      <w:r w:rsidRPr="00381F61">
        <w:rPr>
          <w:rFonts w:ascii="Garamond" w:hAnsi="Garamond"/>
          <w:sz w:val="22"/>
          <w:szCs w:val="22"/>
        </w:rPr>
        <w:t xml:space="preserve">“We strongly oppose the proposal to change New Zealand’s regulatory requirements with respect to preservation of ‘superannuation’ benefits by restricting a saver’s access to their money when the vehicle is called a ‘superannuation scheme’. </w:t>
      </w:r>
      <w:r w:rsidR="00A35433" w:rsidRPr="00381F61">
        <w:rPr>
          <w:rFonts w:ascii="Garamond" w:hAnsi="Garamond"/>
          <w:sz w:val="22"/>
          <w:szCs w:val="22"/>
        </w:rPr>
        <w:t xml:space="preserve"> </w:t>
      </w:r>
      <w:r w:rsidRPr="00381F61">
        <w:rPr>
          <w:rFonts w:ascii="Garamond" w:hAnsi="Garamond"/>
          <w:sz w:val="22"/>
          <w:szCs w:val="22"/>
        </w:rPr>
        <w:t xml:space="preserve">The Discussion Document does not provide justification for such a regulatory intrusion on members’ entitlements. </w:t>
      </w:r>
      <w:r w:rsidR="007D14F9" w:rsidRPr="00381F61">
        <w:rPr>
          <w:rFonts w:ascii="Garamond" w:hAnsi="Garamond"/>
          <w:sz w:val="22"/>
          <w:szCs w:val="22"/>
        </w:rPr>
        <w:t xml:space="preserve"> </w:t>
      </w:r>
      <w:r w:rsidRPr="00381F61">
        <w:rPr>
          <w:rFonts w:ascii="Garamond" w:hAnsi="Garamond"/>
          <w:sz w:val="22"/>
          <w:szCs w:val="22"/>
        </w:rPr>
        <w:t>There is indeed no such justification in the absence of tax incentives on the savings or unless saving for retirement becomes compulsory.</w:t>
      </w:r>
      <w:r w:rsidR="00B61C91" w:rsidRPr="00381F61">
        <w:rPr>
          <w:rFonts w:ascii="Garamond" w:hAnsi="Garamond"/>
          <w:sz w:val="22"/>
          <w:szCs w:val="22"/>
        </w:rPr>
        <w:t>”</w:t>
      </w:r>
    </w:p>
    <w:p w14:paraId="088E1BDC" w14:textId="51405E66" w:rsidR="00F35307" w:rsidRPr="00381F61" w:rsidRDefault="00F35307" w:rsidP="00E71CEB">
      <w:pPr>
        <w:jc w:val="both"/>
        <w:rPr>
          <w:rFonts w:ascii="Garamond" w:hAnsi="Garamond"/>
        </w:rPr>
      </w:pPr>
    </w:p>
    <w:p w14:paraId="122FD1FA" w14:textId="1125B120" w:rsidR="000A0F97" w:rsidRPr="00381F61" w:rsidRDefault="00F35307" w:rsidP="00E71CEB">
      <w:pPr>
        <w:jc w:val="both"/>
        <w:rPr>
          <w:rFonts w:ascii="Garamond" w:hAnsi="Garamond"/>
        </w:rPr>
      </w:pPr>
      <w:r w:rsidRPr="00381F61">
        <w:rPr>
          <w:rFonts w:ascii="Garamond" w:hAnsi="Garamond"/>
        </w:rPr>
        <w:t>The new rules introduced by the Financial Markets Conduct Act 2013</w:t>
      </w:r>
      <w:r w:rsidR="00780624" w:rsidRPr="00381F61">
        <w:rPr>
          <w:rFonts w:ascii="Garamond" w:hAnsi="Garamond"/>
        </w:rPr>
        <w:t xml:space="preserve"> have</w:t>
      </w:r>
      <w:r w:rsidRPr="00381F61">
        <w:rPr>
          <w:rFonts w:ascii="Garamond" w:hAnsi="Garamond"/>
        </w:rPr>
        <w:t xml:space="preserve"> caused significant disruption and now</w:t>
      </w:r>
      <w:r w:rsidR="00780624" w:rsidRPr="00381F61">
        <w:rPr>
          <w:rFonts w:ascii="Garamond" w:hAnsi="Garamond"/>
        </w:rPr>
        <w:t xml:space="preserve"> need</w:t>
      </w:r>
      <w:r w:rsidRPr="00381F61">
        <w:rPr>
          <w:rFonts w:ascii="Garamond" w:hAnsi="Garamond"/>
        </w:rPr>
        <w:t xml:space="preserve"> to be unwound.  If we really want to encourage employers to engage with their employees on issues covered in this report, we need to make the regulatory environment as friendly as possible.</w:t>
      </w:r>
      <w:r w:rsidR="00BF7119" w:rsidRPr="00381F61">
        <w:rPr>
          <w:rFonts w:ascii="Garamond" w:hAnsi="Garamond"/>
        </w:rPr>
        <w:t xml:space="preserve">  The legislation actively intervenes to discourage such engagement.</w:t>
      </w:r>
    </w:p>
    <w:p w14:paraId="78AB4DA5" w14:textId="7BDEEA41" w:rsidR="00780624" w:rsidRPr="00381F61" w:rsidRDefault="00780624" w:rsidP="00E71CEB">
      <w:pPr>
        <w:jc w:val="both"/>
        <w:rPr>
          <w:rFonts w:ascii="Garamond" w:hAnsi="Garamond"/>
        </w:rPr>
      </w:pPr>
    </w:p>
    <w:p w14:paraId="02C736F7" w14:textId="77777777" w:rsidR="00B05496" w:rsidRPr="00381F61" w:rsidRDefault="00B05496" w:rsidP="00B05496">
      <w:pPr>
        <w:jc w:val="both"/>
        <w:rPr>
          <w:rFonts w:ascii="Garamond" w:hAnsi="Garamond"/>
        </w:rPr>
      </w:pPr>
      <w:r w:rsidRPr="00381F61">
        <w:rPr>
          <w:rFonts w:ascii="Garamond" w:hAnsi="Garamond"/>
          <w:b/>
        </w:rPr>
        <w:t>Terms of reference for 2019 Review</w:t>
      </w:r>
    </w:p>
    <w:p w14:paraId="2F9463D2" w14:textId="77777777" w:rsidR="00B05496" w:rsidRPr="00381F61" w:rsidRDefault="00B05496" w:rsidP="00B05496">
      <w:pPr>
        <w:jc w:val="both"/>
        <w:rPr>
          <w:rFonts w:ascii="Garamond" w:hAnsi="Garamond"/>
        </w:rPr>
      </w:pPr>
    </w:p>
    <w:p w14:paraId="6AC62AB5" w14:textId="6ECB22FF" w:rsidR="00B05496" w:rsidRPr="00381F61" w:rsidRDefault="00B05496" w:rsidP="00B05496">
      <w:pPr>
        <w:jc w:val="both"/>
        <w:rPr>
          <w:rFonts w:ascii="Garamond" w:hAnsi="Garamond"/>
        </w:rPr>
      </w:pPr>
      <w:r w:rsidRPr="00381F61">
        <w:rPr>
          <w:rFonts w:ascii="Garamond" w:hAnsi="Garamond"/>
        </w:rPr>
        <w:t>There was no mention in the Terms of Reference for the Retirement Commissioner’s 2019 Review of the issues associated with occupational superannuation schemes and the potential roles that employers might play in their employees’ retirement saving decisions.  However, a ‘generous’ interpretation of the first Term of Reference might extend to a consideration of these issues.</w:t>
      </w:r>
    </w:p>
    <w:p w14:paraId="08F210E2" w14:textId="77777777" w:rsidR="00B05496" w:rsidRPr="00381F61" w:rsidRDefault="00B05496" w:rsidP="00B05496">
      <w:pPr>
        <w:jc w:val="both"/>
        <w:rPr>
          <w:rFonts w:ascii="Garamond" w:hAnsi="Garamond"/>
          <w:color w:val="1A1A1A"/>
          <w:sz w:val="22"/>
          <w:szCs w:val="22"/>
        </w:rPr>
      </w:pPr>
    </w:p>
    <w:p w14:paraId="6222400A" w14:textId="0E265FDF" w:rsidR="00B05496" w:rsidRPr="00381F61" w:rsidRDefault="00B05496" w:rsidP="00701CA1">
      <w:pPr>
        <w:ind w:left="426" w:hanging="426"/>
        <w:jc w:val="both"/>
        <w:rPr>
          <w:rFonts w:ascii="Garamond" w:hAnsi="Garamond"/>
          <w:color w:val="1A1A1A"/>
          <w:sz w:val="22"/>
          <w:szCs w:val="22"/>
        </w:rPr>
      </w:pPr>
      <w:r w:rsidRPr="00381F61">
        <w:rPr>
          <w:rFonts w:ascii="Garamond" w:hAnsi="Garamond"/>
          <w:color w:val="1A1A1A"/>
          <w:sz w:val="22"/>
          <w:szCs w:val="22"/>
        </w:rPr>
        <w:t>“1.</w:t>
      </w:r>
      <w:r w:rsidRPr="00381F61">
        <w:rPr>
          <w:rFonts w:ascii="Garamond" w:hAnsi="Garamond"/>
          <w:color w:val="1A1A1A"/>
          <w:sz w:val="22"/>
          <w:szCs w:val="22"/>
        </w:rPr>
        <w:tab/>
        <w:t>An assessment of the effectiveness of current retirement policies for</w:t>
      </w:r>
      <w:r w:rsidRPr="00381F61">
        <w:rPr>
          <w:rFonts w:ascii="Garamond" w:hAnsi="Garamond"/>
          <w:color w:val="1A1A1A"/>
          <w:spacing w:val="-44"/>
          <w:sz w:val="22"/>
          <w:szCs w:val="22"/>
        </w:rPr>
        <w:t xml:space="preserve">   </w:t>
      </w:r>
      <w:r w:rsidRPr="00381F61">
        <w:rPr>
          <w:rFonts w:ascii="Garamond" w:hAnsi="Garamond"/>
          <w:color w:val="1A1A1A"/>
          <w:sz w:val="22"/>
          <w:szCs w:val="22"/>
        </w:rPr>
        <w:t>financially vulnerable and low-income groups, and recommendations for any policies that could improve their retirement</w:t>
      </w:r>
      <w:r w:rsidRPr="00381F61">
        <w:rPr>
          <w:rFonts w:ascii="Garamond" w:hAnsi="Garamond"/>
          <w:color w:val="1A1A1A"/>
          <w:spacing w:val="44"/>
          <w:sz w:val="22"/>
          <w:szCs w:val="22"/>
        </w:rPr>
        <w:t xml:space="preserve"> </w:t>
      </w:r>
      <w:r w:rsidRPr="00381F61">
        <w:rPr>
          <w:rFonts w:ascii="Garamond" w:hAnsi="Garamond"/>
          <w:color w:val="1A1A1A"/>
          <w:sz w:val="22"/>
          <w:szCs w:val="22"/>
        </w:rPr>
        <w:t>outcomes.”</w:t>
      </w:r>
    </w:p>
    <w:p w14:paraId="4F61542B" w14:textId="77777777" w:rsidR="00B05496" w:rsidRPr="00381F61" w:rsidRDefault="00B05496" w:rsidP="00B05496">
      <w:pPr>
        <w:jc w:val="both"/>
        <w:rPr>
          <w:rFonts w:ascii="Garamond" w:hAnsi="Garamond"/>
        </w:rPr>
      </w:pPr>
    </w:p>
    <w:p w14:paraId="63E6DD8B" w14:textId="36AC3993" w:rsidR="00B05496" w:rsidRPr="00381F61" w:rsidRDefault="00B05496" w:rsidP="00B05496">
      <w:pPr>
        <w:jc w:val="both"/>
        <w:rPr>
          <w:rFonts w:ascii="Garamond" w:hAnsi="Garamond"/>
        </w:rPr>
      </w:pPr>
      <w:r w:rsidRPr="00381F61">
        <w:rPr>
          <w:rFonts w:ascii="Garamond" w:hAnsi="Garamond"/>
        </w:rPr>
        <w:t>Whether or not the 2019 Review looks at the role of occupational superannuation schemes, someone will eventually need to address the following questions.</w:t>
      </w:r>
    </w:p>
    <w:p w14:paraId="31CDC4D6" w14:textId="77777777" w:rsidR="00B05496" w:rsidRPr="00381F61" w:rsidRDefault="00B05496" w:rsidP="00E71CEB">
      <w:pPr>
        <w:jc w:val="both"/>
        <w:rPr>
          <w:rFonts w:ascii="Garamond" w:hAnsi="Garamond"/>
        </w:rPr>
      </w:pPr>
    </w:p>
    <w:p w14:paraId="2B0D03FA" w14:textId="7851FA4A" w:rsidR="00F112B3" w:rsidRPr="00381F61" w:rsidRDefault="00F112B3" w:rsidP="00E71CEB">
      <w:pPr>
        <w:jc w:val="both"/>
        <w:rPr>
          <w:rFonts w:ascii="Garamond" w:hAnsi="Garamond"/>
        </w:rPr>
      </w:pPr>
      <w:r w:rsidRPr="00381F61">
        <w:rPr>
          <w:rFonts w:ascii="Garamond" w:hAnsi="Garamond"/>
          <w:b/>
        </w:rPr>
        <w:t>Questions New Zealand needs to discuss</w:t>
      </w:r>
      <w:r w:rsidR="003538CF" w:rsidRPr="00381F61">
        <w:rPr>
          <w:rFonts w:ascii="Garamond" w:hAnsi="Garamond"/>
          <w:b/>
        </w:rPr>
        <w:t xml:space="preserve"> on occupational superannuation schemes</w:t>
      </w:r>
      <w:r w:rsidR="00A256AB" w:rsidRPr="00381F61">
        <w:rPr>
          <w:rFonts w:ascii="Garamond" w:hAnsi="Garamond"/>
          <w:b/>
        </w:rPr>
        <w:t>:</w:t>
      </w:r>
    </w:p>
    <w:p w14:paraId="15B67E5E" w14:textId="194E53C7" w:rsidR="00F112B3" w:rsidRPr="00381F61" w:rsidRDefault="00A158CC" w:rsidP="00E71CEB">
      <w:pPr>
        <w:jc w:val="both"/>
        <w:rPr>
          <w:rFonts w:ascii="Garamond" w:hAnsi="Garamond"/>
        </w:rPr>
      </w:pPr>
      <w:r w:rsidRPr="00381F61">
        <w:rPr>
          <w:rFonts w:ascii="Garamond" w:hAnsi="Garamond"/>
        </w:rPr>
        <w:t>S</w:t>
      </w:r>
      <w:r w:rsidR="00F112B3" w:rsidRPr="00381F61">
        <w:rPr>
          <w:rFonts w:ascii="Garamond" w:hAnsi="Garamond"/>
        </w:rPr>
        <w:t xml:space="preserve">ome of the following questions are </w:t>
      </w:r>
      <w:r w:rsidRPr="00381F61">
        <w:rPr>
          <w:rFonts w:ascii="Garamond" w:hAnsi="Garamond"/>
        </w:rPr>
        <w:t>connected</w:t>
      </w:r>
      <w:r w:rsidR="00F112B3" w:rsidRPr="00381F61">
        <w:rPr>
          <w:rFonts w:ascii="Garamond" w:hAnsi="Garamond"/>
        </w:rPr>
        <w:t xml:space="preserve"> to those in </w:t>
      </w:r>
      <w:r w:rsidR="00450F46" w:rsidRPr="00381F61">
        <w:rPr>
          <w:rFonts w:ascii="Garamond" w:hAnsi="Garamond"/>
        </w:rPr>
        <w:t xml:space="preserve">the next section 14 (KiwiSaver in the new environment) and also </w:t>
      </w:r>
      <w:r w:rsidR="00F112B3" w:rsidRPr="00381F61">
        <w:rPr>
          <w:rFonts w:ascii="Garamond" w:hAnsi="Garamond"/>
        </w:rPr>
        <w:t>section 20 below (information and education):</w:t>
      </w:r>
      <w:r w:rsidRPr="00381F61">
        <w:rPr>
          <w:rFonts w:ascii="Garamond" w:hAnsi="Garamond"/>
        </w:rPr>
        <w:t xml:space="preserve"> </w:t>
      </w:r>
    </w:p>
    <w:p w14:paraId="4659FBA6" w14:textId="77777777" w:rsidR="00A158CC" w:rsidRPr="00381F61" w:rsidRDefault="00A158CC" w:rsidP="00E71CEB">
      <w:pPr>
        <w:jc w:val="both"/>
        <w:rPr>
          <w:rFonts w:ascii="Garamond" w:hAnsi="Garamond"/>
        </w:rPr>
      </w:pPr>
    </w:p>
    <w:p w14:paraId="298679BE" w14:textId="6BF51BEC" w:rsidR="00A158CC" w:rsidRPr="00381F61" w:rsidRDefault="00F112B3" w:rsidP="00043E1D">
      <w:pPr>
        <w:pStyle w:val="ListParagraph"/>
        <w:numPr>
          <w:ilvl w:val="0"/>
          <w:numId w:val="62"/>
        </w:numPr>
        <w:jc w:val="both"/>
        <w:rPr>
          <w:rFonts w:ascii="Garamond" w:hAnsi="Garamond"/>
        </w:rPr>
      </w:pPr>
      <w:r w:rsidRPr="00381F61">
        <w:rPr>
          <w:rFonts w:ascii="Garamond" w:hAnsi="Garamond"/>
        </w:rPr>
        <w:t>What are employers currently doing about the retirement saving ar</w:t>
      </w:r>
      <w:r w:rsidR="00A158CC" w:rsidRPr="00381F61">
        <w:rPr>
          <w:rFonts w:ascii="Garamond" w:hAnsi="Garamond"/>
        </w:rPr>
        <w:t>rangements of their employees?  The most recent, comprehensive information we have on this is a 2003 report prepared for the Periodic Report Group.</w:t>
      </w:r>
      <w:r w:rsidR="00A158CC" w:rsidRPr="00381F61">
        <w:rPr>
          <w:rStyle w:val="FootnoteReference"/>
          <w:rFonts w:ascii="Garamond" w:hAnsi="Garamond"/>
        </w:rPr>
        <w:footnoteReference w:id="166"/>
      </w:r>
    </w:p>
    <w:p w14:paraId="6650739A" w14:textId="77777777" w:rsidR="003538CF" w:rsidRPr="00381F61" w:rsidRDefault="003538CF" w:rsidP="00563816">
      <w:pPr>
        <w:pStyle w:val="ListParagraph"/>
        <w:jc w:val="both"/>
        <w:rPr>
          <w:rFonts w:ascii="Garamond" w:hAnsi="Garamond"/>
        </w:rPr>
      </w:pPr>
    </w:p>
    <w:p w14:paraId="133E7E34" w14:textId="21D3EE77" w:rsidR="003538CF" w:rsidRPr="00381F61" w:rsidRDefault="003538CF">
      <w:pPr>
        <w:pStyle w:val="ListParagraph"/>
        <w:numPr>
          <w:ilvl w:val="0"/>
          <w:numId w:val="62"/>
        </w:numPr>
        <w:jc w:val="both"/>
        <w:rPr>
          <w:rFonts w:ascii="Garamond" w:hAnsi="Garamond"/>
        </w:rPr>
      </w:pPr>
      <w:r w:rsidRPr="00381F61">
        <w:rPr>
          <w:rFonts w:ascii="Garamond" w:hAnsi="Garamond"/>
        </w:rPr>
        <w:t>How have employers reacted to the restrictions introduced for ‘workplace savings schemes</w:t>
      </w:r>
      <w:r w:rsidR="00CC3BB2" w:rsidRPr="00381F61">
        <w:rPr>
          <w:rFonts w:ascii="Garamond" w:hAnsi="Garamond"/>
        </w:rPr>
        <w:t>’</w:t>
      </w:r>
      <w:r w:rsidRPr="00381F61">
        <w:rPr>
          <w:rFonts w:ascii="Garamond" w:hAnsi="Garamond"/>
        </w:rPr>
        <w:t xml:space="preserve"> by the Financial Markets Conduct Act 2013?</w:t>
      </w:r>
    </w:p>
    <w:p w14:paraId="0517F789" w14:textId="77777777" w:rsidR="00A158CC" w:rsidRPr="00381F61" w:rsidRDefault="00A158CC" w:rsidP="00043E1D">
      <w:pPr>
        <w:pStyle w:val="ListParagraph"/>
        <w:jc w:val="both"/>
        <w:rPr>
          <w:rFonts w:ascii="Garamond" w:hAnsi="Garamond"/>
        </w:rPr>
      </w:pPr>
    </w:p>
    <w:p w14:paraId="151AA0B6" w14:textId="5BD72563" w:rsidR="00F112B3" w:rsidRPr="00381F61" w:rsidRDefault="00A158CC" w:rsidP="00043E1D">
      <w:pPr>
        <w:pStyle w:val="ListParagraph"/>
        <w:numPr>
          <w:ilvl w:val="0"/>
          <w:numId w:val="62"/>
        </w:numPr>
        <w:jc w:val="both"/>
        <w:rPr>
          <w:rFonts w:ascii="Garamond" w:hAnsi="Garamond"/>
        </w:rPr>
      </w:pPr>
      <w:r w:rsidRPr="00381F61">
        <w:rPr>
          <w:rFonts w:ascii="Garamond" w:hAnsi="Garamond"/>
        </w:rPr>
        <w:t>How many have a superannuation scheme</w:t>
      </w:r>
      <w:r w:rsidR="00FD67BA" w:rsidRPr="00381F61">
        <w:rPr>
          <w:rFonts w:ascii="Garamond" w:hAnsi="Garamond"/>
        </w:rPr>
        <w:t>,</w:t>
      </w:r>
      <w:r w:rsidRPr="00381F61">
        <w:rPr>
          <w:rFonts w:ascii="Garamond" w:hAnsi="Garamond"/>
        </w:rPr>
        <w:t xml:space="preserve"> other than KiwiSaver</w:t>
      </w:r>
      <w:r w:rsidR="00FD67BA" w:rsidRPr="00381F61">
        <w:rPr>
          <w:rFonts w:ascii="Garamond" w:hAnsi="Garamond"/>
        </w:rPr>
        <w:t>,</w:t>
      </w:r>
      <w:r w:rsidRPr="00381F61">
        <w:rPr>
          <w:rFonts w:ascii="Garamond" w:hAnsi="Garamond"/>
        </w:rPr>
        <w:t xml:space="preserve"> that is currently open to new entrants?  What are its main provisions?  How does the employer see the future of that scheme in a KiwiSaver environment?</w:t>
      </w:r>
    </w:p>
    <w:p w14:paraId="037FE949" w14:textId="77777777" w:rsidR="00A158CC" w:rsidRPr="00381F61" w:rsidRDefault="00A158CC" w:rsidP="00043E1D">
      <w:pPr>
        <w:ind w:left="709"/>
        <w:jc w:val="both"/>
        <w:rPr>
          <w:rFonts w:ascii="Garamond" w:hAnsi="Garamond"/>
        </w:rPr>
      </w:pPr>
    </w:p>
    <w:p w14:paraId="7CF5846F" w14:textId="55EA45A1" w:rsidR="00F112B3" w:rsidRPr="00381F61" w:rsidRDefault="00A158CC" w:rsidP="00043E1D">
      <w:pPr>
        <w:pStyle w:val="ListParagraph"/>
        <w:numPr>
          <w:ilvl w:val="0"/>
          <w:numId w:val="62"/>
        </w:numPr>
        <w:ind w:left="709"/>
        <w:jc w:val="both"/>
        <w:rPr>
          <w:rFonts w:ascii="Garamond" w:hAnsi="Garamond"/>
        </w:rPr>
      </w:pPr>
      <w:r w:rsidRPr="00381F61">
        <w:rPr>
          <w:rFonts w:ascii="Garamond" w:hAnsi="Garamond"/>
        </w:rPr>
        <w:t>What are employers’ attitudes to extending their present roles into information/education programmes?</w:t>
      </w:r>
    </w:p>
    <w:p w14:paraId="3F6CABB0" w14:textId="77777777" w:rsidR="00A158CC" w:rsidRPr="00381F61" w:rsidRDefault="00A158CC" w:rsidP="00043E1D">
      <w:pPr>
        <w:ind w:left="709"/>
        <w:jc w:val="both"/>
        <w:rPr>
          <w:rFonts w:ascii="Garamond" w:hAnsi="Garamond"/>
        </w:rPr>
      </w:pPr>
    </w:p>
    <w:p w14:paraId="2EFDB3DF" w14:textId="7CD53568" w:rsidR="00A158CC" w:rsidRPr="00381F61" w:rsidRDefault="00A158CC" w:rsidP="00043E1D">
      <w:pPr>
        <w:pStyle w:val="ListParagraph"/>
        <w:numPr>
          <w:ilvl w:val="0"/>
          <w:numId w:val="62"/>
        </w:numPr>
        <w:ind w:left="709"/>
        <w:jc w:val="both"/>
        <w:rPr>
          <w:rFonts w:ascii="Garamond" w:hAnsi="Garamond"/>
        </w:rPr>
      </w:pPr>
      <w:r w:rsidRPr="00381F61">
        <w:rPr>
          <w:rFonts w:ascii="Garamond" w:hAnsi="Garamond"/>
        </w:rPr>
        <w:t>What do employers think of KiwiSaver in relation to their own HR objectives?</w:t>
      </w:r>
      <w:r w:rsidR="006F72B7" w:rsidRPr="00381F61">
        <w:rPr>
          <w:rFonts w:ascii="Garamond" w:hAnsi="Garamond"/>
        </w:rPr>
        <w:t xml:space="preserve">  How many employers think that</w:t>
      </w:r>
      <w:r w:rsidR="00450F46" w:rsidRPr="00381F61">
        <w:rPr>
          <w:rFonts w:ascii="Garamond" w:hAnsi="Garamond"/>
        </w:rPr>
        <w:t xml:space="preserve"> </w:t>
      </w:r>
      <w:r w:rsidR="006F72B7" w:rsidRPr="00381F61">
        <w:rPr>
          <w:rFonts w:ascii="Garamond" w:hAnsi="Garamond"/>
        </w:rPr>
        <w:t>KiwiSaver as it is, will be all that they will do about their employees’ retirement saving needs?</w:t>
      </w:r>
    </w:p>
    <w:p w14:paraId="0202D084" w14:textId="77777777" w:rsidR="000A7425" w:rsidRPr="00381F61" w:rsidRDefault="000A7425" w:rsidP="00043E1D">
      <w:pPr>
        <w:ind w:left="709"/>
        <w:jc w:val="both"/>
        <w:rPr>
          <w:rFonts w:ascii="Garamond" w:hAnsi="Garamond"/>
        </w:rPr>
      </w:pPr>
    </w:p>
    <w:p w14:paraId="2147F847" w14:textId="10282BB3" w:rsidR="000A7425" w:rsidRPr="00381F61" w:rsidRDefault="000A7425" w:rsidP="00043E1D">
      <w:pPr>
        <w:pStyle w:val="ListParagraph"/>
        <w:numPr>
          <w:ilvl w:val="0"/>
          <w:numId w:val="62"/>
        </w:numPr>
        <w:ind w:left="709"/>
        <w:jc w:val="both"/>
        <w:rPr>
          <w:rFonts w:ascii="Garamond" w:hAnsi="Garamond"/>
        </w:rPr>
      </w:pPr>
      <w:r w:rsidRPr="00381F61">
        <w:rPr>
          <w:rFonts w:ascii="Garamond" w:hAnsi="Garamond"/>
        </w:rPr>
        <w:t>How many employers have a ‘total remuneration’ policy, as opposed to ‘pay + benefits’?  Of the ‘pay + benefits’ employers, how many have formally adopted that policy, as opposed to having it by default (by doing nothing)?</w:t>
      </w:r>
    </w:p>
    <w:p w14:paraId="4C2EFBF9" w14:textId="77777777" w:rsidR="006F72B7" w:rsidRPr="00381F61" w:rsidRDefault="006F72B7" w:rsidP="00043E1D">
      <w:pPr>
        <w:ind w:left="709"/>
        <w:jc w:val="both"/>
        <w:rPr>
          <w:rFonts w:ascii="Garamond" w:hAnsi="Garamond"/>
        </w:rPr>
      </w:pPr>
    </w:p>
    <w:p w14:paraId="77201CB6" w14:textId="2B79536B" w:rsidR="006F72B7" w:rsidRPr="00381F61" w:rsidRDefault="006F72B7" w:rsidP="00043E1D">
      <w:pPr>
        <w:pStyle w:val="ListParagraph"/>
        <w:numPr>
          <w:ilvl w:val="0"/>
          <w:numId w:val="62"/>
        </w:numPr>
        <w:ind w:left="709"/>
        <w:jc w:val="both"/>
        <w:rPr>
          <w:rFonts w:ascii="Garamond" w:hAnsi="Garamond"/>
        </w:rPr>
      </w:pPr>
      <w:r w:rsidRPr="00381F61">
        <w:rPr>
          <w:rFonts w:ascii="Garamond" w:hAnsi="Garamond"/>
        </w:rPr>
        <w:t>How many employers help employees with information and education on issues associated with saving for retirement?  Might they think of doing more?  Might those that have no involvement think of starting some kind of information/education programme?</w:t>
      </w:r>
    </w:p>
    <w:p w14:paraId="16FF652B" w14:textId="5ED8EF45" w:rsidR="00A97583" w:rsidRPr="00381F61" w:rsidRDefault="00A97583" w:rsidP="00E71CEB">
      <w:pPr>
        <w:jc w:val="both"/>
        <w:rPr>
          <w:rFonts w:ascii="Garamond" w:hAnsi="Garamond"/>
        </w:rPr>
      </w:pPr>
      <w:r w:rsidRPr="00381F61">
        <w:rPr>
          <w:rFonts w:ascii="Garamond" w:hAnsi="Garamond"/>
        </w:rPr>
        <w:br w:type="page"/>
      </w:r>
    </w:p>
    <w:p w14:paraId="6B9914DB" w14:textId="428085D7" w:rsidR="007E5319" w:rsidRPr="00381F61" w:rsidRDefault="00A97583" w:rsidP="00E71CEB">
      <w:pPr>
        <w:jc w:val="both"/>
        <w:rPr>
          <w:rFonts w:ascii="Garamond" w:hAnsi="Garamond"/>
          <w:b/>
        </w:rPr>
      </w:pPr>
      <w:r w:rsidRPr="00381F61">
        <w:rPr>
          <w:rFonts w:ascii="Garamond" w:hAnsi="Garamond"/>
          <w:b/>
        </w:rPr>
        <w:t>1</w:t>
      </w:r>
      <w:r w:rsidR="00F519BC" w:rsidRPr="00381F61">
        <w:rPr>
          <w:rFonts w:ascii="Garamond" w:hAnsi="Garamond"/>
          <w:b/>
        </w:rPr>
        <w:t>4.</w:t>
      </w:r>
      <w:r w:rsidRPr="00381F61">
        <w:rPr>
          <w:rFonts w:ascii="Garamond" w:hAnsi="Garamond"/>
          <w:b/>
        </w:rPr>
        <w:t xml:space="preserve"> </w:t>
      </w:r>
      <w:r w:rsidR="007C2BE0" w:rsidRPr="00381F61">
        <w:rPr>
          <w:rFonts w:ascii="Garamond" w:hAnsi="Garamond"/>
          <w:b/>
        </w:rPr>
        <w:tab/>
      </w:r>
      <w:r w:rsidR="007E5319" w:rsidRPr="00381F61">
        <w:rPr>
          <w:rFonts w:ascii="Garamond" w:hAnsi="Garamond"/>
          <w:b/>
        </w:rPr>
        <w:t>KiwiSaver</w:t>
      </w:r>
      <w:r w:rsidR="003E7437" w:rsidRPr="00381F61">
        <w:rPr>
          <w:rFonts w:ascii="Garamond" w:hAnsi="Garamond"/>
          <w:b/>
        </w:rPr>
        <w:t>: in the new environment, what is the role for KiwiSaver?</w:t>
      </w:r>
    </w:p>
    <w:p w14:paraId="0DF35D71" w14:textId="77777777" w:rsidR="0016319A" w:rsidRPr="00381F61" w:rsidRDefault="0016319A" w:rsidP="00E71CEB">
      <w:pPr>
        <w:jc w:val="both"/>
        <w:rPr>
          <w:rFonts w:ascii="Garamond" w:hAnsi="Garamond"/>
          <w:b/>
        </w:rPr>
      </w:pPr>
    </w:p>
    <w:p w14:paraId="329F7C83" w14:textId="2A890279" w:rsidR="008D25C0" w:rsidRPr="00381F61" w:rsidRDefault="008D25C0" w:rsidP="00E71CEB">
      <w:pPr>
        <w:pStyle w:val="FootnoteText"/>
        <w:jc w:val="both"/>
        <w:rPr>
          <w:rFonts w:ascii="Garamond" w:hAnsi="Garamond"/>
        </w:rPr>
      </w:pPr>
      <w:r w:rsidRPr="00381F61">
        <w:rPr>
          <w:rFonts w:ascii="Garamond" w:hAnsi="Garamond"/>
        </w:rPr>
        <w:t xml:space="preserve">KiwiSaver started on 1 July 2007.  At the time, the </w:t>
      </w:r>
      <w:r w:rsidR="00BB4115" w:rsidRPr="00381F61">
        <w:rPr>
          <w:rFonts w:ascii="Garamond" w:hAnsi="Garamond"/>
        </w:rPr>
        <w:t>government</w:t>
      </w:r>
      <w:r w:rsidRPr="00381F61">
        <w:rPr>
          <w:rFonts w:ascii="Garamond" w:hAnsi="Garamond"/>
        </w:rPr>
        <w:t xml:space="preserve"> </w:t>
      </w:r>
      <w:r w:rsidR="0010699B" w:rsidRPr="00381F61">
        <w:rPr>
          <w:rFonts w:ascii="Garamond" w:hAnsi="Garamond"/>
        </w:rPr>
        <w:t>suggested that the aim of the new KiwiSaver Act 2006 was</w:t>
      </w:r>
      <w:r w:rsidR="00112AC4" w:rsidRPr="00381F61">
        <w:rPr>
          <w:rFonts w:ascii="Garamond" w:hAnsi="Garamond"/>
        </w:rPr>
        <w:t>:</w:t>
      </w:r>
    </w:p>
    <w:p w14:paraId="2FA99087" w14:textId="77777777" w:rsidR="00112AC4" w:rsidRPr="00381F61" w:rsidRDefault="00112AC4" w:rsidP="00E71CEB">
      <w:pPr>
        <w:pStyle w:val="FootnoteText"/>
        <w:jc w:val="both"/>
        <w:rPr>
          <w:rFonts w:ascii="Garamond" w:hAnsi="Garamond"/>
          <w:sz w:val="8"/>
          <w:szCs w:val="8"/>
        </w:rPr>
      </w:pPr>
    </w:p>
    <w:p w14:paraId="0F1328CC" w14:textId="6AA3B5EA" w:rsidR="00112AC4" w:rsidRPr="00381F61" w:rsidRDefault="00112AC4" w:rsidP="00E71CEB">
      <w:pPr>
        <w:ind w:left="567"/>
        <w:jc w:val="both"/>
        <w:rPr>
          <w:rFonts w:ascii="Garamond" w:hAnsi="Garamond"/>
          <w:sz w:val="22"/>
          <w:szCs w:val="22"/>
        </w:rPr>
      </w:pPr>
      <w:r w:rsidRPr="00381F61">
        <w:rPr>
          <w:rFonts w:ascii="Garamond" w:hAnsi="Garamond"/>
          <w:sz w:val="22"/>
          <w:szCs w:val="22"/>
        </w:rPr>
        <w:t>“…</w:t>
      </w:r>
      <w:r w:rsidRPr="00381F61">
        <w:rPr>
          <w:rFonts w:ascii="Garamond" w:hAnsi="Garamond"/>
          <w:color w:val="000000"/>
          <w:sz w:val="22"/>
          <w:szCs w:val="22"/>
          <w:shd w:val="clear" w:color="auto" w:fill="FFFFFF"/>
        </w:rPr>
        <w:t xml:space="preserve">to encourage a long-term savings habit and asset accumulation by individuals who are not in a position to enjoy standards of living in retirement similar to those in pre-retirement. </w:t>
      </w:r>
      <w:r w:rsidR="00A21570" w:rsidRPr="00381F61">
        <w:rPr>
          <w:rFonts w:ascii="Garamond" w:hAnsi="Garamond"/>
          <w:color w:val="000000"/>
          <w:sz w:val="22"/>
          <w:szCs w:val="22"/>
          <w:shd w:val="clear" w:color="auto" w:fill="FFFFFF"/>
        </w:rPr>
        <w:t xml:space="preserve"> </w:t>
      </w:r>
      <w:r w:rsidRPr="00381F61">
        <w:rPr>
          <w:rFonts w:ascii="Garamond" w:hAnsi="Garamond"/>
          <w:color w:val="000000"/>
          <w:sz w:val="22"/>
          <w:szCs w:val="22"/>
          <w:shd w:val="clear" w:color="auto" w:fill="FFFFFF"/>
        </w:rPr>
        <w:t>The Act aims to increase individuals’ well-being and financial independence, particularly in retirement, and to provide retirement benefits.”</w:t>
      </w:r>
      <w:r w:rsidRPr="00381F61">
        <w:rPr>
          <w:rStyle w:val="FootnoteReference"/>
          <w:rFonts w:ascii="Garamond" w:hAnsi="Garamond"/>
          <w:color w:val="000000"/>
          <w:sz w:val="22"/>
          <w:szCs w:val="22"/>
          <w:shd w:val="clear" w:color="auto" w:fill="FFFFFF"/>
        </w:rPr>
        <w:footnoteReference w:id="167"/>
      </w:r>
    </w:p>
    <w:p w14:paraId="467260DA" w14:textId="77777777" w:rsidR="008D25C0" w:rsidRPr="00381F61" w:rsidRDefault="008D25C0" w:rsidP="00E71CEB">
      <w:pPr>
        <w:pStyle w:val="FootnoteText"/>
        <w:jc w:val="both"/>
        <w:rPr>
          <w:rFonts w:ascii="Garamond" w:hAnsi="Garamond"/>
        </w:rPr>
      </w:pPr>
    </w:p>
    <w:p w14:paraId="2CFA743F" w14:textId="3AA65A61" w:rsidR="008D25C0" w:rsidRPr="00381F61" w:rsidRDefault="007D08BA" w:rsidP="00E71CEB">
      <w:pPr>
        <w:pStyle w:val="FootnoteText"/>
        <w:jc w:val="both"/>
        <w:rPr>
          <w:rFonts w:ascii="Garamond" w:hAnsi="Garamond"/>
        </w:rPr>
      </w:pPr>
      <w:r w:rsidRPr="00381F61">
        <w:rPr>
          <w:rFonts w:ascii="Garamond" w:hAnsi="Garamond"/>
        </w:rPr>
        <w:t xml:space="preserve">Since then, KiwiSaver has been through </w:t>
      </w:r>
      <w:r w:rsidR="009646DD" w:rsidRPr="00381F61">
        <w:rPr>
          <w:rFonts w:ascii="Garamond" w:hAnsi="Garamond"/>
        </w:rPr>
        <w:t xml:space="preserve">a number of </w:t>
      </w:r>
      <w:r w:rsidRPr="00381F61">
        <w:rPr>
          <w:rFonts w:ascii="Garamond" w:hAnsi="Garamond"/>
        </w:rPr>
        <w:t>major changes</w:t>
      </w:r>
      <w:r w:rsidR="00BB4115" w:rsidRPr="00381F61">
        <w:rPr>
          <w:rStyle w:val="FootnoteReference"/>
          <w:rFonts w:ascii="Garamond" w:hAnsi="Garamond"/>
        </w:rPr>
        <w:footnoteReference w:id="168"/>
      </w:r>
      <w:r w:rsidR="00112AC4" w:rsidRPr="00381F61">
        <w:rPr>
          <w:rFonts w:ascii="Garamond" w:hAnsi="Garamond"/>
        </w:rPr>
        <w:t xml:space="preserve"> and t</w:t>
      </w:r>
      <w:r w:rsidR="00A21570" w:rsidRPr="00381F61">
        <w:rPr>
          <w:rFonts w:ascii="Garamond" w:hAnsi="Garamond"/>
        </w:rPr>
        <w:t>h</w:t>
      </w:r>
      <w:r w:rsidR="00112AC4" w:rsidRPr="00381F61">
        <w:rPr>
          <w:rFonts w:ascii="Garamond" w:hAnsi="Garamond"/>
        </w:rPr>
        <w:t xml:space="preserve">rough </w:t>
      </w:r>
      <w:r w:rsidR="00F66CFF" w:rsidRPr="00381F61">
        <w:rPr>
          <w:rFonts w:ascii="Garamond" w:hAnsi="Garamond"/>
        </w:rPr>
        <w:t xml:space="preserve">three </w:t>
      </w:r>
      <w:r w:rsidR="00112AC4" w:rsidRPr="00381F61">
        <w:rPr>
          <w:rFonts w:ascii="Garamond" w:hAnsi="Garamond"/>
        </w:rPr>
        <w:t>reviews by the Retirement Commissioner.</w:t>
      </w:r>
    </w:p>
    <w:p w14:paraId="1AE61BF9" w14:textId="37EFD11E" w:rsidR="002E1B52" w:rsidRPr="00381F61" w:rsidRDefault="002E1B52" w:rsidP="00E71CEB">
      <w:pPr>
        <w:pStyle w:val="FootnoteText"/>
        <w:jc w:val="both"/>
        <w:rPr>
          <w:rFonts w:ascii="Garamond" w:hAnsi="Garamond"/>
        </w:rPr>
      </w:pPr>
    </w:p>
    <w:p w14:paraId="063639E7" w14:textId="2C1B6E19" w:rsidR="002E1B52" w:rsidRPr="00381F61" w:rsidRDefault="002E1B52" w:rsidP="00E71CEB">
      <w:pPr>
        <w:pStyle w:val="FootnoteText"/>
        <w:jc w:val="both"/>
        <w:rPr>
          <w:rFonts w:ascii="Garamond" w:hAnsi="Garamond"/>
        </w:rPr>
      </w:pPr>
      <w:r w:rsidRPr="00381F61">
        <w:rPr>
          <w:rFonts w:ascii="Garamond" w:hAnsi="Garamond"/>
        </w:rPr>
        <w:t>At 31 March 2019</w:t>
      </w:r>
      <w:r w:rsidR="003000E5" w:rsidRPr="00381F61">
        <w:rPr>
          <w:rFonts w:ascii="Garamond" w:hAnsi="Garamond"/>
        </w:rPr>
        <w:t>,</w:t>
      </w:r>
      <w:r w:rsidRPr="00381F61">
        <w:rPr>
          <w:rFonts w:ascii="Garamond" w:hAnsi="Garamond"/>
        </w:rPr>
        <w:t xml:space="preserve"> the total assets in KiwiSaver were $56.7 </w:t>
      </w:r>
      <w:r w:rsidR="003000E5" w:rsidRPr="00381F61">
        <w:rPr>
          <w:rFonts w:ascii="Garamond" w:hAnsi="Garamond"/>
        </w:rPr>
        <w:t>b</w:t>
      </w:r>
      <w:r w:rsidR="00440CB3" w:rsidRPr="00381F61">
        <w:rPr>
          <w:rFonts w:ascii="Garamond" w:hAnsi="Garamond"/>
        </w:rPr>
        <w:t xml:space="preserve">illion up from$52.2 </w:t>
      </w:r>
      <w:r w:rsidR="003000E5" w:rsidRPr="00381F61">
        <w:rPr>
          <w:rFonts w:ascii="Garamond" w:hAnsi="Garamond"/>
        </w:rPr>
        <w:t>b</w:t>
      </w:r>
      <w:r w:rsidR="00440CB3" w:rsidRPr="00381F61">
        <w:rPr>
          <w:rFonts w:ascii="Garamond" w:hAnsi="Garamond"/>
        </w:rPr>
        <w:t>illion at 31 March 2018.</w:t>
      </w:r>
    </w:p>
    <w:p w14:paraId="50DD1306" w14:textId="77777777" w:rsidR="00BB4115" w:rsidRPr="00381F61" w:rsidRDefault="00BB4115" w:rsidP="00E71CEB">
      <w:pPr>
        <w:pStyle w:val="FootnoteText"/>
        <w:jc w:val="both"/>
        <w:rPr>
          <w:rFonts w:ascii="Garamond" w:hAnsi="Garamond"/>
        </w:rPr>
      </w:pPr>
    </w:p>
    <w:p w14:paraId="55E05D78" w14:textId="5767A95C" w:rsidR="0016319A" w:rsidRPr="00381F61" w:rsidRDefault="0016319A" w:rsidP="00E71CEB">
      <w:pPr>
        <w:pStyle w:val="FootnoteText"/>
        <w:jc w:val="both"/>
        <w:rPr>
          <w:rFonts w:ascii="Garamond" w:hAnsi="Garamond"/>
        </w:rPr>
      </w:pPr>
      <w:r w:rsidRPr="00381F61">
        <w:rPr>
          <w:rFonts w:ascii="Garamond" w:hAnsi="Garamond"/>
        </w:rPr>
        <w:t xml:space="preserve">The 2016 </w:t>
      </w:r>
      <w:r w:rsidR="007F69E9" w:rsidRPr="00381F61">
        <w:rPr>
          <w:rFonts w:ascii="Garamond" w:hAnsi="Garamond"/>
        </w:rPr>
        <w:t xml:space="preserve">Retirement Commissioner’s </w:t>
      </w:r>
      <w:r w:rsidRPr="00381F61">
        <w:rPr>
          <w:rFonts w:ascii="Garamond" w:hAnsi="Garamond"/>
        </w:rPr>
        <w:t>Review presented 15 KiwiSaver recommendations or comments.  They f</w:t>
      </w:r>
      <w:r w:rsidR="003000E5" w:rsidRPr="00381F61">
        <w:rPr>
          <w:rFonts w:ascii="Garamond" w:hAnsi="Garamond"/>
        </w:rPr>
        <w:t>e</w:t>
      </w:r>
      <w:r w:rsidRPr="00381F61">
        <w:rPr>
          <w:rFonts w:ascii="Garamond" w:hAnsi="Garamond"/>
        </w:rPr>
        <w:t xml:space="preserve">ll into three main groups: first, there </w:t>
      </w:r>
      <w:r w:rsidR="00E408E0" w:rsidRPr="00381F61">
        <w:rPr>
          <w:rFonts w:ascii="Garamond" w:hAnsi="Garamond"/>
        </w:rPr>
        <w:t xml:space="preserve">were </w:t>
      </w:r>
      <w:r w:rsidRPr="00381F61">
        <w:rPr>
          <w:rFonts w:ascii="Garamond" w:hAnsi="Garamond"/>
        </w:rPr>
        <w:t>five recommendations that involve</w:t>
      </w:r>
      <w:r w:rsidR="00E408E0" w:rsidRPr="00381F61">
        <w:rPr>
          <w:rFonts w:ascii="Garamond" w:hAnsi="Garamond"/>
        </w:rPr>
        <w:t>d</w:t>
      </w:r>
      <w:r w:rsidRPr="00381F61">
        <w:rPr>
          <w:rFonts w:ascii="Garamond" w:hAnsi="Garamond"/>
        </w:rPr>
        <w:t xml:space="preserve"> future research and recommendations (participation and reporting data, membership of more than one scheme, default funds, decumulation options and </w:t>
      </w:r>
      <w:r w:rsidR="007F69E9" w:rsidRPr="00381F61">
        <w:rPr>
          <w:rFonts w:ascii="Garamond" w:hAnsi="Garamond"/>
        </w:rPr>
        <w:t xml:space="preserve">the apparent </w:t>
      </w:r>
      <w:r w:rsidRPr="00381F61">
        <w:rPr>
          <w:rFonts w:ascii="Garamond" w:hAnsi="Garamond"/>
        </w:rPr>
        <w:t>‘total remuneration disincentive’).</w:t>
      </w:r>
    </w:p>
    <w:p w14:paraId="1B6EA1F5" w14:textId="77777777" w:rsidR="0016319A" w:rsidRPr="00381F61" w:rsidRDefault="0016319A" w:rsidP="00E71CEB">
      <w:pPr>
        <w:pStyle w:val="FootnoteText"/>
        <w:jc w:val="both"/>
        <w:rPr>
          <w:rFonts w:ascii="Garamond" w:hAnsi="Garamond"/>
        </w:rPr>
      </w:pPr>
    </w:p>
    <w:p w14:paraId="7E47F3EA" w14:textId="176FED80" w:rsidR="0016319A" w:rsidRPr="00381F61" w:rsidRDefault="0016319A" w:rsidP="00E71CEB">
      <w:pPr>
        <w:pStyle w:val="FootnoteText"/>
        <w:jc w:val="both"/>
        <w:rPr>
          <w:rFonts w:ascii="Garamond" w:hAnsi="Garamond"/>
        </w:rPr>
      </w:pPr>
      <w:r w:rsidRPr="00381F61">
        <w:rPr>
          <w:rFonts w:ascii="Garamond" w:hAnsi="Garamond"/>
        </w:rPr>
        <w:t xml:space="preserve">Then there </w:t>
      </w:r>
      <w:r w:rsidR="00E408E0" w:rsidRPr="00381F61">
        <w:rPr>
          <w:rFonts w:ascii="Garamond" w:hAnsi="Garamond"/>
        </w:rPr>
        <w:t xml:space="preserve">were </w:t>
      </w:r>
      <w:r w:rsidRPr="00381F61">
        <w:rPr>
          <w:rFonts w:ascii="Garamond" w:hAnsi="Garamond"/>
        </w:rPr>
        <w:t xml:space="preserve">two (the ‘Member Tax Credit’ for non-contributing members and increasing KiwiSaver coverage) on which more work </w:t>
      </w:r>
      <w:r w:rsidR="00E408E0" w:rsidRPr="00381F61">
        <w:rPr>
          <w:rFonts w:ascii="Garamond" w:hAnsi="Garamond"/>
        </w:rPr>
        <w:t>was</w:t>
      </w:r>
      <w:r w:rsidRPr="00381F61">
        <w:rPr>
          <w:rFonts w:ascii="Garamond" w:hAnsi="Garamond"/>
        </w:rPr>
        <w:t xml:space="preserve"> needed before changes c</w:t>
      </w:r>
      <w:r w:rsidR="00E408E0" w:rsidRPr="00381F61">
        <w:rPr>
          <w:rFonts w:ascii="Garamond" w:hAnsi="Garamond"/>
        </w:rPr>
        <w:t>ould</w:t>
      </w:r>
      <w:r w:rsidRPr="00381F61">
        <w:rPr>
          <w:rFonts w:ascii="Garamond" w:hAnsi="Garamond"/>
        </w:rPr>
        <w:t xml:space="preserve"> be recommended.</w:t>
      </w:r>
    </w:p>
    <w:p w14:paraId="296555E4" w14:textId="77777777" w:rsidR="0016319A" w:rsidRPr="00381F61" w:rsidRDefault="0016319A" w:rsidP="00E71CEB">
      <w:pPr>
        <w:pStyle w:val="FootnoteText"/>
        <w:jc w:val="both"/>
        <w:rPr>
          <w:rFonts w:ascii="Garamond" w:hAnsi="Garamond"/>
        </w:rPr>
      </w:pPr>
    </w:p>
    <w:p w14:paraId="0739B9AF" w14:textId="5CB7CCFE" w:rsidR="00511E06" w:rsidRPr="00381F61" w:rsidRDefault="0016319A" w:rsidP="00E71CEB">
      <w:pPr>
        <w:pStyle w:val="FootnoteText"/>
        <w:jc w:val="both"/>
        <w:rPr>
          <w:rFonts w:ascii="Garamond" w:hAnsi="Garamond"/>
        </w:rPr>
      </w:pPr>
      <w:r w:rsidRPr="00381F61">
        <w:rPr>
          <w:rFonts w:ascii="Garamond" w:hAnsi="Garamond"/>
        </w:rPr>
        <w:t>Of the eight ‘Change Today</w:t>
      </w:r>
      <w:r w:rsidR="00E408E0" w:rsidRPr="00381F61">
        <w:rPr>
          <w:rFonts w:ascii="Garamond" w:hAnsi="Garamond"/>
        </w:rPr>
        <w:t xml:space="preserve"> (2016)</w:t>
      </w:r>
      <w:r w:rsidRPr="00381F61">
        <w:rPr>
          <w:rFonts w:ascii="Garamond" w:hAnsi="Garamond"/>
        </w:rPr>
        <w:t xml:space="preserve">’ items, </w:t>
      </w:r>
      <w:r w:rsidR="00511E06" w:rsidRPr="00381F61">
        <w:rPr>
          <w:rFonts w:ascii="Garamond" w:hAnsi="Garamond"/>
        </w:rPr>
        <w:t>what follows summarises them:</w:t>
      </w:r>
    </w:p>
    <w:p w14:paraId="4123F208" w14:textId="08C34185" w:rsidR="00511E06" w:rsidRPr="00381F61" w:rsidRDefault="0016319A" w:rsidP="00511E06">
      <w:pPr>
        <w:pStyle w:val="FootnoteText"/>
        <w:numPr>
          <w:ilvl w:val="0"/>
          <w:numId w:val="12"/>
        </w:numPr>
        <w:jc w:val="both"/>
        <w:rPr>
          <w:rFonts w:ascii="Garamond" w:hAnsi="Garamond"/>
        </w:rPr>
      </w:pPr>
      <w:r w:rsidRPr="00381F61">
        <w:rPr>
          <w:rFonts w:ascii="Garamond" w:hAnsi="Garamond"/>
        </w:rPr>
        <w:t>changing the name of contributions holidays to ‘savings suspension’</w:t>
      </w:r>
      <w:r w:rsidR="00511E06" w:rsidRPr="00381F61">
        <w:rPr>
          <w:rFonts w:ascii="Garamond" w:hAnsi="Garamond"/>
        </w:rPr>
        <w:t xml:space="preserve"> </w:t>
      </w:r>
      <w:r w:rsidR="00EC0315" w:rsidRPr="00381F61">
        <w:rPr>
          <w:rFonts w:ascii="Garamond" w:hAnsi="Garamond"/>
        </w:rPr>
        <w:t xml:space="preserve">- </w:t>
      </w:r>
      <w:r w:rsidR="00511E06" w:rsidRPr="00381F61">
        <w:rPr>
          <w:rFonts w:ascii="Garamond" w:hAnsi="Garamond"/>
        </w:rPr>
        <w:t>implemented 1 April 2019;</w:t>
      </w:r>
    </w:p>
    <w:p w14:paraId="30B56209" w14:textId="4A613B0D" w:rsidR="00511E06" w:rsidRPr="00381F61" w:rsidRDefault="00F672D2" w:rsidP="00511E06">
      <w:pPr>
        <w:pStyle w:val="FootnoteText"/>
        <w:numPr>
          <w:ilvl w:val="0"/>
          <w:numId w:val="12"/>
        </w:numPr>
        <w:jc w:val="both"/>
        <w:rPr>
          <w:rFonts w:ascii="Garamond" w:hAnsi="Garamond"/>
        </w:rPr>
      </w:pPr>
      <w:r w:rsidRPr="00381F61">
        <w:rPr>
          <w:rFonts w:ascii="Garamond" w:hAnsi="Garamond"/>
        </w:rPr>
        <w:t xml:space="preserve"> </w:t>
      </w:r>
      <w:r w:rsidR="00511E06" w:rsidRPr="00381F61">
        <w:rPr>
          <w:rFonts w:ascii="Garamond" w:hAnsi="Garamond"/>
        </w:rPr>
        <w:t xml:space="preserve">changing </w:t>
      </w:r>
      <w:r w:rsidRPr="00381F61">
        <w:rPr>
          <w:rFonts w:ascii="Garamond" w:hAnsi="Garamond"/>
        </w:rPr>
        <w:t>the</w:t>
      </w:r>
      <w:r w:rsidR="00BE0DE4" w:rsidRPr="00381F61">
        <w:rPr>
          <w:rFonts w:ascii="Garamond" w:hAnsi="Garamond"/>
        </w:rPr>
        <w:t xml:space="preserve"> name of the</w:t>
      </w:r>
      <w:r w:rsidRPr="00381F61">
        <w:rPr>
          <w:rFonts w:ascii="Garamond" w:hAnsi="Garamond"/>
        </w:rPr>
        <w:t xml:space="preserve"> ‘Member Tax Credit’ to </w:t>
      </w:r>
      <w:r w:rsidR="008D0F24" w:rsidRPr="00381F61">
        <w:rPr>
          <w:rFonts w:ascii="Garamond" w:hAnsi="Garamond"/>
        </w:rPr>
        <w:t>‘KiwiSaver credit’</w:t>
      </w:r>
      <w:r w:rsidR="00511E06" w:rsidRPr="00381F61">
        <w:rPr>
          <w:rFonts w:ascii="Garamond" w:hAnsi="Garamond"/>
        </w:rPr>
        <w:t xml:space="preserve"> – not implemented</w:t>
      </w:r>
      <w:r w:rsidR="00F66CFF" w:rsidRPr="00381F61">
        <w:rPr>
          <w:rFonts w:ascii="Garamond" w:hAnsi="Garamond"/>
        </w:rPr>
        <w:t xml:space="preserve"> </w:t>
      </w:r>
    </w:p>
    <w:p w14:paraId="7FA09D35" w14:textId="43EC66B0" w:rsidR="00127923" w:rsidRPr="00381F61" w:rsidRDefault="00511E06" w:rsidP="00511E06">
      <w:pPr>
        <w:pStyle w:val="FootnoteText"/>
        <w:numPr>
          <w:ilvl w:val="0"/>
          <w:numId w:val="12"/>
        </w:numPr>
        <w:jc w:val="both"/>
        <w:rPr>
          <w:rFonts w:ascii="Garamond" w:hAnsi="Garamond"/>
        </w:rPr>
      </w:pPr>
      <w:r w:rsidRPr="00381F61">
        <w:rPr>
          <w:rFonts w:ascii="Garamond" w:hAnsi="Garamond"/>
        </w:rPr>
        <w:t xml:space="preserve">Requiring disclosure of </w:t>
      </w:r>
      <w:r w:rsidR="0016319A" w:rsidRPr="00381F61">
        <w:rPr>
          <w:rFonts w:ascii="Garamond" w:hAnsi="Garamond"/>
        </w:rPr>
        <w:t>dollar-cost fees</w:t>
      </w:r>
      <w:r w:rsidRPr="00381F61">
        <w:rPr>
          <w:rFonts w:ascii="Garamond" w:hAnsi="Garamond"/>
        </w:rPr>
        <w:t xml:space="preserve"> – not</w:t>
      </w:r>
      <w:r w:rsidR="00E408E0" w:rsidRPr="00381F61">
        <w:rPr>
          <w:rFonts w:ascii="Garamond" w:hAnsi="Garamond"/>
        </w:rPr>
        <w:t xml:space="preserve"> immediately</w:t>
      </w:r>
      <w:r w:rsidRPr="00381F61">
        <w:rPr>
          <w:rFonts w:ascii="Garamond" w:hAnsi="Garamond"/>
        </w:rPr>
        <w:t xml:space="preserve"> implemented</w:t>
      </w:r>
      <w:r w:rsidR="00EC0315" w:rsidRPr="00381F61">
        <w:rPr>
          <w:rStyle w:val="FootnoteReference"/>
          <w:rFonts w:ascii="Garamond" w:hAnsi="Garamond"/>
        </w:rPr>
        <w:footnoteReference w:id="169"/>
      </w:r>
      <w:r w:rsidRPr="00381F61">
        <w:rPr>
          <w:rFonts w:ascii="Garamond" w:hAnsi="Garamond"/>
        </w:rPr>
        <w:t>;</w:t>
      </w:r>
    </w:p>
    <w:p w14:paraId="28566E5F" w14:textId="5F2C46E0" w:rsidR="0016319A" w:rsidRPr="00F766D5" w:rsidRDefault="00381F61" w:rsidP="00F766D5">
      <w:pPr>
        <w:pStyle w:val="FootnoteText"/>
        <w:numPr>
          <w:ilvl w:val="0"/>
          <w:numId w:val="1"/>
        </w:numPr>
        <w:jc w:val="both"/>
        <w:rPr>
          <w:rFonts w:ascii="Garamond" w:hAnsi="Garamond"/>
        </w:rPr>
      </w:pPr>
      <w:r w:rsidRPr="00381F61">
        <w:rPr>
          <w:rFonts w:ascii="Garamond" w:hAnsi="Garamond"/>
        </w:rPr>
        <w:t>‘</w:t>
      </w:r>
      <w:r w:rsidR="0016319A" w:rsidRPr="00381F61">
        <w:rPr>
          <w:rFonts w:ascii="Garamond" w:hAnsi="Garamond"/>
        </w:rPr>
        <w:t>decoupling’ the KiwiSaver benefit age from the state pension age that would, among other things, allow over-65s to join</w:t>
      </w:r>
      <w:r w:rsidR="00F66CFF" w:rsidRPr="00381F61">
        <w:rPr>
          <w:rFonts w:ascii="Garamond" w:hAnsi="Garamond"/>
        </w:rPr>
        <w:t>.  T</w:t>
      </w:r>
      <w:r w:rsidR="00511E06" w:rsidRPr="00381F61">
        <w:rPr>
          <w:rFonts w:ascii="Garamond" w:hAnsi="Garamond"/>
        </w:rPr>
        <w:t>he KiwiSaver benefit age is still 65</w:t>
      </w:r>
      <w:r w:rsidR="0016319A" w:rsidRPr="00381F61">
        <w:rPr>
          <w:rFonts w:ascii="Garamond" w:hAnsi="Garamond"/>
        </w:rPr>
        <w:t>.</w:t>
      </w:r>
      <w:r w:rsidR="00F66CFF" w:rsidRPr="00381F61">
        <w:rPr>
          <w:rFonts w:ascii="Garamond" w:hAnsi="Garamond"/>
        </w:rPr>
        <w:t xml:space="preserve">  The government announced that this would happen from 1 July 2019 but there is currently no sign of change to the KiwiSaver Act 2006.</w:t>
      </w:r>
      <w:r w:rsidR="00E408E0" w:rsidRPr="00381F61">
        <w:rPr>
          <w:rStyle w:val="FootnoteReference"/>
          <w:rFonts w:ascii="Garamond" w:hAnsi="Garamond"/>
        </w:rPr>
        <w:footnoteReference w:id="170"/>
      </w:r>
    </w:p>
    <w:p w14:paraId="16D4F859" w14:textId="4261AE4D" w:rsidR="0016319A" w:rsidRPr="00381F61" w:rsidRDefault="0016319A" w:rsidP="00E71CEB">
      <w:pPr>
        <w:pStyle w:val="FootnoteText"/>
        <w:numPr>
          <w:ilvl w:val="0"/>
          <w:numId w:val="9"/>
        </w:numPr>
        <w:jc w:val="both"/>
        <w:rPr>
          <w:rFonts w:ascii="Garamond" w:hAnsi="Garamond"/>
        </w:rPr>
      </w:pPr>
      <w:r w:rsidRPr="00381F61">
        <w:rPr>
          <w:rFonts w:ascii="Garamond" w:hAnsi="Garamond"/>
        </w:rPr>
        <w:t>minimum employer and member contributions increase to 4% each (from 3%)</w:t>
      </w:r>
      <w:r w:rsidR="002667F8" w:rsidRPr="00381F61">
        <w:rPr>
          <w:rFonts w:ascii="Garamond" w:hAnsi="Garamond"/>
        </w:rPr>
        <w:t xml:space="preserve"> – the </w:t>
      </w:r>
      <w:r w:rsidR="00511E06" w:rsidRPr="00381F61">
        <w:rPr>
          <w:rFonts w:ascii="Garamond" w:hAnsi="Garamond"/>
        </w:rPr>
        <w:t xml:space="preserve">last </w:t>
      </w:r>
      <w:r w:rsidR="002667F8" w:rsidRPr="00381F61">
        <w:rPr>
          <w:rFonts w:ascii="Garamond" w:hAnsi="Garamond"/>
        </w:rPr>
        <w:t>government rejected that suggestion</w:t>
      </w:r>
      <w:r w:rsidR="002122AF" w:rsidRPr="00381F61">
        <w:rPr>
          <w:rStyle w:val="FootnoteReference"/>
          <w:rFonts w:ascii="Garamond" w:hAnsi="Garamond"/>
        </w:rPr>
        <w:footnoteReference w:id="171"/>
      </w:r>
      <w:r w:rsidRPr="00381F61">
        <w:rPr>
          <w:rFonts w:ascii="Garamond" w:hAnsi="Garamond"/>
        </w:rPr>
        <w:t>;</w:t>
      </w:r>
    </w:p>
    <w:p w14:paraId="03482CE7" w14:textId="4344AD53" w:rsidR="0016319A" w:rsidRPr="00381F61" w:rsidRDefault="00367D56" w:rsidP="00E71CEB">
      <w:pPr>
        <w:pStyle w:val="FootnoteText"/>
        <w:numPr>
          <w:ilvl w:val="0"/>
          <w:numId w:val="9"/>
        </w:numPr>
        <w:jc w:val="both"/>
        <w:rPr>
          <w:rFonts w:ascii="Garamond" w:hAnsi="Garamond"/>
        </w:rPr>
      </w:pPr>
      <w:r w:rsidRPr="00381F61">
        <w:rPr>
          <w:rFonts w:ascii="Garamond" w:hAnsi="Garamond"/>
        </w:rPr>
        <w:t xml:space="preserve">an </w:t>
      </w:r>
      <w:r w:rsidR="0016319A" w:rsidRPr="00381F61">
        <w:rPr>
          <w:rFonts w:ascii="Garamond" w:hAnsi="Garamond"/>
        </w:rPr>
        <w:t>auto-increase option for member contributions</w:t>
      </w:r>
      <w:r w:rsidR="002667F8" w:rsidRPr="00381F61">
        <w:rPr>
          <w:rFonts w:ascii="Garamond" w:hAnsi="Garamond"/>
        </w:rPr>
        <w:t xml:space="preserve"> – the </w:t>
      </w:r>
      <w:r w:rsidR="00FC2C41" w:rsidRPr="00381F61">
        <w:rPr>
          <w:rFonts w:ascii="Garamond" w:hAnsi="Garamond"/>
        </w:rPr>
        <w:t xml:space="preserve">last </w:t>
      </w:r>
      <w:r w:rsidR="002667F8" w:rsidRPr="00381F61">
        <w:rPr>
          <w:rFonts w:ascii="Garamond" w:hAnsi="Garamond"/>
        </w:rPr>
        <w:t>government also rejected that suggestion</w:t>
      </w:r>
      <w:r w:rsidR="0016319A" w:rsidRPr="00381F61">
        <w:rPr>
          <w:rFonts w:ascii="Garamond" w:hAnsi="Garamond"/>
        </w:rPr>
        <w:t>;</w:t>
      </w:r>
    </w:p>
    <w:p w14:paraId="02EF40BC" w14:textId="71ED60C5" w:rsidR="0016319A" w:rsidRPr="00381F61" w:rsidRDefault="0016319A" w:rsidP="00E71CEB">
      <w:pPr>
        <w:pStyle w:val="FootnoteText"/>
        <w:numPr>
          <w:ilvl w:val="0"/>
          <w:numId w:val="9"/>
        </w:numPr>
        <w:jc w:val="both"/>
        <w:rPr>
          <w:rFonts w:ascii="Garamond" w:hAnsi="Garamond"/>
        </w:rPr>
      </w:pPr>
      <w:r w:rsidRPr="00381F61">
        <w:rPr>
          <w:rFonts w:ascii="Garamond" w:hAnsi="Garamond"/>
        </w:rPr>
        <w:t>two new member contribution options</w:t>
      </w:r>
      <w:r w:rsidR="002E1B52" w:rsidRPr="00381F61">
        <w:rPr>
          <w:rFonts w:ascii="Garamond" w:hAnsi="Garamond"/>
        </w:rPr>
        <w:t xml:space="preserve"> by payroll deduction</w:t>
      </w:r>
      <w:r w:rsidRPr="00381F61">
        <w:rPr>
          <w:rFonts w:ascii="Garamond" w:hAnsi="Garamond"/>
        </w:rPr>
        <w:t xml:space="preserve"> (6% and 10%) to add to the current 4% and 8%</w:t>
      </w:r>
      <w:r w:rsidR="008D0F24" w:rsidRPr="00381F61">
        <w:rPr>
          <w:rFonts w:ascii="Garamond" w:hAnsi="Garamond"/>
        </w:rPr>
        <w:t xml:space="preserve"> - th</w:t>
      </w:r>
      <w:r w:rsidR="00511E06" w:rsidRPr="00381F61">
        <w:rPr>
          <w:rFonts w:ascii="Garamond" w:hAnsi="Garamond"/>
        </w:rPr>
        <w:t>at became effective on 1 April 2019</w:t>
      </w:r>
      <w:r w:rsidRPr="00381F61">
        <w:rPr>
          <w:rFonts w:ascii="Garamond" w:hAnsi="Garamond"/>
        </w:rPr>
        <w:t>;</w:t>
      </w:r>
    </w:p>
    <w:p w14:paraId="2F932339" w14:textId="1985B3E6" w:rsidR="0016319A" w:rsidRPr="00381F61" w:rsidRDefault="0016319A" w:rsidP="00E71CEB">
      <w:pPr>
        <w:pStyle w:val="FootnoteText"/>
        <w:numPr>
          <w:ilvl w:val="0"/>
          <w:numId w:val="9"/>
        </w:numPr>
        <w:jc w:val="both"/>
        <w:rPr>
          <w:rFonts w:ascii="Garamond" w:hAnsi="Garamond"/>
        </w:rPr>
      </w:pPr>
      <w:r w:rsidRPr="00381F61">
        <w:rPr>
          <w:rFonts w:ascii="Garamond" w:hAnsi="Garamond"/>
        </w:rPr>
        <w:t>reduce the contributions holiday</w:t>
      </w:r>
      <w:r w:rsidR="00F66CFF" w:rsidRPr="00381F61">
        <w:rPr>
          <w:rFonts w:ascii="Garamond" w:hAnsi="Garamond"/>
        </w:rPr>
        <w:t>, now known as a ‘savings suspension’,</w:t>
      </w:r>
      <w:r w:rsidRPr="00381F61">
        <w:rPr>
          <w:rFonts w:ascii="Garamond" w:hAnsi="Garamond"/>
        </w:rPr>
        <w:t xml:space="preserve"> from five years to one</w:t>
      </w:r>
      <w:r w:rsidR="00511E06" w:rsidRPr="00381F61">
        <w:rPr>
          <w:rFonts w:ascii="Garamond" w:hAnsi="Garamond"/>
        </w:rPr>
        <w:t xml:space="preserve"> – implemented from 1 April 2019</w:t>
      </w:r>
      <w:r w:rsidRPr="00381F61">
        <w:rPr>
          <w:rFonts w:ascii="Garamond" w:hAnsi="Garamond"/>
        </w:rPr>
        <w:t>.</w:t>
      </w:r>
    </w:p>
    <w:p w14:paraId="3ABB11A7" w14:textId="77777777" w:rsidR="0016319A" w:rsidRPr="00381F61" w:rsidRDefault="0016319A" w:rsidP="00E71CEB">
      <w:pPr>
        <w:pStyle w:val="FootnoteText"/>
        <w:jc w:val="both"/>
        <w:rPr>
          <w:rFonts w:ascii="Garamond" w:hAnsi="Garamond"/>
        </w:rPr>
      </w:pPr>
    </w:p>
    <w:p w14:paraId="35A0FE99" w14:textId="5008DAD9" w:rsidR="0016319A" w:rsidRPr="00381F61" w:rsidRDefault="0016319A" w:rsidP="00E71CEB">
      <w:pPr>
        <w:pStyle w:val="FootnoteText"/>
        <w:jc w:val="both"/>
        <w:rPr>
          <w:rFonts w:ascii="Garamond" w:hAnsi="Garamond"/>
        </w:rPr>
      </w:pPr>
      <w:r w:rsidRPr="00381F61">
        <w:rPr>
          <w:rFonts w:ascii="Garamond" w:hAnsi="Garamond"/>
        </w:rPr>
        <w:t>The underlying theme of the</w:t>
      </w:r>
      <w:r w:rsidR="008D0F24" w:rsidRPr="00381F61">
        <w:rPr>
          <w:rFonts w:ascii="Garamond" w:hAnsi="Garamond"/>
        </w:rPr>
        <w:t xml:space="preserve"> Retirement Commissioner’s</w:t>
      </w:r>
      <w:r w:rsidRPr="00381F61">
        <w:rPr>
          <w:rFonts w:ascii="Garamond" w:hAnsi="Garamond"/>
        </w:rPr>
        <w:t xml:space="preserve"> </w:t>
      </w:r>
      <w:r w:rsidR="004F3A04" w:rsidRPr="00381F61">
        <w:rPr>
          <w:rFonts w:ascii="Garamond" w:hAnsi="Garamond"/>
        </w:rPr>
        <w:t xml:space="preserve">main </w:t>
      </w:r>
      <w:r w:rsidRPr="00381F61">
        <w:rPr>
          <w:rFonts w:ascii="Garamond" w:hAnsi="Garamond"/>
        </w:rPr>
        <w:t xml:space="preserve">recommendations, and also three of the ‘further work needed’ suggestions, </w:t>
      </w:r>
      <w:r w:rsidR="00E408E0" w:rsidRPr="00381F61">
        <w:rPr>
          <w:rFonts w:ascii="Garamond" w:hAnsi="Garamond"/>
        </w:rPr>
        <w:t xml:space="preserve">were </w:t>
      </w:r>
      <w:r w:rsidRPr="00381F61">
        <w:rPr>
          <w:rFonts w:ascii="Garamond" w:hAnsi="Garamond"/>
        </w:rPr>
        <w:t xml:space="preserve">that New Zealanders </w:t>
      </w:r>
      <w:r w:rsidR="00E408E0" w:rsidRPr="00381F61">
        <w:rPr>
          <w:rFonts w:ascii="Garamond" w:hAnsi="Garamond"/>
        </w:rPr>
        <w:t>we</w:t>
      </w:r>
      <w:r w:rsidRPr="00381F61">
        <w:rPr>
          <w:rFonts w:ascii="Garamond" w:hAnsi="Garamond"/>
        </w:rPr>
        <w:t>ren’t saving enough for reti</w:t>
      </w:r>
      <w:r w:rsidR="00D34A92" w:rsidRPr="00381F61">
        <w:rPr>
          <w:rFonts w:ascii="Garamond" w:hAnsi="Garamond"/>
        </w:rPr>
        <w:t>rement.  They need</w:t>
      </w:r>
      <w:r w:rsidR="00E408E0" w:rsidRPr="00381F61">
        <w:rPr>
          <w:rFonts w:ascii="Garamond" w:hAnsi="Garamond"/>
        </w:rPr>
        <w:t>ed</w:t>
      </w:r>
      <w:r w:rsidR="00D34A92" w:rsidRPr="00381F61">
        <w:rPr>
          <w:rFonts w:ascii="Garamond" w:hAnsi="Garamond"/>
        </w:rPr>
        <w:t xml:space="preserve"> to be forced, </w:t>
      </w:r>
      <w:r w:rsidRPr="00381F61">
        <w:rPr>
          <w:rFonts w:ascii="Garamond" w:hAnsi="Garamond"/>
        </w:rPr>
        <w:t xml:space="preserve">tripped </w:t>
      </w:r>
      <w:r w:rsidR="00D34A92" w:rsidRPr="00381F61">
        <w:rPr>
          <w:rFonts w:ascii="Garamond" w:hAnsi="Garamond"/>
        </w:rPr>
        <w:t xml:space="preserve">or encouraged </w:t>
      </w:r>
      <w:r w:rsidRPr="00381F61">
        <w:rPr>
          <w:rFonts w:ascii="Garamond" w:hAnsi="Garamond"/>
        </w:rPr>
        <w:t>into saving more th</w:t>
      </w:r>
      <w:r w:rsidR="007A5A92" w:rsidRPr="00381F61">
        <w:rPr>
          <w:rFonts w:ascii="Garamond" w:hAnsi="Garamond"/>
        </w:rPr>
        <w:t>an at present</w:t>
      </w:r>
      <w:r w:rsidR="00A63DB1" w:rsidRPr="00381F61">
        <w:rPr>
          <w:rFonts w:ascii="Garamond" w:hAnsi="Garamond"/>
        </w:rPr>
        <w:t xml:space="preserve"> and KiwiSaver should be a vehicle to promote that needed change in behaviour</w:t>
      </w:r>
      <w:r w:rsidR="007A5A92" w:rsidRPr="00381F61">
        <w:rPr>
          <w:rFonts w:ascii="Garamond" w:hAnsi="Garamond"/>
        </w:rPr>
        <w:t>.  T</w:t>
      </w:r>
      <w:r w:rsidRPr="00381F61">
        <w:rPr>
          <w:rFonts w:ascii="Garamond" w:hAnsi="Garamond"/>
        </w:rPr>
        <w:t xml:space="preserve">he Retirement Commissioner </w:t>
      </w:r>
      <w:r w:rsidR="007A5A92" w:rsidRPr="00381F61">
        <w:rPr>
          <w:rFonts w:ascii="Garamond" w:hAnsi="Garamond"/>
        </w:rPr>
        <w:t>ga</w:t>
      </w:r>
      <w:r w:rsidRPr="00381F61">
        <w:rPr>
          <w:rFonts w:ascii="Garamond" w:hAnsi="Garamond"/>
        </w:rPr>
        <w:t xml:space="preserve">ve us </w:t>
      </w:r>
      <w:r w:rsidR="007A5A92" w:rsidRPr="00381F61">
        <w:rPr>
          <w:rFonts w:ascii="Garamond" w:hAnsi="Garamond"/>
        </w:rPr>
        <w:t xml:space="preserve">no </w:t>
      </w:r>
      <w:r w:rsidRPr="00381F61">
        <w:rPr>
          <w:rFonts w:ascii="Garamond" w:hAnsi="Garamond"/>
        </w:rPr>
        <w:t>evidence</w:t>
      </w:r>
      <w:r w:rsidR="007A5A92" w:rsidRPr="00381F61">
        <w:rPr>
          <w:rFonts w:ascii="Garamond" w:hAnsi="Garamond"/>
        </w:rPr>
        <w:t xml:space="preserve"> to support </w:t>
      </w:r>
      <w:r w:rsidR="00E408E0" w:rsidRPr="00381F61">
        <w:rPr>
          <w:rFonts w:ascii="Garamond" w:hAnsi="Garamond"/>
        </w:rPr>
        <w:t xml:space="preserve">the </w:t>
      </w:r>
      <w:r w:rsidR="007A5A92" w:rsidRPr="00381F61">
        <w:rPr>
          <w:rFonts w:ascii="Garamond" w:hAnsi="Garamond"/>
        </w:rPr>
        <w:t>recommendations</w:t>
      </w:r>
      <w:r w:rsidR="00E62B99" w:rsidRPr="00381F61">
        <w:rPr>
          <w:rFonts w:ascii="Garamond" w:hAnsi="Garamond"/>
        </w:rPr>
        <w:t xml:space="preserve"> on that account</w:t>
      </w:r>
      <w:r w:rsidR="007A5A92" w:rsidRPr="00381F61">
        <w:rPr>
          <w:rFonts w:ascii="Garamond" w:hAnsi="Garamond"/>
        </w:rPr>
        <w:t>.</w:t>
      </w:r>
    </w:p>
    <w:p w14:paraId="7C53FFA2" w14:textId="77777777" w:rsidR="0016319A" w:rsidRPr="00381F61" w:rsidRDefault="0016319A" w:rsidP="00E71CEB">
      <w:pPr>
        <w:pStyle w:val="FootnoteText"/>
        <w:jc w:val="both"/>
        <w:rPr>
          <w:rFonts w:ascii="Garamond" w:hAnsi="Garamond"/>
        </w:rPr>
      </w:pPr>
    </w:p>
    <w:p w14:paraId="3D82D1B4" w14:textId="40439C93" w:rsidR="0016319A" w:rsidRPr="00381F61" w:rsidRDefault="0016319A" w:rsidP="00E71CEB">
      <w:pPr>
        <w:pStyle w:val="FootnoteText"/>
        <w:jc w:val="both"/>
        <w:rPr>
          <w:rFonts w:ascii="Garamond" w:hAnsi="Garamond"/>
        </w:rPr>
      </w:pPr>
      <w:r w:rsidRPr="00381F61">
        <w:rPr>
          <w:rFonts w:ascii="Garamond" w:hAnsi="Garamond"/>
        </w:rPr>
        <w:t xml:space="preserve">We have incomplete information on what New Zealanders are actually doing about their retirement income preparations but here is a summary of what we knew before the Retirement Commissioner started </w:t>
      </w:r>
      <w:r w:rsidR="00E408E0" w:rsidRPr="00381F61">
        <w:rPr>
          <w:rFonts w:ascii="Garamond" w:hAnsi="Garamond"/>
        </w:rPr>
        <w:t xml:space="preserve">the </w:t>
      </w:r>
      <w:r w:rsidRPr="00381F61">
        <w:rPr>
          <w:rFonts w:ascii="Garamond" w:hAnsi="Garamond"/>
        </w:rPr>
        <w:t xml:space="preserve">2016 </w:t>
      </w:r>
      <w:r w:rsidR="00E408E0" w:rsidRPr="00381F61">
        <w:rPr>
          <w:rFonts w:ascii="Garamond" w:hAnsi="Garamond"/>
        </w:rPr>
        <w:t>R</w:t>
      </w:r>
      <w:r w:rsidRPr="00381F61">
        <w:rPr>
          <w:rFonts w:ascii="Garamond" w:hAnsi="Garamond"/>
        </w:rPr>
        <w:t>eview:</w:t>
      </w:r>
    </w:p>
    <w:p w14:paraId="0F4AB808" w14:textId="77777777" w:rsidR="00C16EEF" w:rsidRPr="00381F61" w:rsidRDefault="00C16EEF" w:rsidP="00E71CEB">
      <w:pPr>
        <w:pStyle w:val="FootnoteText"/>
        <w:jc w:val="both"/>
        <w:rPr>
          <w:rFonts w:ascii="Garamond" w:hAnsi="Garamond"/>
          <w:sz w:val="8"/>
          <w:szCs w:val="8"/>
        </w:rPr>
      </w:pPr>
    </w:p>
    <w:p w14:paraId="152C3335" w14:textId="6C372A57" w:rsidR="00C16EEF" w:rsidRPr="00381F61" w:rsidRDefault="0016319A">
      <w:pPr>
        <w:pStyle w:val="FootnoteText"/>
        <w:numPr>
          <w:ilvl w:val="0"/>
          <w:numId w:val="9"/>
        </w:numPr>
        <w:jc w:val="both"/>
        <w:rPr>
          <w:rFonts w:ascii="Garamond" w:hAnsi="Garamond"/>
        </w:rPr>
      </w:pPr>
      <w:r w:rsidRPr="00381F61">
        <w:rPr>
          <w:rFonts w:ascii="Garamond" w:hAnsi="Garamond"/>
        </w:rPr>
        <w:t>New Zealanders were probably slightly over-saving for retirement before KiwiSaver started in 2007 (Treasury report</w:t>
      </w:r>
      <w:r w:rsidR="00626F16" w:rsidRPr="00381F61">
        <w:rPr>
          <w:rFonts w:ascii="Garamond" w:hAnsi="Garamond"/>
        </w:rPr>
        <w:t>s from 2004</w:t>
      </w:r>
      <w:r w:rsidR="00626F16" w:rsidRPr="00381F61">
        <w:rPr>
          <w:rStyle w:val="FootnoteReference"/>
          <w:rFonts w:ascii="Garamond" w:hAnsi="Garamond"/>
        </w:rPr>
        <w:footnoteReference w:id="172"/>
      </w:r>
      <w:r w:rsidR="00874F73" w:rsidRPr="00381F61">
        <w:rPr>
          <w:rFonts w:ascii="Garamond" w:hAnsi="Garamond"/>
        </w:rPr>
        <w:t>,</w:t>
      </w:r>
      <w:r w:rsidR="00586687" w:rsidRPr="00381F61">
        <w:rPr>
          <w:rFonts w:ascii="Garamond" w:hAnsi="Garamond"/>
        </w:rPr>
        <w:t xml:space="preserve"> </w:t>
      </w:r>
      <w:r w:rsidR="00E62B99" w:rsidRPr="00381F61">
        <w:rPr>
          <w:rFonts w:ascii="Garamond" w:hAnsi="Garamond"/>
        </w:rPr>
        <w:t xml:space="preserve">March </w:t>
      </w:r>
      <w:r w:rsidRPr="00381F61">
        <w:rPr>
          <w:rFonts w:ascii="Garamond" w:hAnsi="Garamond"/>
        </w:rPr>
        <w:t>20</w:t>
      </w:r>
      <w:r w:rsidR="00E62B99" w:rsidRPr="00381F61">
        <w:rPr>
          <w:rFonts w:ascii="Garamond" w:hAnsi="Garamond"/>
        </w:rPr>
        <w:t>07</w:t>
      </w:r>
      <w:r w:rsidR="003220D7" w:rsidRPr="00381F61">
        <w:rPr>
          <w:rStyle w:val="FootnoteReference"/>
          <w:rFonts w:ascii="Garamond" w:hAnsi="Garamond"/>
        </w:rPr>
        <w:footnoteReference w:id="173"/>
      </w:r>
      <w:r w:rsidR="00207576" w:rsidRPr="00381F61">
        <w:rPr>
          <w:rFonts w:ascii="Garamond" w:hAnsi="Garamond"/>
        </w:rPr>
        <w:t xml:space="preserve"> and from 2009</w:t>
      </w:r>
      <w:r w:rsidR="00207576" w:rsidRPr="00381F61">
        <w:rPr>
          <w:rStyle w:val="FootnoteReference"/>
          <w:rFonts w:ascii="Garamond" w:hAnsi="Garamond"/>
        </w:rPr>
        <w:footnoteReference w:id="174"/>
      </w:r>
      <w:r w:rsidR="00856899" w:rsidRPr="00381F61">
        <w:rPr>
          <w:rFonts w:ascii="Garamond" w:hAnsi="Garamond"/>
        </w:rPr>
        <w:t>)</w:t>
      </w:r>
      <w:r w:rsidRPr="00381F61">
        <w:rPr>
          <w:rFonts w:ascii="Garamond" w:hAnsi="Garamond"/>
        </w:rPr>
        <w:t>;</w:t>
      </w:r>
    </w:p>
    <w:p w14:paraId="243F3C51" w14:textId="77777777" w:rsidR="00C16EEF" w:rsidRPr="00381F61" w:rsidRDefault="00C16EEF" w:rsidP="00C16EEF">
      <w:pPr>
        <w:pStyle w:val="FootnoteText"/>
        <w:ind w:left="720"/>
        <w:jc w:val="both"/>
        <w:rPr>
          <w:rFonts w:ascii="Garamond" w:hAnsi="Garamond"/>
          <w:sz w:val="8"/>
          <w:szCs w:val="8"/>
        </w:rPr>
      </w:pPr>
    </w:p>
    <w:p w14:paraId="2F7DF925" w14:textId="6C372A57" w:rsidR="0016319A" w:rsidRPr="00381F61" w:rsidRDefault="0016319A" w:rsidP="00E71CEB">
      <w:pPr>
        <w:pStyle w:val="FootnoteText"/>
        <w:numPr>
          <w:ilvl w:val="0"/>
          <w:numId w:val="9"/>
        </w:numPr>
        <w:jc w:val="both"/>
        <w:rPr>
          <w:rFonts w:ascii="Garamond" w:hAnsi="Garamond"/>
        </w:rPr>
      </w:pPr>
      <w:r w:rsidRPr="00381F61">
        <w:rPr>
          <w:rFonts w:ascii="Garamond" w:hAnsi="Garamond"/>
        </w:rPr>
        <w:t>Of KiwiSaver contributions, about one-third was ‘new’ savings, the rest being effectively transferred from other financial assets (Treasury report 2011</w:t>
      </w:r>
      <w:r w:rsidR="00586687" w:rsidRPr="00381F61">
        <w:rPr>
          <w:rStyle w:val="FootnoteReference"/>
          <w:rFonts w:ascii="Garamond" w:hAnsi="Garamond"/>
        </w:rPr>
        <w:footnoteReference w:id="175"/>
      </w:r>
      <w:r w:rsidRPr="00381F61">
        <w:rPr>
          <w:rFonts w:ascii="Garamond" w:hAnsi="Garamond"/>
        </w:rPr>
        <w:t>);</w:t>
      </w:r>
    </w:p>
    <w:p w14:paraId="28F9A90C" w14:textId="77777777" w:rsidR="00C16EEF" w:rsidRPr="00381F61" w:rsidRDefault="00C16EEF" w:rsidP="00C16EEF">
      <w:pPr>
        <w:pStyle w:val="FootnoteText"/>
        <w:ind w:left="709"/>
        <w:jc w:val="both"/>
        <w:rPr>
          <w:rFonts w:ascii="Garamond" w:hAnsi="Garamond"/>
          <w:sz w:val="8"/>
          <w:szCs w:val="8"/>
        </w:rPr>
      </w:pPr>
    </w:p>
    <w:p w14:paraId="0ECBBFC2" w14:textId="535609AE" w:rsidR="0016319A" w:rsidRPr="00381F61" w:rsidRDefault="0016319A" w:rsidP="00C16EEF">
      <w:pPr>
        <w:pStyle w:val="FootnoteText"/>
        <w:numPr>
          <w:ilvl w:val="0"/>
          <w:numId w:val="9"/>
        </w:numPr>
        <w:ind w:left="709"/>
        <w:jc w:val="both"/>
        <w:rPr>
          <w:rFonts w:ascii="Garamond" w:hAnsi="Garamond"/>
        </w:rPr>
      </w:pPr>
      <w:r w:rsidRPr="00381F61">
        <w:rPr>
          <w:rFonts w:ascii="Garamond" w:hAnsi="Garamond"/>
        </w:rPr>
        <w:t>KiwiSaver members seemed to have accumulated less net wealth than non-members (Treasury report 2014</w:t>
      </w:r>
      <w:r w:rsidR="009257C5" w:rsidRPr="00381F61">
        <w:rPr>
          <w:rStyle w:val="FootnoteReference"/>
          <w:rFonts w:ascii="Garamond" w:hAnsi="Garamond"/>
        </w:rPr>
        <w:footnoteReference w:id="176"/>
      </w:r>
      <w:r w:rsidRPr="00381F61">
        <w:rPr>
          <w:rFonts w:ascii="Garamond" w:hAnsi="Garamond"/>
        </w:rPr>
        <w:t>);</w:t>
      </w:r>
    </w:p>
    <w:p w14:paraId="1C923A8C" w14:textId="77777777" w:rsidR="00C16EEF" w:rsidRPr="00381F61" w:rsidRDefault="00C16EEF" w:rsidP="00C16EEF">
      <w:pPr>
        <w:pStyle w:val="FootnoteText"/>
        <w:ind w:left="709"/>
        <w:jc w:val="both"/>
        <w:rPr>
          <w:rFonts w:ascii="Garamond" w:hAnsi="Garamond"/>
          <w:sz w:val="8"/>
          <w:szCs w:val="8"/>
        </w:rPr>
      </w:pPr>
    </w:p>
    <w:p w14:paraId="39883B9C" w14:textId="2063B8AC" w:rsidR="0016319A" w:rsidRPr="00381F61" w:rsidRDefault="0016319A" w:rsidP="00C16EEF">
      <w:pPr>
        <w:pStyle w:val="FootnoteText"/>
        <w:numPr>
          <w:ilvl w:val="0"/>
          <w:numId w:val="9"/>
        </w:numPr>
        <w:ind w:left="709"/>
        <w:jc w:val="both"/>
        <w:rPr>
          <w:rFonts w:ascii="Garamond" w:hAnsi="Garamond"/>
        </w:rPr>
      </w:pPr>
      <w:r w:rsidRPr="00381F61">
        <w:rPr>
          <w:rFonts w:ascii="Garamond" w:hAnsi="Garamond"/>
        </w:rPr>
        <w:t>Poverty levels amongst the over-65s are the lowest of any of the groups in New Zealand</w:t>
      </w:r>
      <w:r w:rsidR="009B0342" w:rsidRPr="00381F61">
        <w:rPr>
          <w:rFonts w:ascii="Garamond" w:hAnsi="Garamond"/>
        </w:rPr>
        <w:t xml:space="preserve"> society (MSD reports from 2007 to </w:t>
      </w:r>
      <w:r w:rsidRPr="00381F61">
        <w:rPr>
          <w:rFonts w:ascii="Garamond" w:hAnsi="Garamond"/>
        </w:rPr>
        <w:t>2013</w:t>
      </w:r>
      <w:r w:rsidR="009B0342" w:rsidRPr="00381F61">
        <w:rPr>
          <w:rStyle w:val="FootnoteReference"/>
          <w:rFonts w:ascii="Garamond" w:hAnsi="Garamond"/>
        </w:rPr>
        <w:footnoteReference w:id="177"/>
      </w:r>
      <w:r w:rsidRPr="00381F61">
        <w:rPr>
          <w:rFonts w:ascii="Garamond" w:hAnsi="Garamond"/>
        </w:rPr>
        <w:t>) and are among the lowest of over</w:t>
      </w:r>
      <w:r w:rsidR="00E45CD9" w:rsidRPr="00381F61">
        <w:rPr>
          <w:rFonts w:ascii="Garamond" w:hAnsi="Garamond"/>
        </w:rPr>
        <w:t>-65s in any country (OECD 2008</w:t>
      </w:r>
      <w:r w:rsidR="00E45CD9" w:rsidRPr="00381F61">
        <w:rPr>
          <w:rStyle w:val="FootnoteReference"/>
          <w:rFonts w:ascii="Garamond" w:hAnsi="Garamond"/>
        </w:rPr>
        <w:footnoteReference w:id="178"/>
      </w:r>
      <w:r w:rsidRPr="00381F61">
        <w:rPr>
          <w:rFonts w:ascii="Garamond" w:hAnsi="Garamond"/>
        </w:rPr>
        <w:t>)</w:t>
      </w:r>
      <w:r w:rsidR="00174916" w:rsidRPr="00381F61">
        <w:rPr>
          <w:rFonts w:ascii="Garamond" w:hAnsi="Garamond"/>
        </w:rPr>
        <w:t xml:space="preserve"> and also by comparison with 27 EU and other European countries</w:t>
      </w:r>
      <w:r w:rsidR="00424AC0" w:rsidRPr="00381F61">
        <w:rPr>
          <w:rFonts w:ascii="Garamond" w:hAnsi="Garamond"/>
        </w:rPr>
        <w:t xml:space="preserve"> (2009)</w:t>
      </w:r>
      <w:r w:rsidR="00174916" w:rsidRPr="00381F61">
        <w:rPr>
          <w:rStyle w:val="FootnoteReference"/>
          <w:rFonts w:ascii="Garamond" w:hAnsi="Garamond"/>
        </w:rPr>
        <w:footnoteReference w:id="179"/>
      </w:r>
      <w:r w:rsidRPr="00381F61">
        <w:rPr>
          <w:rFonts w:ascii="Garamond" w:hAnsi="Garamond"/>
        </w:rPr>
        <w:t>;</w:t>
      </w:r>
    </w:p>
    <w:p w14:paraId="23382D79" w14:textId="77777777" w:rsidR="00C16EEF" w:rsidRPr="00381F61" w:rsidRDefault="00C16EEF" w:rsidP="00C16EEF">
      <w:pPr>
        <w:pStyle w:val="FootnoteText"/>
        <w:ind w:left="709"/>
        <w:jc w:val="both"/>
        <w:rPr>
          <w:rFonts w:ascii="Garamond" w:hAnsi="Garamond"/>
          <w:sz w:val="8"/>
          <w:szCs w:val="8"/>
        </w:rPr>
      </w:pPr>
    </w:p>
    <w:p w14:paraId="3A63AA1C" w14:textId="0892EC8C" w:rsidR="0016319A" w:rsidRPr="00381F61" w:rsidRDefault="0016319A" w:rsidP="00C16EEF">
      <w:pPr>
        <w:pStyle w:val="FootnoteText"/>
        <w:numPr>
          <w:ilvl w:val="0"/>
          <w:numId w:val="9"/>
        </w:numPr>
        <w:ind w:left="709"/>
        <w:jc w:val="both"/>
        <w:rPr>
          <w:rFonts w:ascii="Garamond" w:hAnsi="Garamond"/>
        </w:rPr>
      </w:pPr>
      <w:r w:rsidRPr="00381F61">
        <w:rPr>
          <w:rFonts w:ascii="Garamond" w:hAnsi="Garamond"/>
        </w:rPr>
        <w:t xml:space="preserve">The overall cost to taxpayers of retirement income policies (public and private) is </w:t>
      </w:r>
      <w:r w:rsidR="00E62B99" w:rsidRPr="00381F61">
        <w:rPr>
          <w:rFonts w:ascii="Garamond" w:hAnsi="Garamond"/>
        </w:rPr>
        <w:t>amongs</w:t>
      </w:r>
      <w:r w:rsidR="00856899" w:rsidRPr="00381F61">
        <w:rPr>
          <w:rFonts w:ascii="Garamond" w:hAnsi="Garamond"/>
        </w:rPr>
        <w:t>t</w:t>
      </w:r>
      <w:r w:rsidRPr="00381F61">
        <w:rPr>
          <w:rFonts w:ascii="Garamond" w:hAnsi="Garamond"/>
        </w:rPr>
        <w:t xml:space="preserve"> the lowest in the developed world</w:t>
      </w:r>
      <w:r w:rsidR="00E62B99" w:rsidRPr="00381F61">
        <w:rPr>
          <w:rFonts w:ascii="Garamond" w:hAnsi="Garamond"/>
        </w:rPr>
        <w:t xml:space="preserve"> (OECD 2015</w:t>
      </w:r>
      <w:r w:rsidR="009B0342" w:rsidRPr="00381F61">
        <w:rPr>
          <w:rStyle w:val="FootnoteReference"/>
          <w:rFonts w:ascii="Garamond" w:hAnsi="Garamond"/>
        </w:rPr>
        <w:footnoteReference w:id="180"/>
      </w:r>
      <w:r w:rsidR="00E62B99" w:rsidRPr="00381F61">
        <w:rPr>
          <w:rFonts w:ascii="Garamond" w:hAnsi="Garamond"/>
        </w:rPr>
        <w:t>)</w:t>
      </w:r>
      <w:r w:rsidRPr="00381F61">
        <w:rPr>
          <w:rFonts w:ascii="Garamond" w:hAnsi="Garamond"/>
        </w:rPr>
        <w:t>.</w:t>
      </w:r>
    </w:p>
    <w:p w14:paraId="1C81D73B" w14:textId="77777777" w:rsidR="0016319A" w:rsidRPr="00381F61" w:rsidRDefault="0016319A" w:rsidP="00E71CEB">
      <w:pPr>
        <w:pStyle w:val="FootnoteText"/>
        <w:ind w:left="360"/>
        <w:jc w:val="both"/>
        <w:rPr>
          <w:rFonts w:ascii="Garamond" w:hAnsi="Garamond"/>
        </w:rPr>
      </w:pPr>
    </w:p>
    <w:p w14:paraId="4A9618D7" w14:textId="489C7F4A" w:rsidR="006C4EC8" w:rsidRPr="00381F61" w:rsidRDefault="002410C9" w:rsidP="00E71CEB">
      <w:pPr>
        <w:pStyle w:val="FootnoteText"/>
        <w:jc w:val="both"/>
        <w:rPr>
          <w:rFonts w:ascii="Garamond" w:hAnsi="Garamond"/>
        </w:rPr>
      </w:pPr>
      <w:r w:rsidRPr="00381F61">
        <w:rPr>
          <w:rFonts w:ascii="Garamond" w:hAnsi="Garamond"/>
        </w:rPr>
        <w:t xml:space="preserve">All this probably </w:t>
      </w:r>
      <w:r w:rsidR="000177F4" w:rsidRPr="00381F61">
        <w:rPr>
          <w:rFonts w:ascii="Garamond" w:hAnsi="Garamond"/>
        </w:rPr>
        <w:t>helps</w:t>
      </w:r>
      <w:r w:rsidRPr="00381F61">
        <w:rPr>
          <w:rFonts w:ascii="Garamond" w:hAnsi="Garamond"/>
        </w:rPr>
        <w:t xml:space="preserve"> explain why, of all New Zealanders over age 65</w:t>
      </w:r>
      <w:r w:rsidR="006C4EC8" w:rsidRPr="00381F61">
        <w:rPr>
          <w:rFonts w:ascii="Garamond" w:hAnsi="Garamond"/>
        </w:rPr>
        <w:t xml:space="preserve"> in 201</w:t>
      </w:r>
      <w:r w:rsidR="00902286" w:rsidRPr="00381F61">
        <w:rPr>
          <w:rFonts w:ascii="Garamond" w:hAnsi="Garamond"/>
        </w:rPr>
        <w:t>6</w:t>
      </w:r>
      <w:r w:rsidRPr="00381F61">
        <w:rPr>
          <w:rFonts w:ascii="Garamond" w:hAnsi="Garamond"/>
        </w:rPr>
        <w:t xml:space="preserve">, </w:t>
      </w:r>
      <w:r w:rsidR="006C4EC8" w:rsidRPr="00381F61">
        <w:rPr>
          <w:rFonts w:ascii="Garamond" w:hAnsi="Garamond"/>
        </w:rPr>
        <w:t xml:space="preserve">a Statistics New Zealand survey found that </w:t>
      </w:r>
      <w:r w:rsidR="00902286" w:rsidRPr="00381F61">
        <w:rPr>
          <w:rFonts w:ascii="Garamond" w:hAnsi="Garamond"/>
        </w:rPr>
        <w:t>69.9</w:t>
      </w:r>
      <w:r w:rsidR="006C4EC8" w:rsidRPr="00381F61">
        <w:rPr>
          <w:rFonts w:ascii="Garamond" w:hAnsi="Garamond"/>
        </w:rPr>
        <w:t xml:space="preserve">% reported having </w:t>
      </w:r>
      <w:r w:rsidR="00D312E5" w:rsidRPr="00381F61">
        <w:rPr>
          <w:rFonts w:ascii="Garamond" w:hAnsi="Garamond"/>
        </w:rPr>
        <w:t>“</w:t>
      </w:r>
      <w:r w:rsidR="006C4EC8" w:rsidRPr="00381F61">
        <w:rPr>
          <w:rFonts w:ascii="Garamond" w:hAnsi="Garamond"/>
        </w:rPr>
        <w:t>enough or more than enough mone</w:t>
      </w:r>
      <w:r w:rsidR="00D312E5" w:rsidRPr="00381F61">
        <w:rPr>
          <w:rFonts w:ascii="Garamond" w:hAnsi="Garamond"/>
        </w:rPr>
        <w:t>y”</w:t>
      </w:r>
      <w:r w:rsidR="006C4EC8" w:rsidRPr="00381F61">
        <w:rPr>
          <w:rFonts w:ascii="Garamond" w:hAnsi="Garamond"/>
        </w:rPr>
        <w:t xml:space="preserve"> and 8</w:t>
      </w:r>
      <w:r w:rsidR="00902286" w:rsidRPr="00381F61">
        <w:rPr>
          <w:rFonts w:ascii="Garamond" w:hAnsi="Garamond"/>
        </w:rPr>
        <w:t>7</w:t>
      </w:r>
      <w:r w:rsidR="006C4EC8" w:rsidRPr="00381F61">
        <w:rPr>
          <w:rFonts w:ascii="Garamond" w:hAnsi="Garamond"/>
        </w:rPr>
        <w:t xml:space="preserve">% reported having </w:t>
      </w:r>
      <w:r w:rsidR="00D312E5" w:rsidRPr="00381F61">
        <w:rPr>
          <w:rFonts w:ascii="Garamond" w:hAnsi="Garamond"/>
        </w:rPr>
        <w:t>“</w:t>
      </w:r>
      <w:r w:rsidR="006C4EC8" w:rsidRPr="00381F61">
        <w:rPr>
          <w:rFonts w:ascii="Garamond" w:hAnsi="Garamond"/>
        </w:rPr>
        <w:t>high life satisfaction (7-10 on 1</w:t>
      </w:r>
      <w:r w:rsidR="00902286" w:rsidRPr="00381F61">
        <w:rPr>
          <w:rFonts w:ascii="Garamond" w:hAnsi="Garamond"/>
        </w:rPr>
        <w:t>0</w:t>
      </w:r>
      <w:r w:rsidR="006C4EC8" w:rsidRPr="00381F61">
        <w:rPr>
          <w:rFonts w:ascii="Garamond" w:hAnsi="Garamond"/>
        </w:rPr>
        <w:t>-point scale)</w:t>
      </w:r>
      <w:r w:rsidR="00D312E5" w:rsidRPr="00381F61">
        <w:rPr>
          <w:rFonts w:ascii="Garamond" w:hAnsi="Garamond"/>
        </w:rPr>
        <w:t>”</w:t>
      </w:r>
      <w:r w:rsidR="006C4EC8" w:rsidRPr="00381F61">
        <w:rPr>
          <w:rFonts w:ascii="Garamond" w:hAnsi="Garamond"/>
        </w:rPr>
        <w:t>.</w:t>
      </w:r>
      <w:r w:rsidR="006C4EC8" w:rsidRPr="00381F61">
        <w:rPr>
          <w:rStyle w:val="FootnoteReference"/>
          <w:rFonts w:ascii="Garamond" w:hAnsi="Garamond"/>
        </w:rPr>
        <w:footnoteReference w:id="181"/>
      </w:r>
    </w:p>
    <w:p w14:paraId="70E98EA1" w14:textId="77777777" w:rsidR="006C4EC8" w:rsidRPr="00381F61" w:rsidRDefault="006C4EC8" w:rsidP="00E71CEB">
      <w:pPr>
        <w:pStyle w:val="FootnoteText"/>
        <w:jc w:val="both"/>
        <w:rPr>
          <w:rFonts w:ascii="Garamond" w:hAnsi="Garamond"/>
        </w:rPr>
      </w:pPr>
    </w:p>
    <w:p w14:paraId="3C2AAADB" w14:textId="7B43BE54" w:rsidR="0016319A" w:rsidRPr="00381F61" w:rsidRDefault="0016319A" w:rsidP="00E71CEB">
      <w:pPr>
        <w:pStyle w:val="FootnoteText"/>
        <w:jc w:val="both"/>
        <w:rPr>
          <w:rFonts w:ascii="Garamond" w:hAnsi="Garamond"/>
        </w:rPr>
      </w:pPr>
      <w:r w:rsidRPr="00381F61">
        <w:rPr>
          <w:rFonts w:ascii="Garamond" w:hAnsi="Garamond"/>
        </w:rPr>
        <w:t xml:space="preserve">From this, we could have deduced </w:t>
      </w:r>
      <w:r w:rsidRPr="00381F61">
        <w:rPr>
          <w:rFonts w:ascii="Garamond" w:hAnsi="Garamond"/>
          <w:u w:val="single"/>
        </w:rPr>
        <w:t>before</w:t>
      </w:r>
      <w:r w:rsidRPr="00381F61">
        <w:rPr>
          <w:rFonts w:ascii="Garamond" w:hAnsi="Garamond"/>
        </w:rPr>
        <w:t xml:space="preserve"> the Retirement Commissioner’s 2016 review that New Zealand’s overall retirement i</w:t>
      </w:r>
      <w:r w:rsidR="005F614E" w:rsidRPr="00381F61">
        <w:rPr>
          <w:rFonts w:ascii="Garamond" w:hAnsi="Garamond"/>
        </w:rPr>
        <w:t xml:space="preserve">ncome framework was ‘working’: </w:t>
      </w:r>
      <w:r w:rsidRPr="00381F61">
        <w:rPr>
          <w:rFonts w:ascii="Garamond" w:hAnsi="Garamond"/>
        </w:rPr>
        <w:t xml:space="preserve">people </w:t>
      </w:r>
      <w:r w:rsidR="005F614E" w:rsidRPr="00381F61">
        <w:rPr>
          <w:rFonts w:ascii="Garamond" w:hAnsi="Garamond"/>
        </w:rPr>
        <w:t xml:space="preserve">seemed to be </w:t>
      </w:r>
      <w:r w:rsidRPr="00381F61">
        <w:rPr>
          <w:rFonts w:ascii="Garamond" w:hAnsi="Garamond"/>
        </w:rPr>
        <w:t>saving ‘enough’; limited ‘poverty’ in old age; favourable international comparison</w:t>
      </w:r>
      <w:r w:rsidR="00424AC0" w:rsidRPr="00381F61">
        <w:rPr>
          <w:rFonts w:ascii="Garamond" w:hAnsi="Garamond"/>
        </w:rPr>
        <w:t>s</w:t>
      </w:r>
      <w:r w:rsidRPr="00381F61">
        <w:rPr>
          <w:rFonts w:ascii="Garamond" w:hAnsi="Garamond"/>
        </w:rPr>
        <w:t xml:space="preserve">, all at </w:t>
      </w:r>
      <w:r w:rsidR="00337CFB" w:rsidRPr="00381F61">
        <w:rPr>
          <w:rFonts w:ascii="Garamond" w:hAnsi="Garamond"/>
        </w:rPr>
        <w:t xml:space="preserve">probably </w:t>
      </w:r>
      <w:r w:rsidRPr="00381F61">
        <w:rPr>
          <w:rFonts w:ascii="Garamond" w:hAnsi="Garamond"/>
        </w:rPr>
        <w:t>the lowest overall cost to taxpayers</w:t>
      </w:r>
      <w:r w:rsidR="00874F73" w:rsidRPr="00381F61">
        <w:rPr>
          <w:rFonts w:ascii="Garamond" w:hAnsi="Garamond"/>
        </w:rPr>
        <w:t xml:space="preserve"> of </w:t>
      </w:r>
      <w:r w:rsidR="005F614E" w:rsidRPr="00381F61">
        <w:rPr>
          <w:rFonts w:ascii="Garamond" w:hAnsi="Garamond"/>
        </w:rPr>
        <w:t xml:space="preserve">all </w:t>
      </w:r>
      <w:r w:rsidR="00874F73" w:rsidRPr="00381F61">
        <w:rPr>
          <w:rFonts w:ascii="Garamond" w:hAnsi="Garamond"/>
        </w:rPr>
        <w:t>developed countries</w:t>
      </w:r>
      <w:r w:rsidRPr="00381F61">
        <w:rPr>
          <w:rFonts w:ascii="Garamond" w:hAnsi="Garamond"/>
        </w:rPr>
        <w:t>.</w:t>
      </w:r>
    </w:p>
    <w:p w14:paraId="4BE964C8" w14:textId="77777777" w:rsidR="0016319A" w:rsidRPr="00381F61" w:rsidRDefault="0016319A" w:rsidP="00E71CEB">
      <w:pPr>
        <w:pStyle w:val="FootnoteText"/>
        <w:jc w:val="both"/>
        <w:rPr>
          <w:rFonts w:ascii="Garamond" w:hAnsi="Garamond"/>
        </w:rPr>
      </w:pPr>
    </w:p>
    <w:p w14:paraId="466A3828" w14:textId="7CDA8525" w:rsidR="00E568D7" w:rsidRPr="00381F61" w:rsidRDefault="0065244D" w:rsidP="00E71CEB">
      <w:pPr>
        <w:pStyle w:val="FootnoteText"/>
        <w:jc w:val="both"/>
        <w:rPr>
          <w:rFonts w:ascii="Garamond" w:hAnsi="Garamond"/>
        </w:rPr>
      </w:pPr>
      <w:r w:rsidRPr="00381F61">
        <w:rPr>
          <w:rFonts w:ascii="Garamond" w:hAnsi="Garamond"/>
        </w:rPr>
        <w:t>T</w:t>
      </w:r>
      <w:r w:rsidR="0016319A" w:rsidRPr="00381F61">
        <w:rPr>
          <w:rFonts w:ascii="Garamond" w:hAnsi="Garamond"/>
        </w:rPr>
        <w:t>he Retirem</w:t>
      </w:r>
      <w:r w:rsidRPr="00381F61">
        <w:rPr>
          <w:rFonts w:ascii="Garamond" w:hAnsi="Garamond"/>
        </w:rPr>
        <w:t xml:space="preserve">ent Commissioner’s review did not </w:t>
      </w:r>
      <w:r w:rsidR="00D6032C" w:rsidRPr="00381F61">
        <w:rPr>
          <w:rFonts w:ascii="Garamond" w:hAnsi="Garamond"/>
        </w:rPr>
        <w:t xml:space="preserve">discuss or </w:t>
      </w:r>
      <w:r w:rsidRPr="00381F61">
        <w:rPr>
          <w:rFonts w:ascii="Garamond" w:hAnsi="Garamond"/>
        </w:rPr>
        <w:t xml:space="preserve">question any of what we already knew but </w:t>
      </w:r>
      <w:r w:rsidR="0016319A" w:rsidRPr="00381F61">
        <w:rPr>
          <w:rFonts w:ascii="Garamond" w:hAnsi="Garamond"/>
        </w:rPr>
        <w:t xml:space="preserve">we must assume the Retirement Commissioner </w:t>
      </w:r>
      <w:r w:rsidR="00902286" w:rsidRPr="00381F61">
        <w:rPr>
          <w:rFonts w:ascii="Garamond" w:hAnsi="Garamond"/>
        </w:rPr>
        <w:t xml:space="preserve">thought </w:t>
      </w:r>
      <w:r w:rsidR="0016319A" w:rsidRPr="00381F61">
        <w:rPr>
          <w:rFonts w:ascii="Garamond" w:hAnsi="Garamond"/>
        </w:rPr>
        <w:t>New Zealanders aren’t saving enough</w:t>
      </w:r>
      <w:r w:rsidRPr="00381F61">
        <w:rPr>
          <w:rFonts w:ascii="Garamond" w:hAnsi="Garamond"/>
        </w:rPr>
        <w:t xml:space="preserve"> for retirement, given </w:t>
      </w:r>
      <w:r w:rsidR="00E408E0" w:rsidRPr="00381F61">
        <w:rPr>
          <w:rFonts w:ascii="Garamond" w:hAnsi="Garamond"/>
        </w:rPr>
        <w:t xml:space="preserve">the 2016 Review’s </w:t>
      </w:r>
      <w:r w:rsidRPr="00381F61">
        <w:rPr>
          <w:rFonts w:ascii="Garamond" w:hAnsi="Garamond"/>
        </w:rPr>
        <w:t>recommendations.  B</w:t>
      </w:r>
      <w:r w:rsidR="0016319A" w:rsidRPr="00381F61">
        <w:rPr>
          <w:rFonts w:ascii="Garamond" w:hAnsi="Garamond"/>
        </w:rPr>
        <w:t xml:space="preserve">ut do we know that?  </w:t>
      </w:r>
      <w:r w:rsidR="00124B46" w:rsidRPr="00381F61">
        <w:rPr>
          <w:rFonts w:ascii="Garamond" w:hAnsi="Garamond"/>
        </w:rPr>
        <w:t>Where is the evidence?</w:t>
      </w:r>
    </w:p>
    <w:p w14:paraId="39B03EF6" w14:textId="27B4CA11" w:rsidR="00E568D7" w:rsidRPr="00381F61" w:rsidRDefault="00E568D7" w:rsidP="00E71CEB">
      <w:pPr>
        <w:pStyle w:val="FootnoteText"/>
        <w:jc w:val="both"/>
        <w:rPr>
          <w:rFonts w:ascii="Garamond" w:hAnsi="Garamond"/>
        </w:rPr>
      </w:pPr>
    </w:p>
    <w:p w14:paraId="26FE0747" w14:textId="0D1926FB" w:rsidR="0016319A" w:rsidRPr="00381F61" w:rsidRDefault="0016319A" w:rsidP="00E71CEB">
      <w:pPr>
        <w:pStyle w:val="FootnoteText"/>
        <w:jc w:val="both"/>
        <w:rPr>
          <w:rFonts w:ascii="Garamond" w:hAnsi="Garamond"/>
        </w:rPr>
      </w:pPr>
      <w:r w:rsidRPr="00381F61">
        <w:rPr>
          <w:rFonts w:ascii="Garamond" w:hAnsi="Garamond"/>
        </w:rPr>
        <w:t>Can we even say that KiwiSaver members are saving more for retirement than their non-KiwiSaver peers?  We just don’t know</w:t>
      </w:r>
      <w:r w:rsidR="0065244D" w:rsidRPr="00381F61">
        <w:rPr>
          <w:rFonts w:ascii="Garamond" w:hAnsi="Garamond"/>
        </w:rPr>
        <w:t xml:space="preserve"> but logic suggests</w:t>
      </w:r>
      <w:r w:rsidRPr="00381F61">
        <w:rPr>
          <w:rFonts w:ascii="Garamond" w:hAnsi="Garamond"/>
        </w:rPr>
        <w:t xml:space="preserve"> they won’t be saving that much more, if any more.  Given the </w:t>
      </w:r>
      <w:r w:rsidR="005F614E" w:rsidRPr="00381F61">
        <w:rPr>
          <w:rFonts w:ascii="Garamond" w:hAnsi="Garamond"/>
        </w:rPr>
        <w:t xml:space="preserve">predictable </w:t>
      </w:r>
      <w:r w:rsidR="00186AE0" w:rsidRPr="00381F61">
        <w:rPr>
          <w:rFonts w:ascii="Garamond" w:hAnsi="Garamond"/>
        </w:rPr>
        <w:t xml:space="preserve">reduction </w:t>
      </w:r>
      <w:r w:rsidRPr="00381F61">
        <w:rPr>
          <w:rFonts w:ascii="Garamond" w:hAnsi="Garamond"/>
        </w:rPr>
        <w:t>of occupational superannuation schemes at KiwiSaver’s hands, some may even be saving less in total than previously</w:t>
      </w:r>
      <w:r w:rsidR="00E62B99" w:rsidRPr="00381F61">
        <w:rPr>
          <w:rFonts w:ascii="Garamond" w:hAnsi="Garamond"/>
        </w:rPr>
        <w:t>, but we don’t know</w:t>
      </w:r>
      <w:r w:rsidR="00FF0E89" w:rsidRPr="00381F61">
        <w:rPr>
          <w:rStyle w:val="FootnoteReference"/>
          <w:rFonts w:ascii="Garamond" w:hAnsi="Garamond"/>
        </w:rPr>
        <w:footnoteReference w:id="182"/>
      </w:r>
      <w:r w:rsidRPr="00381F61">
        <w:rPr>
          <w:rFonts w:ascii="Garamond" w:hAnsi="Garamond"/>
        </w:rPr>
        <w:t>.</w:t>
      </w:r>
    </w:p>
    <w:p w14:paraId="7A69E989" w14:textId="77777777" w:rsidR="0016319A" w:rsidRPr="00381F61" w:rsidRDefault="0016319A" w:rsidP="00E71CEB">
      <w:pPr>
        <w:jc w:val="both"/>
        <w:rPr>
          <w:rFonts w:ascii="Garamond" w:hAnsi="Garamond"/>
        </w:rPr>
      </w:pPr>
    </w:p>
    <w:p w14:paraId="4C311631" w14:textId="7E777C3A" w:rsidR="0016319A" w:rsidRPr="00381F61" w:rsidRDefault="0016319A" w:rsidP="00E71CEB">
      <w:pPr>
        <w:jc w:val="both"/>
        <w:rPr>
          <w:rFonts w:ascii="Garamond" w:hAnsi="Garamond"/>
        </w:rPr>
      </w:pPr>
      <w:r w:rsidRPr="00381F61">
        <w:rPr>
          <w:rFonts w:ascii="Garamond" w:hAnsi="Garamond"/>
        </w:rPr>
        <w:t>Since 200</w:t>
      </w:r>
      <w:r w:rsidR="00E62B99" w:rsidRPr="00381F61">
        <w:rPr>
          <w:rFonts w:ascii="Garamond" w:hAnsi="Garamond"/>
        </w:rPr>
        <w:t>7</w:t>
      </w:r>
      <w:r w:rsidR="00264A08" w:rsidRPr="00381F61">
        <w:rPr>
          <w:rFonts w:ascii="Garamond" w:hAnsi="Garamond"/>
        </w:rPr>
        <w:t>, taxpayers have spent about $</w:t>
      </w:r>
      <w:r w:rsidR="00475DC6" w:rsidRPr="00381F61">
        <w:rPr>
          <w:rFonts w:ascii="Garamond" w:hAnsi="Garamond"/>
        </w:rPr>
        <w:t>10.1</w:t>
      </w:r>
      <w:r w:rsidRPr="00381F61">
        <w:rPr>
          <w:rFonts w:ascii="Garamond" w:hAnsi="Garamond"/>
        </w:rPr>
        <w:t xml:space="preserve"> billion on </w:t>
      </w:r>
      <w:r w:rsidR="00E408E0" w:rsidRPr="00381F61">
        <w:rPr>
          <w:rFonts w:ascii="Garamond" w:hAnsi="Garamond"/>
        </w:rPr>
        <w:t xml:space="preserve">direct </w:t>
      </w:r>
      <w:r w:rsidRPr="00381F61">
        <w:rPr>
          <w:rFonts w:ascii="Garamond" w:hAnsi="Garamond"/>
        </w:rPr>
        <w:t>tax incentives for KiwiSaver</w:t>
      </w:r>
      <w:r w:rsidR="00194A16" w:rsidRPr="00381F61">
        <w:rPr>
          <w:rStyle w:val="FootnoteReference"/>
          <w:rFonts w:ascii="Garamond" w:hAnsi="Garamond"/>
        </w:rPr>
        <w:footnoteReference w:id="183"/>
      </w:r>
      <w:r w:rsidRPr="00381F61">
        <w:rPr>
          <w:rFonts w:ascii="Garamond" w:hAnsi="Garamond"/>
        </w:rPr>
        <w:t xml:space="preserve">.  </w:t>
      </w:r>
      <w:r w:rsidR="00E62B99" w:rsidRPr="00381F61">
        <w:rPr>
          <w:rFonts w:ascii="Garamond" w:hAnsi="Garamond"/>
        </w:rPr>
        <w:t>Of total KiwiSaver bal</w:t>
      </w:r>
      <w:r w:rsidR="008A6B0D" w:rsidRPr="00381F61">
        <w:rPr>
          <w:rFonts w:ascii="Garamond" w:hAnsi="Garamond"/>
        </w:rPr>
        <w:t>ances in 201</w:t>
      </w:r>
      <w:r w:rsidR="00304047" w:rsidRPr="00381F61">
        <w:rPr>
          <w:rFonts w:ascii="Garamond" w:hAnsi="Garamond"/>
        </w:rPr>
        <w:t>8</w:t>
      </w:r>
      <w:r w:rsidR="008A6B0D" w:rsidRPr="00381F61">
        <w:rPr>
          <w:rFonts w:ascii="Garamond" w:hAnsi="Garamond"/>
        </w:rPr>
        <w:t xml:space="preserve"> ($</w:t>
      </w:r>
      <w:r w:rsidR="00304047" w:rsidRPr="00381F61">
        <w:rPr>
          <w:rFonts w:ascii="Garamond" w:hAnsi="Garamond"/>
        </w:rPr>
        <w:t>48.6</w:t>
      </w:r>
      <w:r w:rsidR="008A6B0D" w:rsidRPr="00381F61">
        <w:rPr>
          <w:rFonts w:ascii="Garamond" w:hAnsi="Garamond"/>
        </w:rPr>
        <w:t xml:space="preserve"> billion</w:t>
      </w:r>
      <w:r w:rsidR="00304047" w:rsidRPr="00381F61">
        <w:rPr>
          <w:rStyle w:val="FootnoteReference"/>
          <w:rFonts w:ascii="Garamond" w:hAnsi="Garamond"/>
        </w:rPr>
        <w:footnoteReference w:id="184"/>
      </w:r>
      <w:r w:rsidR="008A6B0D" w:rsidRPr="00381F61">
        <w:rPr>
          <w:rFonts w:ascii="Garamond" w:hAnsi="Garamond"/>
        </w:rPr>
        <w:t>)</w:t>
      </w:r>
      <w:r w:rsidR="00192C42" w:rsidRPr="00381F61">
        <w:rPr>
          <w:rFonts w:ascii="Garamond" w:hAnsi="Garamond"/>
        </w:rPr>
        <w:t xml:space="preserve">, </w:t>
      </w:r>
      <w:r w:rsidR="005F614E" w:rsidRPr="00381F61">
        <w:rPr>
          <w:rFonts w:ascii="Garamond" w:hAnsi="Garamond"/>
        </w:rPr>
        <w:t xml:space="preserve">as much as </w:t>
      </w:r>
      <w:r w:rsidR="00192C42" w:rsidRPr="00381F61">
        <w:rPr>
          <w:rFonts w:ascii="Garamond" w:hAnsi="Garamond"/>
        </w:rPr>
        <w:t>2</w:t>
      </w:r>
      <w:r w:rsidR="00304047" w:rsidRPr="00381F61">
        <w:rPr>
          <w:rFonts w:ascii="Garamond" w:hAnsi="Garamond"/>
        </w:rPr>
        <w:t>1</w:t>
      </w:r>
      <w:r w:rsidR="001D3FB5" w:rsidRPr="00381F61">
        <w:rPr>
          <w:rFonts w:ascii="Garamond" w:hAnsi="Garamond"/>
        </w:rPr>
        <w:t>% came from taxpayers.</w:t>
      </w:r>
      <w:r w:rsidR="00CF7D54" w:rsidRPr="00381F61">
        <w:rPr>
          <w:rFonts w:ascii="Garamond" w:hAnsi="Garamond"/>
        </w:rPr>
        <w:t xml:space="preserve">  </w:t>
      </w:r>
      <w:r w:rsidRPr="00381F61">
        <w:rPr>
          <w:rFonts w:ascii="Garamond" w:hAnsi="Garamond"/>
        </w:rPr>
        <w:t>About $</w:t>
      </w:r>
      <w:r w:rsidR="00304047" w:rsidRPr="00381F61">
        <w:rPr>
          <w:rFonts w:ascii="Garamond" w:hAnsi="Garamond"/>
        </w:rPr>
        <w:t>801</w:t>
      </w:r>
      <w:r w:rsidRPr="00381F61">
        <w:rPr>
          <w:rFonts w:ascii="Garamond" w:hAnsi="Garamond"/>
        </w:rPr>
        <w:t xml:space="preserve"> million will be spent in the current financial year</w:t>
      </w:r>
      <w:r w:rsidR="00CF7D54" w:rsidRPr="00381F61">
        <w:rPr>
          <w:rFonts w:ascii="Garamond" w:hAnsi="Garamond"/>
        </w:rPr>
        <w:t xml:space="preserve"> and another $</w:t>
      </w:r>
      <w:r w:rsidR="00304047" w:rsidRPr="00381F61">
        <w:rPr>
          <w:rFonts w:ascii="Garamond" w:hAnsi="Garamond"/>
        </w:rPr>
        <w:t>840 million</w:t>
      </w:r>
      <w:r w:rsidR="00CF7D54" w:rsidRPr="00381F61">
        <w:rPr>
          <w:rFonts w:ascii="Garamond" w:hAnsi="Garamond"/>
        </w:rPr>
        <w:t xml:space="preserve"> </w:t>
      </w:r>
      <w:r w:rsidR="00304047" w:rsidRPr="00381F61">
        <w:rPr>
          <w:rFonts w:ascii="Garamond" w:hAnsi="Garamond"/>
        </w:rPr>
        <w:t xml:space="preserve">in </w:t>
      </w:r>
      <w:r w:rsidR="00CF7D54" w:rsidRPr="00381F61">
        <w:rPr>
          <w:rFonts w:ascii="Garamond" w:hAnsi="Garamond"/>
        </w:rPr>
        <w:t>2020</w:t>
      </w:r>
      <w:r w:rsidR="00CF7D54" w:rsidRPr="00381F61">
        <w:rPr>
          <w:rStyle w:val="FootnoteReference"/>
          <w:rFonts w:ascii="Garamond" w:hAnsi="Garamond"/>
        </w:rPr>
        <w:footnoteReference w:id="185"/>
      </w:r>
      <w:r w:rsidR="00CF7D54" w:rsidRPr="00381F61">
        <w:rPr>
          <w:rFonts w:ascii="Garamond" w:hAnsi="Garamond"/>
        </w:rPr>
        <w:t>.</w:t>
      </w:r>
      <w:r w:rsidRPr="00381F61">
        <w:rPr>
          <w:rFonts w:ascii="Garamond" w:hAnsi="Garamond"/>
        </w:rPr>
        <w:t xml:space="preserve">  Where is the evidence that these large sums have actually changed New Zealanders’ overall financial behaviour?</w:t>
      </w:r>
      <w:r w:rsidR="00723041" w:rsidRPr="00381F61">
        <w:rPr>
          <w:rStyle w:val="FootnoteReference"/>
          <w:rFonts w:ascii="Garamond" w:hAnsi="Garamond"/>
        </w:rPr>
        <w:footnoteReference w:id="186"/>
      </w:r>
      <w:r w:rsidRPr="00381F61">
        <w:rPr>
          <w:rFonts w:ascii="Garamond" w:hAnsi="Garamond"/>
        </w:rPr>
        <w:t xml:space="preserve">  Citing the number of members or the amount now invested in KiwiSaver doesn’t answer that question.</w:t>
      </w:r>
      <w:r w:rsidR="005F614E" w:rsidRPr="00381F61">
        <w:rPr>
          <w:rFonts w:ascii="Garamond" w:hAnsi="Garamond"/>
        </w:rPr>
        <w:t xml:space="preserve">  Encouraging those numbers to grow won’t answer it either.</w:t>
      </w:r>
      <w:r w:rsidRPr="00381F61">
        <w:rPr>
          <w:rFonts w:ascii="Garamond" w:hAnsi="Garamond"/>
        </w:rPr>
        <w:t xml:space="preserve">  Asking New Zealanders whether they think KiwiSaver is a good idea or whether they think they should be saving more is even less helpful.</w:t>
      </w:r>
    </w:p>
    <w:p w14:paraId="122D4586" w14:textId="77777777" w:rsidR="0016319A" w:rsidRPr="00381F61" w:rsidRDefault="0016319A" w:rsidP="00E71CEB">
      <w:pPr>
        <w:pStyle w:val="FootnoteText"/>
        <w:jc w:val="both"/>
        <w:rPr>
          <w:rFonts w:ascii="Garamond" w:hAnsi="Garamond"/>
        </w:rPr>
      </w:pPr>
    </w:p>
    <w:p w14:paraId="6DD0D27C" w14:textId="6A166D36" w:rsidR="0016319A" w:rsidRPr="00381F61" w:rsidRDefault="0016319A" w:rsidP="00E71CEB">
      <w:pPr>
        <w:pStyle w:val="FootnoteText"/>
        <w:jc w:val="both"/>
        <w:rPr>
          <w:rFonts w:ascii="Garamond" w:hAnsi="Garamond"/>
        </w:rPr>
      </w:pPr>
      <w:r w:rsidRPr="00381F61">
        <w:rPr>
          <w:rFonts w:ascii="Garamond" w:hAnsi="Garamond"/>
        </w:rPr>
        <w:t>Finding out what New Zealanders are actually doing about their financial preparation for retirement is the only way to understand whether KiwiSaver actually helps</w:t>
      </w:r>
      <w:r w:rsidR="00D6032C" w:rsidRPr="00381F61">
        <w:rPr>
          <w:rFonts w:ascii="Garamond" w:hAnsi="Garamond"/>
        </w:rPr>
        <w:t>; even, whether New Zealand needs KiwiSaver</w:t>
      </w:r>
      <w:r w:rsidRPr="00381F61">
        <w:rPr>
          <w:rFonts w:ascii="Garamond" w:hAnsi="Garamond"/>
        </w:rPr>
        <w:t xml:space="preserve">.  That requires a longitudinal survey of household financial behaviour of the kind </w:t>
      </w:r>
      <w:r w:rsidR="007A38F1" w:rsidRPr="00381F61">
        <w:rPr>
          <w:rFonts w:ascii="Garamond" w:hAnsi="Garamond"/>
        </w:rPr>
        <w:t xml:space="preserve">New Zealand </w:t>
      </w:r>
      <w:r w:rsidRPr="00381F61">
        <w:rPr>
          <w:rFonts w:ascii="Garamond" w:hAnsi="Garamond"/>
        </w:rPr>
        <w:t>trialled in 200</w:t>
      </w:r>
      <w:r w:rsidR="009974D6" w:rsidRPr="00381F61">
        <w:rPr>
          <w:rFonts w:ascii="Garamond" w:hAnsi="Garamond"/>
        </w:rPr>
        <w:t>2</w:t>
      </w:r>
      <w:r w:rsidRPr="00381F61">
        <w:rPr>
          <w:rFonts w:ascii="Garamond" w:hAnsi="Garamond"/>
        </w:rPr>
        <w:t xml:space="preserve">-2010 with the Survey of Family Income and Employment (SoFIE).  </w:t>
      </w:r>
      <w:r w:rsidR="00CF7D54" w:rsidRPr="00381F61">
        <w:rPr>
          <w:rFonts w:ascii="Garamond" w:hAnsi="Garamond"/>
        </w:rPr>
        <w:t>There is more on this suggestion in section 1</w:t>
      </w:r>
      <w:r w:rsidR="000856CF" w:rsidRPr="00381F61">
        <w:rPr>
          <w:rFonts w:ascii="Garamond" w:hAnsi="Garamond"/>
        </w:rPr>
        <w:t>5</w:t>
      </w:r>
      <w:r w:rsidR="00CF7D54" w:rsidRPr="00381F61">
        <w:rPr>
          <w:rFonts w:ascii="Garamond" w:hAnsi="Garamond"/>
        </w:rPr>
        <w:t xml:space="preserve"> </w:t>
      </w:r>
      <w:r w:rsidR="002E0728" w:rsidRPr="00381F61">
        <w:rPr>
          <w:rFonts w:ascii="Garamond" w:hAnsi="Garamond"/>
        </w:rPr>
        <w:t xml:space="preserve">(Households’ financial position) </w:t>
      </w:r>
      <w:r w:rsidR="00CF7D54" w:rsidRPr="00381F61">
        <w:rPr>
          <w:rFonts w:ascii="Garamond" w:hAnsi="Garamond"/>
        </w:rPr>
        <w:t>below.</w:t>
      </w:r>
    </w:p>
    <w:p w14:paraId="7F27D0B6" w14:textId="77777777" w:rsidR="0016319A" w:rsidRPr="00381F61" w:rsidRDefault="0016319A" w:rsidP="00E71CEB">
      <w:pPr>
        <w:jc w:val="both"/>
        <w:rPr>
          <w:rFonts w:ascii="Garamond" w:hAnsi="Garamond"/>
        </w:rPr>
      </w:pPr>
    </w:p>
    <w:p w14:paraId="357EC516" w14:textId="4E849AF8" w:rsidR="0016319A" w:rsidRPr="00381F61" w:rsidRDefault="0016319A" w:rsidP="00E71CEB">
      <w:pPr>
        <w:jc w:val="both"/>
        <w:rPr>
          <w:rFonts w:ascii="Garamond" w:hAnsi="Garamond"/>
        </w:rPr>
      </w:pPr>
      <w:r w:rsidRPr="00381F61">
        <w:rPr>
          <w:rFonts w:ascii="Garamond" w:hAnsi="Garamond"/>
        </w:rPr>
        <w:t>International evidence suggests that governments are relatively powerless to change savers' decisions to save more or save more in a particular way</w:t>
      </w:r>
      <w:r w:rsidR="007B4F1C" w:rsidRPr="00381F61">
        <w:rPr>
          <w:rFonts w:ascii="Garamond" w:hAnsi="Garamond"/>
        </w:rPr>
        <w:t xml:space="preserve"> or for a particular purpose</w:t>
      </w:r>
      <w:r w:rsidRPr="00381F61">
        <w:rPr>
          <w:rFonts w:ascii="Garamond" w:hAnsi="Garamond"/>
        </w:rPr>
        <w:t>, no matter what kind of intervention has been used (tax incentives, compulsion</w:t>
      </w:r>
      <w:r w:rsidR="004D7614" w:rsidRPr="00381F61">
        <w:rPr>
          <w:rFonts w:ascii="Garamond" w:hAnsi="Garamond"/>
        </w:rPr>
        <w:t xml:space="preserve"> or</w:t>
      </w:r>
      <w:r w:rsidRPr="00381F61">
        <w:rPr>
          <w:rFonts w:ascii="Garamond" w:hAnsi="Garamond"/>
        </w:rPr>
        <w:t xml:space="preserve"> soft compulsion).  KiwiSaver might be an exception to that general observation but we need evidence of that.</w:t>
      </w:r>
    </w:p>
    <w:p w14:paraId="5B5BB748" w14:textId="77777777" w:rsidR="0016319A" w:rsidRPr="00381F61" w:rsidRDefault="0016319A" w:rsidP="00E71CEB">
      <w:pPr>
        <w:pStyle w:val="FootnoteText"/>
        <w:jc w:val="both"/>
        <w:rPr>
          <w:rFonts w:ascii="Garamond" w:hAnsi="Garamond"/>
        </w:rPr>
      </w:pPr>
    </w:p>
    <w:p w14:paraId="68931A46" w14:textId="5039ED9D" w:rsidR="0016319A" w:rsidRPr="00381F61" w:rsidRDefault="0016319A" w:rsidP="00E71CEB">
      <w:pPr>
        <w:pStyle w:val="FootnoteText"/>
        <w:jc w:val="both"/>
        <w:rPr>
          <w:rFonts w:ascii="Garamond" w:hAnsi="Garamond"/>
        </w:rPr>
      </w:pPr>
      <w:r w:rsidRPr="00381F61">
        <w:rPr>
          <w:rFonts w:ascii="Garamond" w:hAnsi="Garamond"/>
        </w:rPr>
        <w:t xml:space="preserve">What little we do know about New Zealanders’ financial behaviour cannot justify the Retirement Commissioner’s </w:t>
      </w:r>
      <w:r w:rsidR="00304047" w:rsidRPr="00381F61">
        <w:rPr>
          <w:rFonts w:ascii="Garamond" w:hAnsi="Garamond"/>
        </w:rPr>
        <w:t xml:space="preserve">2016 </w:t>
      </w:r>
      <w:r w:rsidRPr="00381F61">
        <w:rPr>
          <w:rFonts w:ascii="Garamond" w:hAnsi="Garamond"/>
        </w:rPr>
        <w:t>recommendations to ‘strengthen’ KiwiSaver.</w:t>
      </w:r>
    </w:p>
    <w:p w14:paraId="0EF5953E" w14:textId="77777777" w:rsidR="0065244D" w:rsidRPr="00381F61" w:rsidRDefault="0065244D" w:rsidP="00E71CEB">
      <w:pPr>
        <w:pStyle w:val="FootnoteText"/>
        <w:jc w:val="both"/>
        <w:rPr>
          <w:rFonts w:ascii="Garamond" w:hAnsi="Garamond"/>
        </w:rPr>
      </w:pPr>
    </w:p>
    <w:p w14:paraId="030FF3FD" w14:textId="4C87A96F" w:rsidR="008F6130" w:rsidRPr="00381F61" w:rsidRDefault="008F6130" w:rsidP="006F72B7">
      <w:pPr>
        <w:pStyle w:val="FootnoteText"/>
        <w:ind w:left="709"/>
        <w:jc w:val="both"/>
        <w:rPr>
          <w:rFonts w:ascii="Garamond" w:hAnsi="Garamond"/>
          <w:lang w:val="en-US"/>
        </w:rPr>
      </w:pPr>
      <w:r w:rsidRPr="00381F61">
        <w:rPr>
          <w:rFonts w:ascii="Garamond" w:hAnsi="Garamond"/>
          <w:b/>
        </w:rPr>
        <w:t>A word on ‘total remuneration’:</w:t>
      </w:r>
      <w:r w:rsidRPr="00381F61">
        <w:rPr>
          <w:rFonts w:ascii="Garamond" w:hAnsi="Garamond"/>
        </w:rPr>
        <w:t xml:space="preserve"> </w:t>
      </w:r>
      <w:r w:rsidR="006F72B7" w:rsidRPr="00381F61">
        <w:rPr>
          <w:rFonts w:ascii="Garamond" w:hAnsi="Garamond"/>
          <w:lang w:val="en-US"/>
        </w:rPr>
        <w:t>As explained in the last section (Occupational superannuation - the role of employers), u</w:t>
      </w:r>
      <w:r w:rsidRPr="00381F61">
        <w:rPr>
          <w:rFonts w:ascii="Garamond" w:hAnsi="Garamond"/>
          <w:lang w:val="en-US"/>
        </w:rPr>
        <w:t xml:space="preserve">nder </w:t>
      </w:r>
      <w:r w:rsidR="00304047" w:rsidRPr="00381F61">
        <w:rPr>
          <w:rFonts w:ascii="Garamond" w:hAnsi="Garamond"/>
          <w:lang w:val="en-US"/>
        </w:rPr>
        <w:t xml:space="preserve">a </w:t>
      </w:r>
      <w:r w:rsidRPr="00381F61">
        <w:rPr>
          <w:rFonts w:ascii="Garamond" w:hAnsi="Garamond"/>
          <w:lang w:val="en-US"/>
        </w:rPr>
        <w:t>‘total remuneration’</w:t>
      </w:r>
      <w:r w:rsidR="00304047" w:rsidRPr="00381F61">
        <w:rPr>
          <w:rFonts w:ascii="Garamond" w:hAnsi="Garamond"/>
          <w:lang w:val="en-US"/>
        </w:rPr>
        <w:t xml:space="preserve"> pay policy</w:t>
      </w:r>
      <w:r w:rsidRPr="00381F61">
        <w:rPr>
          <w:rFonts w:ascii="Garamond" w:hAnsi="Garamond"/>
          <w:lang w:val="en-US"/>
        </w:rPr>
        <w:t>, the employer sets a total budget for a job.  That budget is unaffected by an employee’s decision to join KiwiSaver as the employer’s required 3% contribution is deducted from ‘total remuneration’</w:t>
      </w:r>
      <w:r w:rsidR="008A0771" w:rsidRPr="00381F61">
        <w:rPr>
          <w:rFonts w:ascii="Garamond" w:hAnsi="Garamond"/>
          <w:lang w:val="en-US"/>
        </w:rPr>
        <w:t xml:space="preserve"> with the balance paid as direct</w:t>
      </w:r>
      <w:r w:rsidR="00124B46" w:rsidRPr="00381F61">
        <w:rPr>
          <w:rFonts w:ascii="Garamond" w:hAnsi="Garamond"/>
          <w:lang w:val="en-US"/>
        </w:rPr>
        <w:t>,</w:t>
      </w:r>
      <w:r w:rsidR="008A0771" w:rsidRPr="00381F61">
        <w:rPr>
          <w:rFonts w:ascii="Garamond" w:hAnsi="Garamond"/>
          <w:lang w:val="en-US"/>
        </w:rPr>
        <w:t xml:space="preserve"> taxable income</w:t>
      </w:r>
      <w:r w:rsidRPr="00381F61">
        <w:rPr>
          <w:rFonts w:ascii="Garamond" w:hAnsi="Garamond"/>
          <w:lang w:val="en-US"/>
        </w:rPr>
        <w:t>.  On the face, this looks negative</w:t>
      </w:r>
      <w:r w:rsidR="00AA750E" w:rsidRPr="00381F61">
        <w:rPr>
          <w:rFonts w:ascii="Garamond" w:hAnsi="Garamond"/>
          <w:lang w:val="en-US"/>
        </w:rPr>
        <w:t>,</w:t>
      </w:r>
      <w:r w:rsidRPr="00381F61">
        <w:rPr>
          <w:rFonts w:ascii="Garamond" w:hAnsi="Garamond"/>
          <w:lang w:val="en-US"/>
        </w:rPr>
        <w:t xml:space="preserve"> but the em</w:t>
      </w:r>
      <w:r w:rsidR="00E50C90" w:rsidRPr="00381F61">
        <w:rPr>
          <w:rFonts w:ascii="Garamond" w:hAnsi="Garamond"/>
          <w:lang w:val="en-US"/>
        </w:rPr>
        <w:t>ployer ensures that two employee</w:t>
      </w:r>
      <w:r w:rsidRPr="00381F61">
        <w:rPr>
          <w:rFonts w:ascii="Garamond" w:hAnsi="Garamond"/>
          <w:lang w:val="en-US"/>
        </w:rPr>
        <w:t xml:space="preserve">s who do the same job are paid the same ‘total remuneration’.  </w:t>
      </w:r>
      <w:r w:rsidR="00B537ED" w:rsidRPr="00381F61">
        <w:rPr>
          <w:rFonts w:ascii="Garamond" w:hAnsi="Garamond"/>
          <w:lang w:val="en-US"/>
        </w:rPr>
        <w:t xml:space="preserve">Otherwise, the employee who joins </w:t>
      </w:r>
      <w:r w:rsidR="00885D7E" w:rsidRPr="00381F61">
        <w:rPr>
          <w:rFonts w:ascii="Garamond" w:hAnsi="Garamond"/>
          <w:lang w:val="en-US"/>
        </w:rPr>
        <w:t xml:space="preserve">KiwiSaver </w:t>
      </w:r>
      <w:r w:rsidR="00B537ED" w:rsidRPr="00381F61">
        <w:rPr>
          <w:rFonts w:ascii="Garamond" w:hAnsi="Garamond"/>
          <w:lang w:val="en-US"/>
        </w:rPr>
        <w:t xml:space="preserve">will receive more in total by the amount of the employer’s contributions.  </w:t>
      </w:r>
      <w:r w:rsidRPr="00381F61">
        <w:rPr>
          <w:rFonts w:ascii="Garamond" w:hAnsi="Garamond"/>
          <w:lang w:val="en-US"/>
        </w:rPr>
        <w:t>The Retirement Commissioner’s 2016 Review said that ‘total remuneration’ was a “disincentive towards KiwiSaver membership…The intent of KiwiSaver legislation is that compulsory employer contributions are paid on top of gross salary or wages.”</w:t>
      </w:r>
      <w:r w:rsidRPr="00381F61">
        <w:rPr>
          <w:rStyle w:val="FootnoteReference"/>
          <w:rFonts w:ascii="Garamond" w:hAnsi="Garamond"/>
          <w:lang w:val="en-US"/>
        </w:rPr>
        <w:footnoteReference w:id="187"/>
      </w:r>
      <w:r w:rsidRPr="00381F61">
        <w:rPr>
          <w:rFonts w:ascii="Garamond" w:hAnsi="Garamond"/>
          <w:lang w:val="en-US"/>
        </w:rPr>
        <w:t xml:space="preserve">  This is one of the </w:t>
      </w:r>
      <w:r w:rsidR="00AB780E" w:rsidRPr="00381F61">
        <w:rPr>
          <w:rFonts w:ascii="Garamond" w:hAnsi="Garamond"/>
          <w:lang w:val="en-US"/>
        </w:rPr>
        <w:t>five areas identified as requiring further work to, in this case, “…better understand the effects of allowing a total remuneration approach in regard to the intent of KiwiSaver legislation.”</w:t>
      </w:r>
    </w:p>
    <w:p w14:paraId="72728F48" w14:textId="77777777" w:rsidR="00471C61" w:rsidRPr="00381F61" w:rsidRDefault="00471C61" w:rsidP="006F72B7">
      <w:pPr>
        <w:pStyle w:val="FootnoteText"/>
        <w:ind w:left="709"/>
        <w:jc w:val="both"/>
        <w:rPr>
          <w:rFonts w:ascii="Garamond" w:hAnsi="Garamond"/>
          <w:lang w:val="en-US"/>
        </w:rPr>
      </w:pPr>
    </w:p>
    <w:p w14:paraId="2A82F06E" w14:textId="75B12EA9" w:rsidR="00CE073B" w:rsidRPr="00381F61" w:rsidRDefault="00471C61" w:rsidP="006F72B7">
      <w:pPr>
        <w:pStyle w:val="FootnoteText"/>
        <w:ind w:left="709"/>
        <w:jc w:val="both"/>
        <w:rPr>
          <w:rFonts w:ascii="Garamond" w:hAnsi="Garamond"/>
          <w:lang w:val="en-US"/>
        </w:rPr>
      </w:pPr>
      <w:r w:rsidRPr="00381F61">
        <w:rPr>
          <w:rFonts w:ascii="Garamond" w:hAnsi="Garamond"/>
          <w:lang w:val="en-US"/>
        </w:rPr>
        <w:t>The Retirement Commissioner misrepresent</w:t>
      </w:r>
      <w:r w:rsidR="00304047" w:rsidRPr="00381F61">
        <w:rPr>
          <w:rFonts w:ascii="Garamond" w:hAnsi="Garamond"/>
          <w:lang w:val="en-US"/>
        </w:rPr>
        <w:t>ed</w:t>
      </w:r>
      <w:r w:rsidRPr="00381F61">
        <w:rPr>
          <w:rFonts w:ascii="Garamond" w:hAnsi="Garamond"/>
          <w:lang w:val="en-US"/>
        </w:rPr>
        <w:t xml:space="preserve"> the position.  Section 101B of the KiwiSaver Act 2006 (accessible </w:t>
      </w:r>
      <w:hyperlink r:id="rId51" w:history="1">
        <w:r w:rsidRPr="00381F61">
          <w:rPr>
            <w:rStyle w:val="Hyperlink"/>
            <w:rFonts w:ascii="Garamond" w:hAnsi="Garamond"/>
            <w:lang w:val="en-US"/>
          </w:rPr>
          <w:t>here</w:t>
        </w:r>
      </w:hyperlink>
      <w:r w:rsidRPr="00381F61">
        <w:rPr>
          <w:rFonts w:ascii="Garamond" w:hAnsi="Garamond"/>
          <w:lang w:val="en-US"/>
        </w:rPr>
        <w:t>) states the presumption that the employer’s contributions are “…paid in addition to an employee’s gross salary or wages” (section 101B(1)) but then allows the employer and employee to agree otherwise (section 101B(4)</w:t>
      </w:r>
      <w:r w:rsidR="009312E0" w:rsidRPr="00381F61">
        <w:rPr>
          <w:rFonts w:ascii="Garamond" w:hAnsi="Garamond"/>
          <w:lang w:val="en-US"/>
        </w:rPr>
        <w:t>)</w:t>
      </w:r>
      <w:r w:rsidRPr="00381F61">
        <w:rPr>
          <w:rFonts w:ascii="Garamond" w:hAnsi="Garamond"/>
          <w:lang w:val="en-US"/>
        </w:rPr>
        <w:t>.  The Retire</w:t>
      </w:r>
      <w:r w:rsidR="00875F12" w:rsidRPr="00381F61">
        <w:rPr>
          <w:rFonts w:ascii="Garamond" w:hAnsi="Garamond"/>
          <w:lang w:val="en-US"/>
        </w:rPr>
        <w:t xml:space="preserve">ment Commissioner </w:t>
      </w:r>
      <w:r w:rsidR="009B3824" w:rsidRPr="00381F61">
        <w:rPr>
          <w:rFonts w:ascii="Garamond" w:hAnsi="Garamond"/>
          <w:lang w:val="en-US"/>
        </w:rPr>
        <w:t>was apparently</w:t>
      </w:r>
      <w:r w:rsidR="00875F12" w:rsidRPr="00381F61">
        <w:rPr>
          <w:rFonts w:ascii="Garamond" w:hAnsi="Garamond"/>
          <w:lang w:val="en-US"/>
        </w:rPr>
        <w:t xml:space="preserve"> thinking of recommending the abolition of</w:t>
      </w:r>
      <w:r w:rsidRPr="00381F61">
        <w:rPr>
          <w:rFonts w:ascii="Garamond" w:hAnsi="Garamond"/>
          <w:lang w:val="en-US"/>
        </w:rPr>
        <w:t xml:space="preserve"> the right of an employer and employee to </w:t>
      </w:r>
      <w:r w:rsidR="00B537ED" w:rsidRPr="00381F61">
        <w:rPr>
          <w:rFonts w:ascii="Garamond" w:hAnsi="Garamond"/>
          <w:lang w:val="en-US"/>
        </w:rPr>
        <w:t>agree remuneration arrangements.  If that’s the intention, we disagree with the purpose of the Retirement Commissioner’s reason for ‘further work’ in this area.</w:t>
      </w:r>
      <w:r w:rsidR="00F53CF8" w:rsidRPr="00381F61">
        <w:rPr>
          <w:rFonts w:ascii="Garamond" w:hAnsi="Garamond"/>
          <w:lang w:val="en-US"/>
        </w:rPr>
        <w:t xml:space="preserve">  The assumption</w:t>
      </w:r>
      <w:r w:rsidR="000D4F02" w:rsidRPr="00381F61">
        <w:rPr>
          <w:rFonts w:ascii="Garamond" w:hAnsi="Garamond"/>
          <w:lang w:val="en-US"/>
        </w:rPr>
        <w:t>s</w:t>
      </w:r>
      <w:r w:rsidR="00F53CF8" w:rsidRPr="00381F61">
        <w:rPr>
          <w:rFonts w:ascii="Garamond" w:hAnsi="Garamond"/>
          <w:lang w:val="en-US"/>
        </w:rPr>
        <w:t xml:space="preserve"> underpinning that ‘</w:t>
      </w:r>
      <w:r w:rsidR="00CE073B" w:rsidRPr="00381F61">
        <w:rPr>
          <w:rFonts w:ascii="Garamond" w:hAnsi="Garamond"/>
          <w:lang w:val="en-US"/>
        </w:rPr>
        <w:t xml:space="preserve">further </w:t>
      </w:r>
      <w:r w:rsidR="00F53CF8" w:rsidRPr="00381F61">
        <w:rPr>
          <w:rFonts w:ascii="Garamond" w:hAnsi="Garamond"/>
          <w:lang w:val="en-US"/>
        </w:rPr>
        <w:t>work’ must be that an employee is incapable of agreeing appropriate arrangements with the employer</w:t>
      </w:r>
      <w:r w:rsidR="000D4F02" w:rsidRPr="00381F61">
        <w:rPr>
          <w:rFonts w:ascii="Garamond" w:hAnsi="Garamond"/>
          <w:lang w:val="en-US"/>
        </w:rPr>
        <w:t xml:space="preserve"> and that the employer has no legitimate reason for seeking that agreement</w:t>
      </w:r>
      <w:r w:rsidR="00F53CF8" w:rsidRPr="00381F61">
        <w:rPr>
          <w:rFonts w:ascii="Garamond" w:hAnsi="Garamond"/>
          <w:lang w:val="en-US"/>
        </w:rPr>
        <w:t>.</w:t>
      </w:r>
      <w:r w:rsidR="00DC6D42" w:rsidRPr="00381F61">
        <w:rPr>
          <w:rFonts w:ascii="Garamond" w:hAnsi="Garamond"/>
          <w:lang w:val="en-US"/>
        </w:rPr>
        <w:t xml:space="preserve">  That is </w:t>
      </w:r>
      <w:r w:rsidR="009925D3" w:rsidRPr="00381F61">
        <w:rPr>
          <w:rFonts w:ascii="Garamond" w:hAnsi="Garamond"/>
          <w:lang w:val="en-US"/>
        </w:rPr>
        <w:t>why section 101</w:t>
      </w:r>
      <w:proofErr w:type="gramStart"/>
      <w:r w:rsidR="009925D3" w:rsidRPr="00381F61">
        <w:rPr>
          <w:rFonts w:ascii="Garamond" w:hAnsi="Garamond"/>
          <w:lang w:val="en-US"/>
        </w:rPr>
        <w:t>B(</w:t>
      </w:r>
      <w:proofErr w:type="gramEnd"/>
      <w:r w:rsidR="009925D3" w:rsidRPr="00381F61">
        <w:rPr>
          <w:rFonts w:ascii="Garamond" w:hAnsi="Garamond"/>
          <w:lang w:val="en-US"/>
        </w:rPr>
        <w:t>1) is</w:t>
      </w:r>
      <w:r w:rsidR="00DC6D42" w:rsidRPr="00381F61">
        <w:rPr>
          <w:rFonts w:ascii="Garamond" w:hAnsi="Garamond"/>
          <w:lang w:val="en-US"/>
        </w:rPr>
        <w:t xml:space="preserve"> in the legislation</w:t>
      </w:r>
      <w:r w:rsidR="008D0F24" w:rsidRPr="00381F61">
        <w:rPr>
          <w:rStyle w:val="FootnoteReference"/>
          <w:rFonts w:ascii="Garamond" w:hAnsi="Garamond"/>
          <w:lang w:val="en-US"/>
        </w:rPr>
        <w:footnoteReference w:id="188"/>
      </w:r>
      <w:r w:rsidR="00DC6D42" w:rsidRPr="00381F61">
        <w:rPr>
          <w:rFonts w:ascii="Garamond" w:hAnsi="Garamond"/>
          <w:lang w:val="en-US"/>
        </w:rPr>
        <w:t>.</w:t>
      </w:r>
    </w:p>
    <w:p w14:paraId="6ADD41BD" w14:textId="77777777" w:rsidR="00CE073B" w:rsidRPr="00381F61" w:rsidRDefault="00CE073B" w:rsidP="00E71CEB">
      <w:pPr>
        <w:pStyle w:val="FootnoteText"/>
        <w:jc w:val="both"/>
        <w:rPr>
          <w:rFonts w:ascii="Garamond" w:hAnsi="Garamond"/>
          <w:lang w:val="en-US"/>
        </w:rPr>
      </w:pPr>
    </w:p>
    <w:p w14:paraId="6641263F" w14:textId="23942F57" w:rsidR="0065244D" w:rsidRPr="00381F61" w:rsidRDefault="0065244D" w:rsidP="00E71CEB">
      <w:pPr>
        <w:pStyle w:val="FootnoteText"/>
        <w:jc w:val="both"/>
        <w:rPr>
          <w:rFonts w:ascii="Garamond" w:hAnsi="Garamond"/>
        </w:rPr>
      </w:pPr>
      <w:r w:rsidRPr="00381F61">
        <w:rPr>
          <w:rFonts w:ascii="Garamond" w:hAnsi="Garamond"/>
        </w:rPr>
        <w:t xml:space="preserve">Taxpayers </w:t>
      </w:r>
      <w:r w:rsidR="002E5192" w:rsidRPr="00381F61">
        <w:rPr>
          <w:rFonts w:ascii="Garamond" w:hAnsi="Garamond"/>
        </w:rPr>
        <w:t>will spend</w:t>
      </w:r>
      <w:r w:rsidRPr="00381F61">
        <w:rPr>
          <w:rFonts w:ascii="Garamond" w:hAnsi="Garamond"/>
        </w:rPr>
        <w:t xml:space="preserve"> $</w:t>
      </w:r>
      <w:r w:rsidR="009B3824" w:rsidRPr="00381F61">
        <w:rPr>
          <w:rFonts w:ascii="Garamond" w:hAnsi="Garamond"/>
        </w:rPr>
        <w:t>801</w:t>
      </w:r>
      <w:r w:rsidR="00337CFB" w:rsidRPr="00381F61">
        <w:rPr>
          <w:rFonts w:ascii="Garamond" w:hAnsi="Garamond"/>
        </w:rPr>
        <w:t xml:space="preserve"> million on KiwiSaver</w:t>
      </w:r>
      <w:r w:rsidR="002E5192" w:rsidRPr="00381F61">
        <w:rPr>
          <w:rFonts w:ascii="Garamond" w:hAnsi="Garamond"/>
        </w:rPr>
        <w:t xml:space="preserve"> in 201</w:t>
      </w:r>
      <w:r w:rsidR="009B3824" w:rsidRPr="00381F61">
        <w:rPr>
          <w:rFonts w:ascii="Garamond" w:hAnsi="Garamond"/>
        </w:rPr>
        <w:t>9</w:t>
      </w:r>
      <w:r w:rsidR="00337CFB" w:rsidRPr="00381F61">
        <w:rPr>
          <w:rFonts w:ascii="Garamond" w:hAnsi="Garamond"/>
        </w:rPr>
        <w:t xml:space="preserve">.  </w:t>
      </w:r>
      <w:r w:rsidR="002E5192" w:rsidRPr="00381F61">
        <w:rPr>
          <w:rFonts w:ascii="Garamond" w:hAnsi="Garamond"/>
        </w:rPr>
        <w:t>The Treasury expects that to be $840 million in 2020.</w:t>
      </w:r>
      <w:r w:rsidR="00337CFB" w:rsidRPr="00381F61">
        <w:rPr>
          <w:rFonts w:ascii="Garamond" w:hAnsi="Garamond"/>
        </w:rPr>
        <w:t xml:space="preserve">  </w:t>
      </w:r>
      <w:r w:rsidR="00CF7D54" w:rsidRPr="00381F61">
        <w:rPr>
          <w:rFonts w:ascii="Garamond" w:hAnsi="Garamond"/>
        </w:rPr>
        <w:t>There</w:t>
      </w:r>
      <w:r w:rsidRPr="00381F61">
        <w:rPr>
          <w:rFonts w:ascii="Garamond" w:hAnsi="Garamond"/>
        </w:rPr>
        <w:t xml:space="preserve"> are some questions that need answers to support </w:t>
      </w:r>
      <w:r w:rsidR="00333A09" w:rsidRPr="00381F61">
        <w:rPr>
          <w:rFonts w:ascii="Garamond" w:hAnsi="Garamond"/>
        </w:rPr>
        <w:t xml:space="preserve">even the </w:t>
      </w:r>
      <w:r w:rsidRPr="00381F61">
        <w:rPr>
          <w:rFonts w:ascii="Garamond" w:hAnsi="Garamond"/>
        </w:rPr>
        <w:t>current subsidies</w:t>
      </w:r>
      <w:r w:rsidR="00F70E27" w:rsidRPr="00381F61">
        <w:rPr>
          <w:rFonts w:ascii="Garamond" w:hAnsi="Garamond"/>
        </w:rPr>
        <w:t xml:space="preserve"> before we can </w:t>
      </w:r>
      <w:r w:rsidR="00333A09" w:rsidRPr="00381F61">
        <w:rPr>
          <w:rFonts w:ascii="Garamond" w:hAnsi="Garamond"/>
        </w:rPr>
        <w:t>discuss</w:t>
      </w:r>
      <w:r w:rsidR="00F70E27" w:rsidRPr="00381F61">
        <w:rPr>
          <w:rFonts w:ascii="Garamond" w:hAnsi="Garamond"/>
        </w:rPr>
        <w:t xml:space="preserve"> whether further subsidies can be justified</w:t>
      </w:r>
      <w:r w:rsidR="009B3824" w:rsidRPr="00381F61">
        <w:rPr>
          <w:rFonts w:ascii="Garamond" w:hAnsi="Garamond"/>
        </w:rPr>
        <w:t>, especially of the level discussed in the Tax Working Group’s recent report (discussed in section 9 – On tax subsidies for saving)</w:t>
      </w:r>
      <w:r w:rsidR="00337CFB" w:rsidRPr="00381F61">
        <w:rPr>
          <w:rFonts w:ascii="Garamond" w:hAnsi="Garamond"/>
        </w:rPr>
        <w:t>.</w:t>
      </w:r>
    </w:p>
    <w:p w14:paraId="0DC44405" w14:textId="77777777" w:rsidR="009B3824" w:rsidRPr="00381F61" w:rsidRDefault="009B3824" w:rsidP="009B3824">
      <w:pPr>
        <w:jc w:val="both"/>
        <w:rPr>
          <w:rFonts w:ascii="Garamond" w:hAnsi="Garamond"/>
          <w:b/>
        </w:rPr>
      </w:pPr>
    </w:p>
    <w:p w14:paraId="27D8A3F1" w14:textId="78162226" w:rsidR="009B3824" w:rsidRPr="00381F61" w:rsidRDefault="009B3824" w:rsidP="009B3824">
      <w:pPr>
        <w:jc w:val="both"/>
        <w:rPr>
          <w:rFonts w:ascii="Garamond" w:hAnsi="Garamond"/>
        </w:rPr>
      </w:pPr>
      <w:r w:rsidRPr="00381F61">
        <w:rPr>
          <w:rFonts w:ascii="Garamond" w:hAnsi="Garamond"/>
          <w:b/>
        </w:rPr>
        <w:t>Terms of reference for 2019 Review</w:t>
      </w:r>
    </w:p>
    <w:p w14:paraId="3D16137E" w14:textId="77777777" w:rsidR="009B3824" w:rsidRPr="00381F61" w:rsidRDefault="009B3824" w:rsidP="009B3824">
      <w:pPr>
        <w:jc w:val="both"/>
        <w:rPr>
          <w:rFonts w:ascii="Garamond" w:hAnsi="Garamond"/>
        </w:rPr>
      </w:pPr>
    </w:p>
    <w:p w14:paraId="588958A3" w14:textId="4601EDE5" w:rsidR="009B3824" w:rsidRPr="00381F61" w:rsidRDefault="009B3824" w:rsidP="005E373C">
      <w:pPr>
        <w:jc w:val="both"/>
        <w:rPr>
          <w:rFonts w:ascii="Garamond" w:hAnsi="Garamond"/>
        </w:rPr>
      </w:pPr>
      <w:r w:rsidRPr="00381F61">
        <w:rPr>
          <w:rFonts w:ascii="Garamond" w:hAnsi="Garamond"/>
        </w:rPr>
        <w:t>The Terms of Reference for the Retirement Commissioner’s 2019 Review made a number of references to some of the issues raised in this section.  The Review is asked for</w:t>
      </w:r>
      <w:r w:rsidR="005E373C" w:rsidRPr="00381F61">
        <w:rPr>
          <w:rFonts w:ascii="Garamond" w:hAnsi="Garamond"/>
        </w:rPr>
        <w:t xml:space="preserve"> information with respect to KiwiSaver about:</w:t>
      </w:r>
    </w:p>
    <w:p w14:paraId="25BAED05" w14:textId="430B1538" w:rsidR="005E373C" w:rsidRPr="00381F61" w:rsidRDefault="005E373C" w:rsidP="005E373C">
      <w:pPr>
        <w:pStyle w:val="ListParagraph"/>
        <w:numPr>
          <w:ilvl w:val="0"/>
          <w:numId w:val="9"/>
        </w:numPr>
        <w:jc w:val="both"/>
        <w:rPr>
          <w:rFonts w:ascii="Garamond" w:hAnsi="Garamond"/>
        </w:rPr>
      </w:pPr>
      <w:r w:rsidRPr="00381F61">
        <w:rPr>
          <w:rFonts w:ascii="Garamond" w:hAnsi="Garamond"/>
        </w:rPr>
        <w:t>The “impact of the changing nature of work”;</w:t>
      </w:r>
    </w:p>
    <w:p w14:paraId="1B39D931" w14:textId="76192F57" w:rsidR="005E373C" w:rsidRPr="00381F61" w:rsidRDefault="005E373C" w:rsidP="005E373C">
      <w:pPr>
        <w:pStyle w:val="ListParagraph"/>
        <w:numPr>
          <w:ilvl w:val="0"/>
          <w:numId w:val="9"/>
        </w:numPr>
        <w:jc w:val="both"/>
        <w:rPr>
          <w:rFonts w:ascii="Garamond" w:hAnsi="Garamond"/>
        </w:rPr>
      </w:pPr>
      <w:r w:rsidRPr="00381F61">
        <w:rPr>
          <w:rFonts w:ascii="Garamond" w:hAnsi="Garamond"/>
        </w:rPr>
        <w:t>“…the public’s perception and understanding of KiwiSaver fees…”</w:t>
      </w:r>
    </w:p>
    <w:p w14:paraId="3F3A0355" w14:textId="154E59DB" w:rsidR="005E373C" w:rsidRPr="00381F61" w:rsidRDefault="005E373C" w:rsidP="00701CA1">
      <w:pPr>
        <w:pStyle w:val="ListParagraph"/>
        <w:numPr>
          <w:ilvl w:val="0"/>
          <w:numId w:val="9"/>
        </w:numPr>
        <w:jc w:val="both"/>
        <w:rPr>
          <w:rFonts w:ascii="Garamond" w:hAnsi="Garamond"/>
        </w:rPr>
      </w:pPr>
      <w:r w:rsidRPr="00381F61">
        <w:rPr>
          <w:rFonts w:ascii="Garamond" w:hAnsi="Garamond"/>
        </w:rPr>
        <w:t>“…the public’s perception and understanding of ethical investments in KiwiSaver…”</w:t>
      </w:r>
    </w:p>
    <w:p w14:paraId="281A3816" w14:textId="6400C36E" w:rsidR="009B3824" w:rsidRPr="00381F61" w:rsidRDefault="009B3824" w:rsidP="009B3824">
      <w:pPr>
        <w:jc w:val="both"/>
        <w:rPr>
          <w:rFonts w:ascii="Garamond" w:hAnsi="Garamond"/>
        </w:rPr>
      </w:pPr>
    </w:p>
    <w:p w14:paraId="0C5646CE" w14:textId="44E6DC97" w:rsidR="00C47A28" w:rsidRPr="00381F61" w:rsidRDefault="00C47A28" w:rsidP="009B3824">
      <w:pPr>
        <w:jc w:val="both"/>
        <w:rPr>
          <w:rFonts w:ascii="Garamond" w:hAnsi="Garamond"/>
        </w:rPr>
      </w:pPr>
      <w:r w:rsidRPr="00381F61">
        <w:rPr>
          <w:rFonts w:ascii="Garamond" w:hAnsi="Garamond"/>
        </w:rPr>
        <w:t>Also, arguably the Retirement Commissioner can look at whether KiwiSaver is working for the financially vulnerable and low income groups:</w:t>
      </w:r>
    </w:p>
    <w:p w14:paraId="28C8B6A4" w14:textId="77777777" w:rsidR="00C47A28" w:rsidRPr="00381F61" w:rsidRDefault="00C47A28" w:rsidP="009B3824">
      <w:pPr>
        <w:jc w:val="both"/>
        <w:rPr>
          <w:rFonts w:ascii="Garamond" w:hAnsi="Garamond"/>
          <w:sz w:val="8"/>
          <w:szCs w:val="8"/>
        </w:rPr>
      </w:pPr>
    </w:p>
    <w:p w14:paraId="02F4411F" w14:textId="77777777" w:rsidR="00C47A28" w:rsidRPr="00381F61" w:rsidRDefault="00C47A28" w:rsidP="00C47A28">
      <w:pPr>
        <w:pStyle w:val="ListParagraph"/>
        <w:widowControl w:val="0"/>
        <w:tabs>
          <w:tab w:val="left" w:pos="1187"/>
        </w:tabs>
        <w:autoSpaceDE w:val="0"/>
        <w:autoSpaceDN w:val="0"/>
        <w:ind w:left="709" w:right="-52"/>
        <w:contextualSpacing w:val="0"/>
        <w:jc w:val="both"/>
        <w:rPr>
          <w:rFonts w:ascii="Garamond" w:hAnsi="Garamond"/>
          <w:color w:val="1A1A1A"/>
          <w:sz w:val="22"/>
          <w:szCs w:val="22"/>
        </w:rPr>
      </w:pPr>
      <w:r w:rsidRPr="00381F61">
        <w:rPr>
          <w:rFonts w:ascii="Garamond" w:hAnsi="Garamond"/>
          <w:color w:val="1A1A1A"/>
          <w:sz w:val="22"/>
          <w:szCs w:val="22"/>
        </w:rPr>
        <w:t>“An assessment of the effectiveness of current retirement policies for</w:t>
      </w:r>
      <w:r w:rsidRPr="00381F61">
        <w:rPr>
          <w:rFonts w:ascii="Garamond" w:hAnsi="Garamond"/>
          <w:color w:val="1A1A1A"/>
          <w:spacing w:val="-44"/>
          <w:sz w:val="22"/>
          <w:szCs w:val="22"/>
        </w:rPr>
        <w:t xml:space="preserve">   </w:t>
      </w:r>
      <w:r w:rsidRPr="00381F61">
        <w:rPr>
          <w:rFonts w:ascii="Garamond" w:hAnsi="Garamond"/>
          <w:color w:val="1A1A1A"/>
          <w:sz w:val="22"/>
          <w:szCs w:val="22"/>
        </w:rPr>
        <w:t>financially vulnerable and low-income groups, and recommendations for any policies that could improve their retirement</w:t>
      </w:r>
      <w:r w:rsidRPr="00381F61">
        <w:rPr>
          <w:rFonts w:ascii="Garamond" w:hAnsi="Garamond"/>
          <w:color w:val="1A1A1A"/>
          <w:spacing w:val="44"/>
          <w:sz w:val="22"/>
          <w:szCs w:val="22"/>
        </w:rPr>
        <w:t xml:space="preserve"> </w:t>
      </w:r>
      <w:r w:rsidRPr="00381F61">
        <w:rPr>
          <w:rFonts w:ascii="Garamond" w:hAnsi="Garamond"/>
          <w:color w:val="1A1A1A"/>
          <w:sz w:val="22"/>
          <w:szCs w:val="22"/>
        </w:rPr>
        <w:t xml:space="preserve">outcomes.” </w:t>
      </w:r>
    </w:p>
    <w:p w14:paraId="031620C8" w14:textId="77777777" w:rsidR="00C47A28" w:rsidRPr="00381F61" w:rsidRDefault="00C47A28" w:rsidP="009B3824">
      <w:pPr>
        <w:jc w:val="both"/>
        <w:rPr>
          <w:rFonts w:ascii="Garamond" w:hAnsi="Garamond"/>
          <w:b/>
        </w:rPr>
      </w:pPr>
    </w:p>
    <w:p w14:paraId="1094C523" w14:textId="4346B8FE" w:rsidR="00CF7D54" w:rsidRPr="00381F61" w:rsidRDefault="005E373C" w:rsidP="00701CA1">
      <w:pPr>
        <w:jc w:val="both"/>
        <w:rPr>
          <w:rFonts w:ascii="Garamond" w:hAnsi="Garamond"/>
        </w:rPr>
      </w:pPr>
      <w:r w:rsidRPr="00381F61">
        <w:rPr>
          <w:rFonts w:ascii="Garamond" w:hAnsi="Garamond"/>
        </w:rPr>
        <w:t>However, the requested “assessments” do not touch on much more fundamental questions that we really need to address.</w:t>
      </w:r>
    </w:p>
    <w:p w14:paraId="33ABAD84" w14:textId="77777777" w:rsidR="004D35B3" w:rsidRPr="00381F61" w:rsidRDefault="004D35B3" w:rsidP="00E71CEB">
      <w:pPr>
        <w:pStyle w:val="FootnoteText"/>
        <w:jc w:val="both"/>
        <w:rPr>
          <w:rFonts w:ascii="Garamond" w:hAnsi="Garamond"/>
        </w:rPr>
      </w:pPr>
    </w:p>
    <w:p w14:paraId="2B4A6798" w14:textId="7681D817" w:rsidR="00CF7D54" w:rsidRPr="00381F61" w:rsidRDefault="00CF7D54" w:rsidP="00E71CEB">
      <w:pPr>
        <w:pStyle w:val="FootnoteText"/>
        <w:jc w:val="both"/>
        <w:rPr>
          <w:rFonts w:ascii="Garamond" w:hAnsi="Garamond"/>
        </w:rPr>
      </w:pPr>
      <w:r w:rsidRPr="00381F61">
        <w:rPr>
          <w:rFonts w:ascii="Garamond" w:hAnsi="Garamond"/>
          <w:b/>
        </w:rPr>
        <w:t xml:space="preserve">Questions New Zealand </w:t>
      </w:r>
      <w:r w:rsidR="00A256AB" w:rsidRPr="00381F61">
        <w:rPr>
          <w:rFonts w:ascii="Garamond" w:hAnsi="Garamond"/>
          <w:b/>
        </w:rPr>
        <w:t xml:space="preserve">needs </w:t>
      </w:r>
      <w:r w:rsidRPr="00381F61">
        <w:rPr>
          <w:rFonts w:ascii="Garamond" w:hAnsi="Garamond"/>
          <w:b/>
        </w:rPr>
        <w:t>to discuss</w:t>
      </w:r>
      <w:r w:rsidR="00A256AB" w:rsidRPr="00381F61">
        <w:rPr>
          <w:rFonts w:ascii="Garamond" w:hAnsi="Garamond"/>
          <w:b/>
        </w:rPr>
        <w:t xml:space="preserve"> on KiwiSaver</w:t>
      </w:r>
      <w:r w:rsidRPr="00381F61">
        <w:rPr>
          <w:rFonts w:ascii="Garamond" w:hAnsi="Garamond"/>
          <w:b/>
        </w:rPr>
        <w:t>:</w:t>
      </w:r>
    </w:p>
    <w:p w14:paraId="6E82CEF4" w14:textId="06FFC391" w:rsidR="00CF7D54" w:rsidRPr="00381F61" w:rsidRDefault="006F72B7" w:rsidP="00E71CEB">
      <w:pPr>
        <w:pStyle w:val="FootnoteText"/>
        <w:jc w:val="both"/>
        <w:rPr>
          <w:rFonts w:ascii="Garamond" w:hAnsi="Garamond"/>
        </w:rPr>
      </w:pPr>
      <w:r w:rsidRPr="00381F61">
        <w:rPr>
          <w:rFonts w:ascii="Garamond" w:hAnsi="Garamond"/>
        </w:rPr>
        <w:t>Some of the following questions overlap with questions in the last section 13 (Occupational superannuation – the role of employers)</w:t>
      </w:r>
      <w:r w:rsidR="005E373C" w:rsidRPr="00381F61">
        <w:rPr>
          <w:rFonts w:ascii="Garamond" w:hAnsi="Garamond"/>
        </w:rPr>
        <w:t xml:space="preserve"> and also section 9 (On tax subsidies for saving)</w:t>
      </w:r>
      <w:r w:rsidR="00E74AD6" w:rsidRPr="00381F61">
        <w:rPr>
          <w:rFonts w:ascii="Garamond" w:hAnsi="Garamond"/>
        </w:rPr>
        <w:t>:</w:t>
      </w:r>
    </w:p>
    <w:p w14:paraId="0D068490" w14:textId="77777777" w:rsidR="006F72B7" w:rsidRPr="00381F61" w:rsidRDefault="006F72B7" w:rsidP="00E71CEB">
      <w:pPr>
        <w:pStyle w:val="FootnoteText"/>
        <w:jc w:val="both"/>
        <w:rPr>
          <w:rFonts w:ascii="Garamond" w:hAnsi="Garamond"/>
        </w:rPr>
      </w:pPr>
    </w:p>
    <w:p w14:paraId="26A059EE" w14:textId="6BF4F12E" w:rsidR="009074FF" w:rsidRPr="00381F61" w:rsidRDefault="00F70E27" w:rsidP="00E71CEB">
      <w:pPr>
        <w:pStyle w:val="FootnoteText"/>
        <w:numPr>
          <w:ilvl w:val="0"/>
          <w:numId w:val="10"/>
        </w:numPr>
        <w:ind w:left="709" w:hanging="349"/>
        <w:jc w:val="both"/>
        <w:rPr>
          <w:rFonts w:ascii="Garamond" w:hAnsi="Garamond"/>
        </w:rPr>
      </w:pPr>
      <w:r w:rsidRPr="00381F61">
        <w:rPr>
          <w:rFonts w:ascii="Garamond" w:hAnsi="Garamond"/>
        </w:rPr>
        <w:t>Is KiwiSaver working?  Subsidiary related questions include</w:t>
      </w:r>
      <w:r w:rsidR="00E10723" w:rsidRPr="00381F61">
        <w:rPr>
          <w:rFonts w:ascii="Garamond" w:hAnsi="Garamond"/>
        </w:rPr>
        <w:t>:</w:t>
      </w:r>
      <w:r w:rsidRPr="00381F61">
        <w:rPr>
          <w:rFonts w:ascii="Garamond" w:hAnsi="Garamond"/>
        </w:rPr>
        <w:t xml:space="preserve"> are KiwiSaver members saving more for retirement than their non-KiwiSaver peers?  Are the total net </w:t>
      </w:r>
      <w:r w:rsidRPr="00381F61">
        <w:rPr>
          <w:rFonts w:ascii="Garamond" w:hAnsi="Garamond"/>
          <w:i/>
        </w:rPr>
        <w:t>financial</w:t>
      </w:r>
      <w:r w:rsidRPr="00381F61">
        <w:rPr>
          <w:rFonts w:ascii="Garamond" w:hAnsi="Garamond"/>
        </w:rPr>
        <w:t xml:space="preserve"> assets of KiwiSaver members greater than the totals of non-KiwiSaver peers?</w:t>
      </w:r>
      <w:r w:rsidR="000D7B61" w:rsidRPr="00381F61">
        <w:rPr>
          <w:rFonts w:ascii="Garamond" w:hAnsi="Garamond"/>
        </w:rPr>
        <w:t xml:space="preserve">  In other words, is so-called ‘behavioural economics’ working in the KiwiSaver environment?</w:t>
      </w:r>
    </w:p>
    <w:p w14:paraId="424389BD" w14:textId="77777777" w:rsidR="00CF7D54" w:rsidRPr="00381F61" w:rsidRDefault="00CF7D54" w:rsidP="00CD6F06">
      <w:pPr>
        <w:pStyle w:val="FootnoteText"/>
        <w:ind w:left="709"/>
        <w:jc w:val="both"/>
        <w:rPr>
          <w:rFonts w:ascii="Garamond" w:hAnsi="Garamond"/>
        </w:rPr>
      </w:pPr>
    </w:p>
    <w:p w14:paraId="0E52CB27" w14:textId="4153A03C" w:rsidR="0065244D" w:rsidRPr="00381F61" w:rsidRDefault="00F70E27" w:rsidP="00E71CEB">
      <w:pPr>
        <w:pStyle w:val="FootnoteText"/>
        <w:numPr>
          <w:ilvl w:val="0"/>
          <w:numId w:val="10"/>
        </w:numPr>
        <w:ind w:left="709" w:hanging="349"/>
        <w:jc w:val="both"/>
        <w:rPr>
          <w:rFonts w:ascii="Garamond" w:hAnsi="Garamond"/>
        </w:rPr>
      </w:pPr>
      <w:r w:rsidRPr="00381F61">
        <w:rPr>
          <w:rFonts w:ascii="Garamond" w:hAnsi="Garamond"/>
        </w:rPr>
        <w:t>Are New Zealanders saving enough for retirement</w:t>
      </w:r>
      <w:r w:rsidR="007C2BE0" w:rsidRPr="00381F61">
        <w:rPr>
          <w:rFonts w:ascii="Garamond" w:hAnsi="Garamond"/>
        </w:rPr>
        <w:t xml:space="preserve"> whether or not they belong to KiwiSaver</w:t>
      </w:r>
      <w:r w:rsidRPr="00381F61">
        <w:rPr>
          <w:rFonts w:ascii="Garamond" w:hAnsi="Garamond"/>
        </w:rPr>
        <w:t>?  If they are, that would undermine the case for ‘str</w:t>
      </w:r>
      <w:r w:rsidR="009074FF" w:rsidRPr="00381F61">
        <w:rPr>
          <w:rFonts w:ascii="Garamond" w:hAnsi="Garamond"/>
        </w:rPr>
        <w:t>e</w:t>
      </w:r>
      <w:r w:rsidRPr="00381F61">
        <w:rPr>
          <w:rFonts w:ascii="Garamond" w:hAnsi="Garamond"/>
        </w:rPr>
        <w:t>ngthening’ KiwiSaver.</w:t>
      </w:r>
    </w:p>
    <w:p w14:paraId="3407E6F0" w14:textId="77777777" w:rsidR="00CF7D54" w:rsidRPr="00381F61" w:rsidRDefault="00CF7D54" w:rsidP="00CD6F06">
      <w:pPr>
        <w:pStyle w:val="FootnoteText"/>
        <w:ind w:left="709"/>
        <w:jc w:val="both"/>
        <w:rPr>
          <w:rFonts w:ascii="Garamond" w:hAnsi="Garamond"/>
        </w:rPr>
      </w:pPr>
    </w:p>
    <w:p w14:paraId="33A1F009" w14:textId="2D304967" w:rsidR="00F70E27" w:rsidRPr="00381F61" w:rsidRDefault="00F70E27" w:rsidP="00E71CEB">
      <w:pPr>
        <w:pStyle w:val="FootnoteText"/>
        <w:numPr>
          <w:ilvl w:val="0"/>
          <w:numId w:val="10"/>
        </w:numPr>
        <w:ind w:left="709" w:hanging="349"/>
        <w:jc w:val="both"/>
        <w:rPr>
          <w:rFonts w:ascii="Garamond" w:hAnsi="Garamond"/>
        </w:rPr>
      </w:pPr>
      <w:r w:rsidRPr="00381F61">
        <w:rPr>
          <w:rFonts w:ascii="Garamond" w:hAnsi="Garamond"/>
        </w:rPr>
        <w:t>What effect has KiwiSaver had on housing ownership</w:t>
      </w:r>
      <w:r w:rsidR="009074FF" w:rsidRPr="00381F61">
        <w:rPr>
          <w:rFonts w:ascii="Garamond" w:hAnsi="Garamond"/>
        </w:rPr>
        <w:t xml:space="preserve"> patterns</w:t>
      </w:r>
      <w:r w:rsidRPr="00381F61">
        <w:rPr>
          <w:rFonts w:ascii="Garamond" w:hAnsi="Garamond"/>
        </w:rPr>
        <w:t xml:space="preserve"> and housing debt as between members and non-member peers?</w:t>
      </w:r>
    </w:p>
    <w:p w14:paraId="0286D017" w14:textId="77777777" w:rsidR="00CF7D54" w:rsidRPr="00381F61" w:rsidRDefault="00CF7D54" w:rsidP="00CD6F06">
      <w:pPr>
        <w:pStyle w:val="FootnoteText"/>
        <w:ind w:left="709"/>
        <w:jc w:val="both"/>
        <w:rPr>
          <w:rFonts w:ascii="Garamond" w:hAnsi="Garamond"/>
        </w:rPr>
      </w:pPr>
    </w:p>
    <w:p w14:paraId="231D3491" w14:textId="0C5023D1" w:rsidR="00CF7D54" w:rsidRPr="00381F61" w:rsidRDefault="00F70E27" w:rsidP="00E71CEB">
      <w:pPr>
        <w:pStyle w:val="FootnoteText"/>
        <w:numPr>
          <w:ilvl w:val="0"/>
          <w:numId w:val="10"/>
        </w:numPr>
        <w:ind w:left="709" w:hanging="349"/>
        <w:jc w:val="both"/>
        <w:rPr>
          <w:rFonts w:ascii="Garamond" w:hAnsi="Garamond"/>
        </w:rPr>
      </w:pPr>
      <w:r w:rsidRPr="00381F61">
        <w:rPr>
          <w:rFonts w:ascii="Garamond" w:hAnsi="Garamond"/>
        </w:rPr>
        <w:t>What effect has KiwiSaver had on remuneration patterns as between employers with/without ‘total remuneration’ policies and as between employers with preferred KiwiSaver schemes and those without.</w:t>
      </w:r>
      <w:r w:rsidR="00B51D5D" w:rsidRPr="00381F61">
        <w:rPr>
          <w:rFonts w:ascii="Garamond" w:hAnsi="Garamond"/>
        </w:rPr>
        <w:t xml:space="preserve">  What proportion of employers have a ‘total remuneration’ policy?</w:t>
      </w:r>
      <w:r w:rsidR="00F53CF8" w:rsidRPr="00381F61">
        <w:rPr>
          <w:rFonts w:ascii="Garamond" w:hAnsi="Garamond"/>
        </w:rPr>
        <w:t xml:space="preserve">  Has KiwiSaver affected that pattern?</w:t>
      </w:r>
    </w:p>
    <w:p w14:paraId="0422C6D7" w14:textId="77777777" w:rsidR="00CF7D54" w:rsidRPr="00381F61" w:rsidRDefault="00CF7D54" w:rsidP="00CD6F06">
      <w:pPr>
        <w:pStyle w:val="FootnoteText"/>
        <w:ind w:left="709"/>
        <w:jc w:val="both"/>
        <w:rPr>
          <w:rFonts w:ascii="Garamond" w:hAnsi="Garamond"/>
        </w:rPr>
      </w:pPr>
    </w:p>
    <w:p w14:paraId="53782D3F" w14:textId="32766C3A" w:rsidR="00F70E27" w:rsidRPr="00381F61" w:rsidRDefault="00F70E27" w:rsidP="00E71CEB">
      <w:pPr>
        <w:pStyle w:val="FootnoteText"/>
        <w:numPr>
          <w:ilvl w:val="0"/>
          <w:numId w:val="10"/>
        </w:numPr>
        <w:ind w:left="709" w:hanging="349"/>
        <w:jc w:val="both"/>
        <w:rPr>
          <w:rFonts w:ascii="Garamond" w:hAnsi="Garamond"/>
        </w:rPr>
      </w:pPr>
      <w:r w:rsidRPr="00381F61">
        <w:rPr>
          <w:rFonts w:ascii="Garamond" w:hAnsi="Garamond"/>
        </w:rPr>
        <w:t>What effect has KiwiSaver had on occupational superannuation schemes?</w:t>
      </w:r>
      <w:r w:rsidR="001470D2" w:rsidRPr="00381F61">
        <w:rPr>
          <w:rFonts w:ascii="Garamond" w:hAnsi="Garamond"/>
        </w:rPr>
        <w:t xml:space="preserve">  What is the overall impact of KiwiSaver on workplace-related retirement saving schemes</w:t>
      </w:r>
      <w:r w:rsidR="00B96377" w:rsidRPr="00381F61">
        <w:rPr>
          <w:rFonts w:ascii="Garamond" w:hAnsi="Garamond"/>
        </w:rPr>
        <w:t xml:space="preserve"> (including KiwiSaver)</w:t>
      </w:r>
      <w:r w:rsidR="001470D2" w:rsidRPr="00381F61">
        <w:rPr>
          <w:rFonts w:ascii="Garamond" w:hAnsi="Garamond"/>
        </w:rPr>
        <w:t>?</w:t>
      </w:r>
    </w:p>
    <w:p w14:paraId="0AE8876D" w14:textId="77777777" w:rsidR="00CF7D54" w:rsidRPr="00381F61" w:rsidRDefault="00CF7D54" w:rsidP="00CD6F06">
      <w:pPr>
        <w:pStyle w:val="FootnoteText"/>
        <w:ind w:left="709"/>
        <w:jc w:val="both"/>
        <w:rPr>
          <w:rFonts w:ascii="Garamond" w:hAnsi="Garamond"/>
        </w:rPr>
      </w:pPr>
    </w:p>
    <w:p w14:paraId="16872B9C" w14:textId="36CF6746" w:rsidR="00F70E27" w:rsidRPr="00381F61" w:rsidRDefault="00F70E27" w:rsidP="00E71CEB">
      <w:pPr>
        <w:pStyle w:val="FootnoteText"/>
        <w:numPr>
          <w:ilvl w:val="0"/>
          <w:numId w:val="10"/>
        </w:numPr>
        <w:ind w:left="709" w:hanging="349"/>
        <w:jc w:val="both"/>
        <w:rPr>
          <w:rFonts w:ascii="Garamond" w:hAnsi="Garamond"/>
        </w:rPr>
      </w:pPr>
      <w:r w:rsidRPr="00381F61">
        <w:rPr>
          <w:rFonts w:ascii="Garamond" w:hAnsi="Garamond"/>
        </w:rPr>
        <w:t xml:space="preserve">Who specifically benefits from </w:t>
      </w:r>
      <w:r w:rsidR="009074FF" w:rsidRPr="00381F61">
        <w:rPr>
          <w:rFonts w:ascii="Garamond" w:hAnsi="Garamond"/>
        </w:rPr>
        <w:t>the current tax subsidies to KiwiSaver (</w:t>
      </w:r>
      <w:r w:rsidR="00C94ED6" w:rsidRPr="00381F61">
        <w:rPr>
          <w:rFonts w:ascii="Garamond" w:hAnsi="Garamond"/>
        </w:rPr>
        <w:t xml:space="preserve">members’ </w:t>
      </w:r>
      <w:r w:rsidR="009074FF" w:rsidRPr="00381F61">
        <w:rPr>
          <w:rFonts w:ascii="Garamond" w:hAnsi="Garamond"/>
        </w:rPr>
        <w:t>occupation types; remuneration bands; distribution by age, sex, work status etc</w:t>
      </w:r>
      <w:r w:rsidR="002535FF" w:rsidRPr="00381F61">
        <w:rPr>
          <w:rFonts w:ascii="Garamond" w:hAnsi="Garamond"/>
        </w:rPr>
        <w:t>.</w:t>
      </w:r>
      <w:r w:rsidR="009074FF" w:rsidRPr="00381F61">
        <w:rPr>
          <w:rFonts w:ascii="Garamond" w:hAnsi="Garamond"/>
        </w:rPr>
        <w:t>)?</w:t>
      </w:r>
    </w:p>
    <w:p w14:paraId="15A00BFA" w14:textId="77777777" w:rsidR="00CF7D54" w:rsidRPr="00381F61" w:rsidRDefault="00CF7D54" w:rsidP="00CD6F06">
      <w:pPr>
        <w:pStyle w:val="FootnoteText"/>
        <w:ind w:left="709"/>
        <w:jc w:val="both"/>
        <w:rPr>
          <w:rFonts w:ascii="Garamond" w:hAnsi="Garamond"/>
        </w:rPr>
      </w:pPr>
    </w:p>
    <w:p w14:paraId="0E7C7F13" w14:textId="4DDFBA5D" w:rsidR="009074FF" w:rsidRPr="00381F61" w:rsidRDefault="009074FF" w:rsidP="00E71CEB">
      <w:pPr>
        <w:pStyle w:val="FootnoteText"/>
        <w:numPr>
          <w:ilvl w:val="0"/>
          <w:numId w:val="10"/>
        </w:numPr>
        <w:ind w:left="709" w:hanging="349"/>
        <w:jc w:val="both"/>
        <w:rPr>
          <w:rFonts w:ascii="Garamond" w:hAnsi="Garamond"/>
        </w:rPr>
      </w:pPr>
      <w:r w:rsidRPr="00381F61">
        <w:rPr>
          <w:rFonts w:ascii="Garamond" w:hAnsi="Garamond"/>
        </w:rPr>
        <w:t xml:space="preserve">What effect has KiwiSaver had on the financial services industry </w:t>
      </w:r>
      <w:r w:rsidR="00B96377" w:rsidRPr="00381F61">
        <w:rPr>
          <w:rFonts w:ascii="Garamond" w:hAnsi="Garamond"/>
        </w:rPr>
        <w:t xml:space="preserve">in the last ten years </w:t>
      </w:r>
      <w:r w:rsidR="00E036AA" w:rsidRPr="00381F61">
        <w:rPr>
          <w:rFonts w:ascii="Garamond" w:hAnsi="Garamond"/>
        </w:rPr>
        <w:t>and</w:t>
      </w:r>
      <w:r w:rsidRPr="00381F61">
        <w:rPr>
          <w:rFonts w:ascii="Garamond" w:hAnsi="Garamond"/>
        </w:rPr>
        <w:t xml:space="preserve"> who benefits?</w:t>
      </w:r>
      <w:r w:rsidR="000D4F02" w:rsidRPr="00381F61">
        <w:rPr>
          <w:rFonts w:ascii="Garamond" w:hAnsi="Garamond"/>
        </w:rPr>
        <w:t xml:space="preserve">  Should New Zealand be concerned about the aggregation of KiwiSaver savings in the hands of a small number of providers, mainly the ma</w:t>
      </w:r>
      <w:r w:rsidR="00921779" w:rsidRPr="00381F61">
        <w:rPr>
          <w:rFonts w:ascii="Garamond" w:hAnsi="Garamond"/>
        </w:rPr>
        <w:t>jor</w:t>
      </w:r>
      <w:r w:rsidR="000D4F02" w:rsidRPr="00381F61">
        <w:rPr>
          <w:rFonts w:ascii="Garamond" w:hAnsi="Garamond"/>
        </w:rPr>
        <w:t xml:space="preserve"> trading banks?</w:t>
      </w:r>
      <w:r w:rsidR="00B3576D" w:rsidRPr="00381F61">
        <w:rPr>
          <w:rStyle w:val="FootnoteReference"/>
          <w:rFonts w:ascii="Garamond" w:hAnsi="Garamond"/>
        </w:rPr>
        <w:footnoteReference w:id="189"/>
      </w:r>
    </w:p>
    <w:p w14:paraId="4505DD60" w14:textId="77777777" w:rsidR="00CF7D54" w:rsidRPr="00381F61" w:rsidRDefault="00CF7D54" w:rsidP="00CD6F06">
      <w:pPr>
        <w:pStyle w:val="FootnoteText"/>
        <w:ind w:left="709"/>
        <w:jc w:val="both"/>
        <w:rPr>
          <w:rFonts w:ascii="Garamond" w:hAnsi="Garamond"/>
        </w:rPr>
      </w:pPr>
    </w:p>
    <w:p w14:paraId="01CE53E3" w14:textId="1AFD67D7" w:rsidR="006600A0" w:rsidRPr="00381F61" w:rsidRDefault="00F53CF8">
      <w:pPr>
        <w:pStyle w:val="FootnoteText"/>
        <w:numPr>
          <w:ilvl w:val="0"/>
          <w:numId w:val="10"/>
        </w:numPr>
        <w:ind w:left="709" w:hanging="349"/>
        <w:jc w:val="both"/>
        <w:rPr>
          <w:rFonts w:ascii="Garamond" w:hAnsi="Garamond"/>
        </w:rPr>
      </w:pPr>
      <w:r w:rsidRPr="00381F61">
        <w:rPr>
          <w:rFonts w:ascii="Garamond" w:hAnsi="Garamond"/>
        </w:rPr>
        <w:t>If, as suggested in section 1</w:t>
      </w:r>
      <w:r w:rsidR="000856CF" w:rsidRPr="00381F61">
        <w:rPr>
          <w:rFonts w:ascii="Garamond" w:hAnsi="Garamond"/>
        </w:rPr>
        <w:t>1</w:t>
      </w:r>
      <w:r w:rsidR="00841A1A" w:rsidRPr="00381F61">
        <w:rPr>
          <w:rFonts w:ascii="Garamond" w:hAnsi="Garamond"/>
        </w:rPr>
        <w:t xml:space="preserve"> of this </w:t>
      </w:r>
      <w:r w:rsidRPr="00381F61">
        <w:rPr>
          <w:rFonts w:ascii="Garamond" w:hAnsi="Garamond"/>
        </w:rPr>
        <w:t>report (The role of the government)</w:t>
      </w:r>
      <w:r w:rsidR="00841A1A" w:rsidRPr="00381F61">
        <w:rPr>
          <w:rFonts w:ascii="Garamond" w:hAnsi="Garamond"/>
        </w:rPr>
        <w:t>, the government has no role in forcing or incentivising particular types of financial provision for retirement, what might be KiwiSaver’s role in a more rational policy environment?</w:t>
      </w:r>
      <w:r w:rsidR="006600A0" w:rsidRPr="00381F61">
        <w:rPr>
          <w:rFonts w:ascii="Garamond" w:hAnsi="Garamond"/>
        </w:rPr>
        <w:t xml:space="preserve">  Here are some suggestions that require analysis and debate:</w:t>
      </w:r>
    </w:p>
    <w:p w14:paraId="2FAAB487" w14:textId="77777777" w:rsidR="006600A0" w:rsidRPr="00381F61" w:rsidRDefault="006600A0" w:rsidP="006600A0">
      <w:pPr>
        <w:pStyle w:val="FootnoteText"/>
        <w:ind w:left="709"/>
        <w:jc w:val="both"/>
        <w:rPr>
          <w:rFonts w:ascii="Garamond" w:hAnsi="Garamond"/>
          <w:sz w:val="8"/>
          <w:szCs w:val="8"/>
        </w:rPr>
      </w:pPr>
    </w:p>
    <w:p w14:paraId="7C53A33F" w14:textId="5B2F4181" w:rsidR="006600A0" w:rsidRPr="00381F61" w:rsidRDefault="006600A0" w:rsidP="007675DE">
      <w:pPr>
        <w:pStyle w:val="FootnoteText"/>
        <w:numPr>
          <w:ilvl w:val="0"/>
          <w:numId w:val="48"/>
        </w:numPr>
        <w:spacing w:after="80"/>
        <w:ind w:left="1066" w:hanging="357"/>
        <w:jc w:val="both"/>
        <w:rPr>
          <w:rFonts w:ascii="Garamond" w:hAnsi="Garamond"/>
        </w:rPr>
      </w:pPr>
      <w:r w:rsidRPr="00381F61">
        <w:rPr>
          <w:rFonts w:ascii="Garamond" w:hAnsi="Garamond"/>
        </w:rPr>
        <w:t>Remove auto-enrolment;</w:t>
      </w:r>
    </w:p>
    <w:p w14:paraId="012DF57C" w14:textId="56F9DD1C" w:rsidR="006600A0" w:rsidRPr="00381F61" w:rsidRDefault="006600A0" w:rsidP="007675DE">
      <w:pPr>
        <w:pStyle w:val="FootnoteText"/>
        <w:numPr>
          <w:ilvl w:val="0"/>
          <w:numId w:val="48"/>
        </w:numPr>
        <w:spacing w:after="80"/>
        <w:ind w:left="1066" w:hanging="357"/>
        <w:jc w:val="both"/>
        <w:rPr>
          <w:rFonts w:ascii="Garamond" w:hAnsi="Garamond"/>
        </w:rPr>
      </w:pPr>
      <w:r w:rsidRPr="00381F61">
        <w:rPr>
          <w:rFonts w:ascii="Garamond" w:hAnsi="Garamond"/>
        </w:rPr>
        <w:t>Remove ‘Member Tax Credits’;</w:t>
      </w:r>
    </w:p>
    <w:p w14:paraId="0B124551" w14:textId="59A6B13A" w:rsidR="006600A0" w:rsidRPr="00381F61" w:rsidRDefault="006600A0" w:rsidP="007675DE">
      <w:pPr>
        <w:pStyle w:val="FootnoteText"/>
        <w:numPr>
          <w:ilvl w:val="0"/>
          <w:numId w:val="48"/>
        </w:numPr>
        <w:spacing w:after="80"/>
        <w:ind w:left="1066" w:hanging="357"/>
        <w:jc w:val="both"/>
        <w:rPr>
          <w:rFonts w:ascii="Garamond" w:hAnsi="Garamond"/>
        </w:rPr>
      </w:pPr>
      <w:r w:rsidRPr="00381F61">
        <w:rPr>
          <w:rFonts w:ascii="Garamond" w:hAnsi="Garamond"/>
        </w:rPr>
        <w:t xml:space="preserve">Re-install </w:t>
      </w:r>
      <w:r w:rsidR="001163AE" w:rsidRPr="00381F61">
        <w:rPr>
          <w:rFonts w:ascii="Garamond" w:hAnsi="Garamond"/>
        </w:rPr>
        <w:t xml:space="preserve">the </w:t>
      </w:r>
      <w:r w:rsidRPr="00381F61">
        <w:rPr>
          <w:rFonts w:ascii="Garamond" w:hAnsi="Garamond"/>
        </w:rPr>
        <w:t>‘kick start’</w:t>
      </w:r>
      <w:r w:rsidR="006036DA" w:rsidRPr="00381F61">
        <w:rPr>
          <w:rFonts w:ascii="Garamond" w:hAnsi="Garamond"/>
        </w:rPr>
        <w:t xml:space="preserve"> government grant</w:t>
      </w:r>
      <w:r w:rsidR="001163AE" w:rsidRPr="00381F61">
        <w:rPr>
          <w:rFonts w:ascii="Garamond" w:hAnsi="Garamond"/>
        </w:rPr>
        <w:t xml:space="preserve"> for new members</w:t>
      </w:r>
      <w:r w:rsidRPr="00381F61">
        <w:rPr>
          <w:rFonts w:ascii="Garamond" w:hAnsi="Garamond"/>
        </w:rPr>
        <w:t>;</w:t>
      </w:r>
      <w:r w:rsidR="00142433" w:rsidRPr="00381F61">
        <w:rPr>
          <w:rFonts w:ascii="Garamond" w:hAnsi="Garamond"/>
        </w:rPr>
        <w:t xml:space="preserve"> </w:t>
      </w:r>
    </w:p>
    <w:p w14:paraId="08D5ECE8" w14:textId="261DACD2" w:rsidR="006600A0" w:rsidRPr="00381F61" w:rsidRDefault="006600A0" w:rsidP="007675DE">
      <w:pPr>
        <w:pStyle w:val="FootnoteText"/>
        <w:numPr>
          <w:ilvl w:val="0"/>
          <w:numId w:val="48"/>
        </w:numPr>
        <w:spacing w:after="80"/>
        <w:ind w:left="1066" w:hanging="357"/>
        <w:jc w:val="both"/>
        <w:rPr>
          <w:rFonts w:ascii="Garamond" w:hAnsi="Garamond"/>
        </w:rPr>
      </w:pPr>
      <w:r w:rsidRPr="00381F61">
        <w:rPr>
          <w:rFonts w:ascii="Garamond" w:hAnsi="Garamond"/>
        </w:rPr>
        <w:t xml:space="preserve">Remove default providers </w:t>
      </w:r>
      <w:r w:rsidR="006036DA" w:rsidRPr="00381F61">
        <w:rPr>
          <w:rFonts w:ascii="Garamond" w:hAnsi="Garamond"/>
        </w:rPr>
        <w:t xml:space="preserve">(if no auto-enrolment) </w:t>
      </w:r>
      <w:r w:rsidRPr="00381F61">
        <w:rPr>
          <w:rFonts w:ascii="Garamond" w:hAnsi="Garamond"/>
        </w:rPr>
        <w:t>or</w:t>
      </w:r>
      <w:r w:rsidR="006036DA" w:rsidRPr="00381F61">
        <w:rPr>
          <w:rFonts w:ascii="Garamond" w:hAnsi="Garamond"/>
        </w:rPr>
        <w:t xml:space="preserve"> open up default status to all ‘qualifying’ schemes’ (if auto-enrolment retained);</w:t>
      </w:r>
    </w:p>
    <w:p w14:paraId="34C47472" w14:textId="3754A8F6" w:rsidR="006036DA" w:rsidRPr="00381F61" w:rsidRDefault="006036DA" w:rsidP="007675DE">
      <w:pPr>
        <w:pStyle w:val="FootnoteText"/>
        <w:numPr>
          <w:ilvl w:val="0"/>
          <w:numId w:val="48"/>
        </w:numPr>
        <w:spacing w:after="80"/>
        <w:ind w:left="1066" w:hanging="357"/>
        <w:jc w:val="both"/>
        <w:rPr>
          <w:rFonts w:ascii="Garamond" w:hAnsi="Garamond"/>
        </w:rPr>
      </w:pPr>
      <w:r w:rsidRPr="00381F61">
        <w:rPr>
          <w:rFonts w:ascii="Garamond" w:hAnsi="Garamond"/>
        </w:rPr>
        <w:t>Remove all rules about member contributions;</w:t>
      </w:r>
    </w:p>
    <w:p w14:paraId="3C1972C4" w14:textId="27975CE0" w:rsidR="006036DA" w:rsidRPr="00381F61" w:rsidRDefault="006036DA" w:rsidP="007675DE">
      <w:pPr>
        <w:pStyle w:val="FootnoteText"/>
        <w:numPr>
          <w:ilvl w:val="0"/>
          <w:numId w:val="48"/>
        </w:numPr>
        <w:spacing w:after="80"/>
        <w:ind w:left="1066" w:hanging="357"/>
        <w:jc w:val="both"/>
        <w:rPr>
          <w:rFonts w:ascii="Garamond" w:hAnsi="Garamond"/>
        </w:rPr>
      </w:pPr>
      <w:r w:rsidRPr="00381F61">
        <w:rPr>
          <w:rFonts w:ascii="Garamond" w:hAnsi="Garamond"/>
        </w:rPr>
        <w:t>Remove compulsory employer contributions;</w:t>
      </w:r>
    </w:p>
    <w:p w14:paraId="5B7BB9E5" w14:textId="574EEA6D" w:rsidR="006036DA" w:rsidRPr="00381F61" w:rsidRDefault="006036DA" w:rsidP="007675DE">
      <w:pPr>
        <w:pStyle w:val="FootnoteText"/>
        <w:numPr>
          <w:ilvl w:val="0"/>
          <w:numId w:val="48"/>
        </w:numPr>
        <w:spacing w:after="80"/>
        <w:ind w:left="1066" w:hanging="357"/>
        <w:jc w:val="both"/>
        <w:rPr>
          <w:rFonts w:ascii="Garamond" w:hAnsi="Garamond"/>
        </w:rPr>
      </w:pPr>
      <w:r w:rsidRPr="00381F61">
        <w:rPr>
          <w:rFonts w:ascii="Garamond" w:hAnsi="Garamond"/>
        </w:rPr>
        <w:t>Allow access to benefits at any age and for any reason.</w:t>
      </w:r>
    </w:p>
    <w:p w14:paraId="4C547ABD" w14:textId="5CCD8309" w:rsidR="0016319A" w:rsidRPr="00381F61" w:rsidRDefault="0016319A" w:rsidP="00E71CEB">
      <w:pPr>
        <w:jc w:val="both"/>
        <w:rPr>
          <w:rFonts w:ascii="Garamond" w:hAnsi="Garamond"/>
          <w:b/>
        </w:rPr>
      </w:pPr>
    </w:p>
    <w:p w14:paraId="6200E626" w14:textId="685CDCBB" w:rsidR="00B96377" w:rsidRPr="00381F61" w:rsidRDefault="00B96377" w:rsidP="00E71CEB">
      <w:pPr>
        <w:jc w:val="both"/>
        <w:rPr>
          <w:rFonts w:ascii="Garamond" w:hAnsi="Garamond"/>
        </w:rPr>
      </w:pPr>
      <w:r w:rsidRPr="00381F61">
        <w:rPr>
          <w:rFonts w:ascii="Garamond" w:hAnsi="Garamond"/>
        </w:rPr>
        <w:t>Questions 1 and 2 cannot be answered without a proper longitudinal study of household assets, liabilities and incomes.  We look at this in the next section.</w:t>
      </w:r>
    </w:p>
    <w:p w14:paraId="5A3716C4" w14:textId="0E713639" w:rsidR="00A97583" w:rsidRPr="00381F61" w:rsidRDefault="00A97583" w:rsidP="00E71CEB">
      <w:pPr>
        <w:jc w:val="both"/>
        <w:rPr>
          <w:rFonts w:ascii="Garamond" w:hAnsi="Garamond"/>
        </w:rPr>
      </w:pPr>
      <w:r w:rsidRPr="00381F61">
        <w:rPr>
          <w:rFonts w:ascii="Garamond" w:hAnsi="Garamond"/>
        </w:rPr>
        <w:br w:type="page"/>
      </w:r>
    </w:p>
    <w:p w14:paraId="6AC1F384" w14:textId="068565B8" w:rsidR="007E5319" w:rsidRPr="00381F61" w:rsidRDefault="00A97583" w:rsidP="00E71CEB">
      <w:pPr>
        <w:jc w:val="both"/>
        <w:rPr>
          <w:rFonts w:ascii="Garamond" w:hAnsi="Garamond"/>
          <w:b/>
        </w:rPr>
      </w:pPr>
      <w:r w:rsidRPr="00381F61">
        <w:rPr>
          <w:rFonts w:ascii="Garamond" w:hAnsi="Garamond"/>
          <w:b/>
        </w:rPr>
        <w:t>1</w:t>
      </w:r>
      <w:r w:rsidR="00F519BC" w:rsidRPr="00381F61">
        <w:rPr>
          <w:rFonts w:ascii="Garamond" w:hAnsi="Garamond"/>
          <w:b/>
        </w:rPr>
        <w:t>5</w:t>
      </w:r>
      <w:r w:rsidRPr="00381F61">
        <w:rPr>
          <w:rFonts w:ascii="Garamond" w:hAnsi="Garamond"/>
          <w:b/>
        </w:rPr>
        <w:t xml:space="preserve">. </w:t>
      </w:r>
      <w:r w:rsidR="002535FF" w:rsidRPr="00381F61">
        <w:rPr>
          <w:rFonts w:ascii="Garamond" w:hAnsi="Garamond"/>
          <w:b/>
        </w:rPr>
        <w:tab/>
      </w:r>
      <w:r w:rsidR="007E5319" w:rsidRPr="00381F61">
        <w:rPr>
          <w:rFonts w:ascii="Garamond" w:hAnsi="Garamond"/>
          <w:b/>
        </w:rPr>
        <w:t>Households’ financial position – a proper longitudinal survey needed</w:t>
      </w:r>
    </w:p>
    <w:p w14:paraId="4F2476CC" w14:textId="77777777" w:rsidR="00DF6328" w:rsidRPr="00381F61" w:rsidRDefault="00DF6328" w:rsidP="00E71CEB">
      <w:pPr>
        <w:jc w:val="both"/>
        <w:rPr>
          <w:rFonts w:ascii="Garamond" w:hAnsi="Garamond"/>
          <w:b/>
        </w:rPr>
      </w:pPr>
    </w:p>
    <w:p w14:paraId="4FF364EB" w14:textId="6B2C16C6" w:rsidR="005B350F" w:rsidRPr="00381F61" w:rsidRDefault="005B350F" w:rsidP="00E71CEB">
      <w:pPr>
        <w:pStyle w:val="Heading1"/>
        <w:jc w:val="both"/>
        <w:rPr>
          <w:rFonts w:ascii="Garamond" w:hAnsi="Garamond"/>
          <w:b w:val="0"/>
          <w:bCs w:val="0"/>
          <w:color w:val="0D0D0D"/>
          <w:lang w:val="en-GB"/>
        </w:rPr>
      </w:pPr>
      <w:r w:rsidRPr="00381F61">
        <w:rPr>
          <w:rFonts w:ascii="Garamond" w:hAnsi="Garamond"/>
          <w:b w:val="0"/>
          <w:bCs w:val="0"/>
          <w:color w:val="0D0D0D"/>
          <w:lang w:val="en-GB"/>
        </w:rPr>
        <w:t xml:space="preserve">Sections </w:t>
      </w:r>
      <w:r w:rsidR="000856CF" w:rsidRPr="00381F61">
        <w:rPr>
          <w:rFonts w:ascii="Garamond" w:hAnsi="Garamond"/>
          <w:b w:val="0"/>
          <w:bCs w:val="0"/>
          <w:color w:val="0D0D0D"/>
          <w:lang w:val="en-GB"/>
        </w:rPr>
        <w:t>9</w:t>
      </w:r>
      <w:r w:rsidRPr="00381F61">
        <w:rPr>
          <w:rFonts w:ascii="Garamond" w:hAnsi="Garamond"/>
          <w:b w:val="0"/>
          <w:bCs w:val="0"/>
          <w:color w:val="0D0D0D"/>
          <w:lang w:val="en-GB"/>
        </w:rPr>
        <w:t xml:space="preserve"> (tax incentives) and </w:t>
      </w:r>
      <w:r w:rsidR="000856CF" w:rsidRPr="00381F61">
        <w:rPr>
          <w:rFonts w:ascii="Garamond" w:hAnsi="Garamond"/>
          <w:b w:val="0"/>
          <w:bCs w:val="0"/>
          <w:color w:val="0D0D0D"/>
          <w:lang w:val="en-GB"/>
        </w:rPr>
        <w:t>10</w:t>
      </w:r>
      <w:r w:rsidRPr="00381F61">
        <w:rPr>
          <w:rFonts w:ascii="Garamond" w:hAnsi="Garamond"/>
          <w:b w:val="0"/>
          <w:bCs w:val="0"/>
          <w:color w:val="0D0D0D"/>
          <w:lang w:val="en-GB"/>
        </w:rPr>
        <w:t xml:space="preserve"> (compulsory private provision) together suggest that governments are relatively powerless to influence directly how and how much citizens save specifically for retirement.  Governments can certainly influence, even control, aspects of citizens’ decisions especially where there is compulsory private provision at Tier 2, such as in Australia.</w:t>
      </w:r>
      <w:r w:rsidR="001D2A5B" w:rsidRPr="00381F61">
        <w:rPr>
          <w:rFonts w:ascii="Garamond" w:hAnsi="Garamond"/>
          <w:b w:val="0"/>
          <w:bCs w:val="0"/>
          <w:color w:val="0D0D0D"/>
          <w:lang w:val="en-GB"/>
        </w:rPr>
        <w:t xml:space="preserve">  They cannot control </w:t>
      </w:r>
      <w:r w:rsidR="00544B56" w:rsidRPr="00381F61">
        <w:rPr>
          <w:rFonts w:ascii="Garamond" w:hAnsi="Garamond"/>
          <w:b w:val="0"/>
          <w:bCs w:val="0"/>
          <w:color w:val="0D0D0D"/>
          <w:lang w:val="en-GB"/>
        </w:rPr>
        <w:t>how households respond to public policy settings in the rest of their financial lives.</w:t>
      </w:r>
      <w:r w:rsidR="00875F12" w:rsidRPr="00381F61">
        <w:rPr>
          <w:rFonts w:ascii="Garamond" w:hAnsi="Garamond"/>
          <w:b w:val="0"/>
          <w:bCs w:val="0"/>
          <w:color w:val="0D0D0D"/>
          <w:lang w:val="en-GB"/>
        </w:rPr>
        <w:t xml:space="preserve">  </w:t>
      </w:r>
      <w:r w:rsidR="009925D3" w:rsidRPr="00381F61">
        <w:rPr>
          <w:rFonts w:ascii="Garamond" w:hAnsi="Garamond"/>
          <w:b w:val="0"/>
          <w:bCs w:val="0"/>
          <w:color w:val="0D0D0D"/>
          <w:lang w:val="en-GB"/>
        </w:rPr>
        <w:t>So</w:t>
      </w:r>
      <w:r w:rsidR="00DD0438" w:rsidRPr="00381F61">
        <w:rPr>
          <w:rFonts w:ascii="Garamond" w:hAnsi="Garamond"/>
          <w:b w:val="0"/>
          <w:bCs w:val="0"/>
          <w:color w:val="0D0D0D"/>
          <w:lang w:val="en-GB"/>
        </w:rPr>
        <w:t>,</w:t>
      </w:r>
      <w:r w:rsidR="009925D3" w:rsidRPr="00381F61">
        <w:rPr>
          <w:rFonts w:ascii="Garamond" w:hAnsi="Garamond"/>
          <w:b w:val="0"/>
          <w:bCs w:val="0"/>
          <w:color w:val="0D0D0D"/>
          <w:lang w:val="en-GB"/>
        </w:rPr>
        <w:t xml:space="preserve"> t</w:t>
      </w:r>
      <w:r w:rsidR="00875F12" w:rsidRPr="00381F61">
        <w:rPr>
          <w:rFonts w:ascii="Garamond" w:hAnsi="Garamond"/>
          <w:b w:val="0"/>
          <w:bCs w:val="0"/>
          <w:color w:val="0D0D0D"/>
          <w:lang w:val="en-GB"/>
        </w:rPr>
        <w:t xml:space="preserve">he net effect of those policy settings </w:t>
      </w:r>
      <w:r w:rsidR="00FE4E93" w:rsidRPr="00381F61">
        <w:rPr>
          <w:rFonts w:ascii="Garamond" w:hAnsi="Garamond"/>
          <w:b w:val="0"/>
          <w:bCs w:val="0"/>
          <w:color w:val="0D0D0D"/>
          <w:lang w:val="en-GB"/>
        </w:rPr>
        <w:t>is likely to</w:t>
      </w:r>
      <w:r w:rsidR="00875F12" w:rsidRPr="00381F61">
        <w:rPr>
          <w:rFonts w:ascii="Garamond" w:hAnsi="Garamond"/>
          <w:b w:val="0"/>
          <w:bCs w:val="0"/>
          <w:color w:val="0D0D0D"/>
          <w:lang w:val="en-GB"/>
        </w:rPr>
        <w:t xml:space="preserve"> be a lot smaller than appears</w:t>
      </w:r>
      <w:r w:rsidR="00FE4E93" w:rsidRPr="00381F61">
        <w:rPr>
          <w:rFonts w:ascii="Garamond" w:hAnsi="Garamond"/>
          <w:b w:val="0"/>
          <w:bCs w:val="0"/>
          <w:color w:val="0D0D0D"/>
          <w:lang w:val="en-GB"/>
        </w:rPr>
        <w:t xml:space="preserve"> superficially</w:t>
      </w:r>
      <w:r w:rsidR="00875F12" w:rsidRPr="00381F61">
        <w:rPr>
          <w:rFonts w:ascii="Garamond" w:hAnsi="Garamond"/>
          <w:b w:val="0"/>
          <w:bCs w:val="0"/>
          <w:color w:val="0D0D0D"/>
          <w:lang w:val="en-GB"/>
        </w:rPr>
        <w:t>.</w:t>
      </w:r>
    </w:p>
    <w:p w14:paraId="73676BCC" w14:textId="77777777" w:rsidR="00544B56" w:rsidRPr="00381F61" w:rsidRDefault="00544B56" w:rsidP="00E71CEB">
      <w:pPr>
        <w:jc w:val="both"/>
        <w:rPr>
          <w:rFonts w:ascii="Garamond" w:hAnsi="Garamond"/>
        </w:rPr>
      </w:pPr>
    </w:p>
    <w:p w14:paraId="2220F9CE" w14:textId="06E8D69B" w:rsidR="00E17EF2" w:rsidRPr="00381F61" w:rsidRDefault="00FA090E" w:rsidP="00E71CEB">
      <w:pPr>
        <w:jc w:val="both"/>
        <w:rPr>
          <w:rFonts w:ascii="Garamond" w:hAnsi="Garamond"/>
        </w:rPr>
      </w:pPr>
      <w:r w:rsidRPr="00381F61">
        <w:rPr>
          <w:rFonts w:ascii="Garamond" w:hAnsi="Garamond"/>
        </w:rPr>
        <w:t>We can see what New Zealanders are doing at a ‘macro’ level by analysing total assets and debt available from ‘administrative data’ – information that the government collects for other purposes.  The Reserve Bank</w:t>
      </w:r>
      <w:r w:rsidR="00DC52A4" w:rsidRPr="00381F61">
        <w:rPr>
          <w:rFonts w:ascii="Garamond" w:hAnsi="Garamond"/>
        </w:rPr>
        <w:t>, for example,</w:t>
      </w:r>
      <w:r w:rsidRPr="00381F61">
        <w:rPr>
          <w:rFonts w:ascii="Garamond" w:hAnsi="Garamond"/>
        </w:rPr>
        <w:t xml:space="preserve"> produces a </w:t>
      </w:r>
      <w:r w:rsidR="00D61D76" w:rsidRPr="00381F61">
        <w:rPr>
          <w:rFonts w:ascii="Garamond" w:hAnsi="Garamond"/>
        </w:rPr>
        <w:t xml:space="preserve">report that ‘takes the </w:t>
      </w:r>
      <w:r w:rsidR="007D64C9" w:rsidRPr="00381F61">
        <w:rPr>
          <w:rFonts w:ascii="Garamond" w:hAnsi="Garamond"/>
        </w:rPr>
        <w:t xml:space="preserve">financial </w:t>
      </w:r>
      <w:r w:rsidR="00D61D76" w:rsidRPr="00381F61">
        <w:rPr>
          <w:rFonts w:ascii="Garamond" w:hAnsi="Garamond"/>
        </w:rPr>
        <w:t>temperature’ of New Zealand’s households as a whole</w:t>
      </w:r>
      <w:r w:rsidR="00E17EF2" w:rsidRPr="00381F61">
        <w:rPr>
          <w:rFonts w:ascii="Garamond" w:hAnsi="Garamond"/>
        </w:rPr>
        <w:t xml:space="preserve"> on a regular basis</w:t>
      </w:r>
      <w:r w:rsidR="00D61D76" w:rsidRPr="00381F61">
        <w:rPr>
          <w:rFonts w:ascii="Garamond" w:hAnsi="Garamond"/>
        </w:rPr>
        <w:t>.  The most recent report</w:t>
      </w:r>
      <w:r w:rsidR="00962270" w:rsidRPr="00381F61">
        <w:rPr>
          <w:rStyle w:val="FootnoteReference"/>
          <w:rFonts w:ascii="Garamond" w:hAnsi="Garamond"/>
        </w:rPr>
        <w:footnoteReference w:id="190"/>
      </w:r>
      <w:r w:rsidR="00D61D76" w:rsidRPr="00381F61">
        <w:rPr>
          <w:rFonts w:ascii="Garamond" w:hAnsi="Garamond"/>
        </w:rPr>
        <w:t xml:space="preserve"> </w:t>
      </w:r>
      <w:r w:rsidR="00962270" w:rsidRPr="00381F61">
        <w:rPr>
          <w:rFonts w:ascii="Garamond" w:hAnsi="Garamond"/>
        </w:rPr>
        <w:t>showed households’</w:t>
      </w:r>
      <w:r w:rsidR="00911F20" w:rsidRPr="00381F61">
        <w:rPr>
          <w:rFonts w:ascii="Garamond" w:hAnsi="Garamond"/>
        </w:rPr>
        <w:t xml:space="preserve"> gr</w:t>
      </w:r>
      <w:r w:rsidR="00E17EF2" w:rsidRPr="00381F61">
        <w:rPr>
          <w:rFonts w:ascii="Garamond" w:hAnsi="Garamond"/>
        </w:rPr>
        <w:t>oss assets at $1,</w:t>
      </w:r>
      <w:r w:rsidR="00D047E1" w:rsidRPr="00381F61">
        <w:rPr>
          <w:rFonts w:ascii="Garamond" w:hAnsi="Garamond"/>
        </w:rPr>
        <w:t>761</w:t>
      </w:r>
      <w:r w:rsidR="00E17EF2" w:rsidRPr="00381F61">
        <w:rPr>
          <w:rFonts w:ascii="Garamond" w:hAnsi="Garamond"/>
        </w:rPr>
        <w:t xml:space="preserve"> billion</w:t>
      </w:r>
      <w:r w:rsidR="00D56BB4" w:rsidRPr="00381F61">
        <w:rPr>
          <w:rStyle w:val="FootnoteReference"/>
          <w:rFonts w:ascii="Garamond" w:hAnsi="Garamond"/>
        </w:rPr>
        <w:footnoteReference w:id="191"/>
      </w:r>
      <w:r w:rsidR="00E17EF2" w:rsidRPr="00381F61">
        <w:rPr>
          <w:rFonts w:ascii="Garamond" w:hAnsi="Garamond"/>
        </w:rPr>
        <w:t xml:space="preserve"> with:</w:t>
      </w:r>
    </w:p>
    <w:p w14:paraId="02E2884B" w14:textId="46D86ADA" w:rsidR="00E17EF2" w:rsidRPr="00381F61" w:rsidRDefault="00E17EF2" w:rsidP="00646919">
      <w:pPr>
        <w:pStyle w:val="ListParagraph"/>
        <w:numPr>
          <w:ilvl w:val="0"/>
          <w:numId w:val="9"/>
        </w:numPr>
        <w:jc w:val="both"/>
        <w:rPr>
          <w:rFonts w:ascii="Garamond" w:hAnsi="Garamond"/>
        </w:rPr>
      </w:pPr>
      <w:r w:rsidRPr="00381F61">
        <w:rPr>
          <w:rFonts w:ascii="Garamond" w:hAnsi="Garamond"/>
        </w:rPr>
        <w:t>t</w:t>
      </w:r>
      <w:r w:rsidR="00962270" w:rsidRPr="00381F61">
        <w:rPr>
          <w:rFonts w:ascii="Garamond" w:hAnsi="Garamond"/>
        </w:rPr>
        <w:t>otal</w:t>
      </w:r>
      <w:r w:rsidR="00911F20" w:rsidRPr="00381F61">
        <w:rPr>
          <w:rFonts w:ascii="Garamond" w:hAnsi="Garamond"/>
        </w:rPr>
        <w:t xml:space="preserve"> liabilities of $</w:t>
      </w:r>
      <w:r w:rsidR="00D047E1" w:rsidRPr="00381F61">
        <w:rPr>
          <w:rFonts w:ascii="Garamond" w:hAnsi="Garamond"/>
        </w:rPr>
        <w:t>218</w:t>
      </w:r>
      <w:r w:rsidR="00911F20" w:rsidRPr="00381F61">
        <w:rPr>
          <w:rFonts w:ascii="Garamond" w:hAnsi="Garamond"/>
        </w:rPr>
        <w:t xml:space="preserve"> billion</w:t>
      </w:r>
      <w:r w:rsidR="0012625E" w:rsidRPr="00381F61">
        <w:rPr>
          <w:rFonts w:ascii="Garamond" w:hAnsi="Garamond"/>
        </w:rPr>
        <w:t xml:space="preserve"> (total debt was 12.</w:t>
      </w:r>
      <w:r w:rsidR="00D047E1" w:rsidRPr="00381F61">
        <w:rPr>
          <w:rFonts w:ascii="Garamond" w:hAnsi="Garamond"/>
        </w:rPr>
        <w:t>4</w:t>
      </w:r>
      <w:r w:rsidR="0012625E" w:rsidRPr="00381F61">
        <w:rPr>
          <w:rFonts w:ascii="Garamond" w:hAnsi="Garamond"/>
        </w:rPr>
        <w:t>% of gross assets</w:t>
      </w:r>
      <w:r w:rsidR="0012625E" w:rsidRPr="00381F61">
        <w:rPr>
          <w:rStyle w:val="FootnoteReference"/>
          <w:rFonts w:ascii="Garamond" w:hAnsi="Garamond"/>
        </w:rPr>
        <w:footnoteReference w:id="192"/>
      </w:r>
      <w:r w:rsidR="002D1CF9" w:rsidRPr="00381F61">
        <w:rPr>
          <w:rFonts w:ascii="Garamond" w:hAnsi="Garamond"/>
        </w:rPr>
        <w:t>);</w:t>
      </w:r>
    </w:p>
    <w:p w14:paraId="2201D6B9" w14:textId="7787F5A6" w:rsidR="00E17EF2" w:rsidRPr="00381F61" w:rsidRDefault="00E17EF2" w:rsidP="00646919">
      <w:pPr>
        <w:pStyle w:val="ListParagraph"/>
        <w:numPr>
          <w:ilvl w:val="0"/>
          <w:numId w:val="9"/>
        </w:numPr>
        <w:jc w:val="both"/>
        <w:rPr>
          <w:rFonts w:ascii="Garamond" w:hAnsi="Garamond"/>
        </w:rPr>
      </w:pPr>
      <w:r w:rsidRPr="00381F61">
        <w:rPr>
          <w:rFonts w:ascii="Garamond" w:hAnsi="Garamond"/>
        </w:rPr>
        <w:t>a</w:t>
      </w:r>
      <w:r w:rsidR="00F16400" w:rsidRPr="00381F61">
        <w:rPr>
          <w:rFonts w:ascii="Garamond" w:hAnsi="Garamond"/>
        </w:rPr>
        <w:t xml:space="preserve">ll housing </w:t>
      </w:r>
      <w:r w:rsidR="0028575A" w:rsidRPr="00381F61">
        <w:rPr>
          <w:rFonts w:ascii="Garamond" w:hAnsi="Garamond"/>
        </w:rPr>
        <w:t xml:space="preserve">and land </w:t>
      </w:r>
      <w:r w:rsidR="00F16400" w:rsidRPr="00381F61">
        <w:rPr>
          <w:rFonts w:ascii="Garamond" w:hAnsi="Garamond"/>
        </w:rPr>
        <w:t xml:space="preserve">assets (including rental investments) were </w:t>
      </w:r>
      <w:r w:rsidR="00D047E1" w:rsidRPr="00381F61">
        <w:rPr>
          <w:rFonts w:ascii="Garamond" w:hAnsi="Garamond"/>
        </w:rPr>
        <w:t>47.0</w:t>
      </w:r>
      <w:r w:rsidR="0028575A" w:rsidRPr="00381F61">
        <w:rPr>
          <w:rFonts w:ascii="Garamond" w:hAnsi="Garamond"/>
        </w:rPr>
        <w:t>%</w:t>
      </w:r>
      <w:r w:rsidRPr="00381F61">
        <w:rPr>
          <w:rFonts w:ascii="Garamond" w:hAnsi="Garamond"/>
        </w:rPr>
        <w:t xml:space="preserve"> of gross assets</w:t>
      </w:r>
      <w:r w:rsidR="002D1CF9" w:rsidRPr="00381F61">
        <w:rPr>
          <w:rFonts w:ascii="Garamond" w:hAnsi="Garamond"/>
        </w:rPr>
        <w:t>;</w:t>
      </w:r>
      <w:r w:rsidRPr="00381F61">
        <w:rPr>
          <w:rFonts w:ascii="Garamond" w:hAnsi="Garamond"/>
        </w:rPr>
        <w:t xml:space="preserve"> </w:t>
      </w:r>
    </w:p>
    <w:p w14:paraId="7815B566" w14:textId="35E7D3F2" w:rsidR="0012625E" w:rsidRPr="00381F61" w:rsidRDefault="0028575A" w:rsidP="00646919">
      <w:pPr>
        <w:pStyle w:val="ListParagraph"/>
        <w:numPr>
          <w:ilvl w:val="0"/>
          <w:numId w:val="9"/>
        </w:numPr>
        <w:jc w:val="both"/>
        <w:rPr>
          <w:rFonts w:ascii="Garamond" w:hAnsi="Garamond"/>
        </w:rPr>
      </w:pPr>
      <w:r w:rsidRPr="00381F61">
        <w:rPr>
          <w:rFonts w:ascii="Garamond" w:hAnsi="Garamond"/>
        </w:rPr>
        <w:t xml:space="preserve">all </w:t>
      </w:r>
      <w:r w:rsidR="00E17EF2" w:rsidRPr="00381F61">
        <w:rPr>
          <w:rFonts w:ascii="Garamond" w:hAnsi="Garamond"/>
        </w:rPr>
        <w:t>business investments (unlisted shares and equity in unincorporated business</w:t>
      </w:r>
      <w:r w:rsidR="0022453C" w:rsidRPr="00381F61">
        <w:rPr>
          <w:rFonts w:ascii="Garamond" w:hAnsi="Garamond"/>
        </w:rPr>
        <w:t>es</w:t>
      </w:r>
      <w:r w:rsidR="00E17EF2" w:rsidRPr="00381F61">
        <w:rPr>
          <w:rFonts w:ascii="Garamond" w:hAnsi="Garamond"/>
        </w:rPr>
        <w:t>) were 2</w:t>
      </w:r>
      <w:r w:rsidR="00D047E1" w:rsidRPr="00381F61">
        <w:rPr>
          <w:rFonts w:ascii="Garamond" w:hAnsi="Garamond"/>
        </w:rPr>
        <w:t>4.4</w:t>
      </w:r>
      <w:r w:rsidR="00E17EF2" w:rsidRPr="00381F61">
        <w:rPr>
          <w:rFonts w:ascii="Garamond" w:hAnsi="Garamond"/>
        </w:rPr>
        <w:t>% of gross assets</w:t>
      </w:r>
      <w:r w:rsidR="00E17EF2" w:rsidRPr="00381F61">
        <w:rPr>
          <w:rStyle w:val="FootnoteReference"/>
          <w:rFonts w:ascii="Garamond" w:hAnsi="Garamond"/>
        </w:rPr>
        <w:footnoteReference w:id="193"/>
      </w:r>
      <w:r w:rsidR="002D1CF9" w:rsidRPr="00381F61">
        <w:rPr>
          <w:rFonts w:ascii="Garamond" w:hAnsi="Garamond"/>
        </w:rPr>
        <w:t>;</w:t>
      </w:r>
    </w:p>
    <w:p w14:paraId="14CB3297" w14:textId="667F1272" w:rsidR="002D1CF9" w:rsidRPr="00381F61" w:rsidRDefault="002D1CF9" w:rsidP="00646919">
      <w:pPr>
        <w:pStyle w:val="ListParagraph"/>
        <w:numPr>
          <w:ilvl w:val="0"/>
          <w:numId w:val="9"/>
        </w:numPr>
        <w:jc w:val="both"/>
        <w:rPr>
          <w:rFonts w:ascii="Garamond" w:hAnsi="Garamond"/>
        </w:rPr>
      </w:pPr>
      <w:r w:rsidRPr="00381F61">
        <w:rPr>
          <w:rFonts w:ascii="Garamond" w:hAnsi="Garamond"/>
        </w:rPr>
        <w:t>KiwiSaver balances ($</w:t>
      </w:r>
      <w:r w:rsidR="00663714" w:rsidRPr="00381F61">
        <w:rPr>
          <w:rFonts w:ascii="Garamond" w:hAnsi="Garamond"/>
        </w:rPr>
        <w:t>48.6</w:t>
      </w:r>
      <w:r w:rsidRPr="00381F61">
        <w:rPr>
          <w:rFonts w:ascii="Garamond" w:hAnsi="Garamond"/>
        </w:rPr>
        <w:t xml:space="preserve"> billion in 201</w:t>
      </w:r>
      <w:r w:rsidR="00663714" w:rsidRPr="00381F61">
        <w:rPr>
          <w:rFonts w:ascii="Garamond" w:hAnsi="Garamond"/>
        </w:rPr>
        <w:t>8</w:t>
      </w:r>
      <w:r w:rsidRPr="00381F61">
        <w:rPr>
          <w:rFonts w:ascii="Garamond" w:hAnsi="Garamond"/>
        </w:rPr>
        <w:t>) were 5.</w:t>
      </w:r>
      <w:r w:rsidR="00663714" w:rsidRPr="00381F61">
        <w:rPr>
          <w:rFonts w:ascii="Garamond" w:hAnsi="Garamond"/>
        </w:rPr>
        <w:t>2</w:t>
      </w:r>
      <w:r w:rsidRPr="00381F61">
        <w:rPr>
          <w:rFonts w:ascii="Garamond" w:hAnsi="Garamond"/>
        </w:rPr>
        <w:t>% of households’ ‘financial assets’ and 2.</w:t>
      </w:r>
      <w:r w:rsidR="00663714" w:rsidRPr="00381F61">
        <w:rPr>
          <w:rFonts w:ascii="Garamond" w:hAnsi="Garamond"/>
        </w:rPr>
        <w:t>8</w:t>
      </w:r>
      <w:r w:rsidRPr="00381F61">
        <w:rPr>
          <w:rFonts w:ascii="Garamond" w:hAnsi="Garamond"/>
        </w:rPr>
        <w:t>% of all assets.</w:t>
      </w:r>
    </w:p>
    <w:p w14:paraId="7F0AF84F" w14:textId="77777777" w:rsidR="0012625E" w:rsidRPr="00381F61" w:rsidRDefault="0012625E" w:rsidP="00E71CEB">
      <w:pPr>
        <w:jc w:val="both"/>
        <w:rPr>
          <w:rFonts w:ascii="Garamond" w:hAnsi="Garamond"/>
        </w:rPr>
      </w:pPr>
    </w:p>
    <w:p w14:paraId="56984108" w14:textId="0628AC80" w:rsidR="00D56BB4" w:rsidRPr="00381F61" w:rsidRDefault="0012625E" w:rsidP="00646919">
      <w:pPr>
        <w:jc w:val="both"/>
        <w:rPr>
          <w:rFonts w:ascii="Garamond" w:hAnsi="Garamond"/>
        </w:rPr>
      </w:pPr>
      <w:r w:rsidRPr="00381F61">
        <w:rPr>
          <w:rFonts w:ascii="Garamond" w:hAnsi="Garamond"/>
        </w:rPr>
        <w:t xml:space="preserve">These ‘administrative data’ do not tell us </w:t>
      </w:r>
      <w:r w:rsidR="00F16400" w:rsidRPr="00381F61">
        <w:rPr>
          <w:rFonts w:ascii="Garamond" w:hAnsi="Garamond"/>
        </w:rPr>
        <w:t>enough</w:t>
      </w:r>
      <w:r w:rsidRPr="00381F61">
        <w:rPr>
          <w:rFonts w:ascii="Garamond" w:hAnsi="Garamond"/>
        </w:rPr>
        <w:t xml:space="preserve"> about what happens to individual households</w:t>
      </w:r>
      <w:r w:rsidR="00F16400" w:rsidRPr="00381F61">
        <w:rPr>
          <w:rFonts w:ascii="Garamond" w:hAnsi="Garamond"/>
        </w:rPr>
        <w:t xml:space="preserve"> and, in the business of pre-r</w:t>
      </w:r>
      <w:r w:rsidR="00C047C6" w:rsidRPr="00381F61">
        <w:rPr>
          <w:rFonts w:ascii="Garamond" w:hAnsi="Garamond"/>
        </w:rPr>
        <w:t>etirement planning, that</w:t>
      </w:r>
      <w:r w:rsidR="00F16400" w:rsidRPr="00381F61">
        <w:rPr>
          <w:rFonts w:ascii="Garamond" w:hAnsi="Garamond"/>
        </w:rPr>
        <w:t xml:space="preserve"> really matters</w:t>
      </w:r>
      <w:r w:rsidRPr="00381F61">
        <w:rPr>
          <w:rFonts w:ascii="Garamond" w:hAnsi="Garamond"/>
        </w:rPr>
        <w:t>.</w:t>
      </w:r>
      <w:r w:rsidR="00962270" w:rsidRPr="00381F61">
        <w:rPr>
          <w:rFonts w:ascii="Garamond" w:hAnsi="Garamond"/>
        </w:rPr>
        <w:t xml:space="preserve"> </w:t>
      </w:r>
      <w:r w:rsidRPr="00381F61">
        <w:rPr>
          <w:rFonts w:ascii="Garamond" w:hAnsi="Garamond"/>
        </w:rPr>
        <w:t xml:space="preserve"> </w:t>
      </w:r>
      <w:r w:rsidR="00544B56" w:rsidRPr="00381F61">
        <w:rPr>
          <w:rFonts w:ascii="Garamond" w:hAnsi="Garamond"/>
        </w:rPr>
        <w:t xml:space="preserve">The only way to discover what is happening at </w:t>
      </w:r>
      <w:r w:rsidR="007D64C9" w:rsidRPr="00381F61">
        <w:rPr>
          <w:rFonts w:ascii="Garamond" w:hAnsi="Garamond"/>
        </w:rPr>
        <w:t>that</w:t>
      </w:r>
      <w:r w:rsidR="00544B56" w:rsidRPr="00381F61">
        <w:rPr>
          <w:rFonts w:ascii="Garamond" w:hAnsi="Garamond"/>
        </w:rPr>
        <w:t xml:space="preserve"> level is to ask households themselves what they are doing – what they own and owe; what their retirement aspirations might be and what they might be doing about those now and over time.</w:t>
      </w:r>
      <w:r w:rsidR="007A5F91" w:rsidRPr="00381F61">
        <w:rPr>
          <w:rFonts w:ascii="Garamond" w:hAnsi="Garamond"/>
        </w:rPr>
        <w:t xml:space="preserve">  Talking directly to households, rather than individuals, will also show the influence of things that happen to other household members, such as death, divorce, disability or employment-related changes.  Those kinds of changes are significant in the retirement and retirement-saving context but </w:t>
      </w:r>
      <w:r w:rsidR="00723DED" w:rsidRPr="00381F61">
        <w:rPr>
          <w:rFonts w:ascii="Garamond" w:hAnsi="Garamond"/>
        </w:rPr>
        <w:t>are not</w:t>
      </w:r>
      <w:r w:rsidR="007A5F91" w:rsidRPr="00381F61">
        <w:rPr>
          <w:rFonts w:ascii="Garamond" w:hAnsi="Garamond"/>
        </w:rPr>
        <w:t xml:space="preserve"> discoverable from top-down ‘administrative data’.</w:t>
      </w:r>
    </w:p>
    <w:p w14:paraId="698E1651" w14:textId="77777777" w:rsidR="00D56BB4" w:rsidRPr="00381F61" w:rsidRDefault="00D56BB4" w:rsidP="00646919">
      <w:pPr>
        <w:jc w:val="both"/>
        <w:rPr>
          <w:rFonts w:ascii="Garamond" w:hAnsi="Garamond"/>
        </w:rPr>
      </w:pPr>
    </w:p>
    <w:p w14:paraId="24021A43" w14:textId="4F6F795A" w:rsidR="00544B56" w:rsidRPr="00381F61" w:rsidRDefault="00544B56" w:rsidP="00646919">
      <w:pPr>
        <w:jc w:val="both"/>
        <w:rPr>
          <w:rFonts w:ascii="Garamond" w:hAnsi="Garamond"/>
          <w:bCs/>
        </w:rPr>
      </w:pPr>
      <w:r w:rsidRPr="00381F61">
        <w:rPr>
          <w:rFonts w:ascii="Garamond" w:hAnsi="Garamond"/>
        </w:rPr>
        <w:t>New Zealand tried to uncover</w:t>
      </w:r>
      <w:r w:rsidR="00FE4E93" w:rsidRPr="00381F61">
        <w:rPr>
          <w:rFonts w:ascii="Garamond" w:hAnsi="Garamond"/>
        </w:rPr>
        <w:t xml:space="preserve"> some of</w:t>
      </w:r>
      <w:r w:rsidRPr="00381F61">
        <w:rPr>
          <w:rFonts w:ascii="Garamond" w:hAnsi="Garamond"/>
        </w:rPr>
        <w:t xml:space="preserve"> this crucial information through the ‘Survey of Family Income and Employment’ (SoFIE).  </w:t>
      </w:r>
      <w:r w:rsidR="0086696D" w:rsidRPr="00381F61">
        <w:rPr>
          <w:rFonts w:ascii="Garamond" w:hAnsi="Garamond"/>
          <w:bCs/>
        </w:rPr>
        <w:t>Longitudinal surveys are complex to organise and analyse</w:t>
      </w:r>
      <w:r w:rsidR="00663714" w:rsidRPr="00381F61">
        <w:rPr>
          <w:rFonts w:ascii="Garamond" w:hAnsi="Garamond"/>
          <w:bCs/>
        </w:rPr>
        <w:t xml:space="preserve"> (and expensive)</w:t>
      </w:r>
      <w:r w:rsidR="0086696D" w:rsidRPr="00381F61">
        <w:rPr>
          <w:rFonts w:ascii="Garamond" w:hAnsi="Garamond"/>
          <w:bCs/>
        </w:rPr>
        <w:t xml:space="preserve"> but can give rich insights into behaviour, particularly changes in behaviour.</w:t>
      </w:r>
    </w:p>
    <w:p w14:paraId="0EBC2F6A" w14:textId="77777777" w:rsidR="00544B56" w:rsidRPr="00381F61" w:rsidRDefault="00544B56" w:rsidP="00E71CEB">
      <w:pPr>
        <w:pStyle w:val="Footer"/>
        <w:jc w:val="both"/>
        <w:rPr>
          <w:rFonts w:ascii="Garamond" w:hAnsi="Garamond"/>
        </w:rPr>
      </w:pPr>
    </w:p>
    <w:p w14:paraId="1D4378C0" w14:textId="1DA5CAD8" w:rsidR="00544B56" w:rsidRPr="00381F61" w:rsidRDefault="00544B56" w:rsidP="00E71CEB">
      <w:pPr>
        <w:pStyle w:val="Footer"/>
        <w:jc w:val="both"/>
        <w:rPr>
          <w:rFonts w:ascii="Garamond" w:hAnsi="Garamond"/>
          <w:bCs/>
        </w:rPr>
      </w:pPr>
      <w:r w:rsidRPr="00381F61">
        <w:rPr>
          <w:rFonts w:ascii="Garamond" w:hAnsi="Garamond"/>
          <w:bCs/>
        </w:rPr>
        <w:t>SoFIE was a longitudinal survey conducted by Stati</w:t>
      </w:r>
      <w:r w:rsidR="00F23C06" w:rsidRPr="00381F61">
        <w:rPr>
          <w:rFonts w:ascii="Garamond" w:hAnsi="Garamond"/>
          <w:bCs/>
        </w:rPr>
        <w:t>stics New Zealand over an eight-</w:t>
      </w:r>
      <w:r w:rsidRPr="00381F61">
        <w:rPr>
          <w:rFonts w:ascii="Garamond" w:hAnsi="Garamond"/>
          <w:bCs/>
        </w:rPr>
        <w:t>year period, 2002-2010.  It collected financial data about individual New Zealanders every two years during that period, starting in 2004.  Bec</w:t>
      </w:r>
      <w:r w:rsidR="009F65DE" w:rsidRPr="00381F61">
        <w:rPr>
          <w:rFonts w:ascii="Garamond" w:hAnsi="Garamond"/>
          <w:bCs/>
        </w:rPr>
        <w:t>ause the same individuals supplied</w:t>
      </w:r>
      <w:r w:rsidRPr="00381F61">
        <w:rPr>
          <w:rFonts w:ascii="Garamond" w:hAnsi="Garamond"/>
          <w:bCs/>
        </w:rPr>
        <w:t xml:space="preserve"> information during the whole period, the collection of ‘snapshots’ at each collection date could be ‘joined together’ to give a picture of how participants changed their position over the period</w:t>
      </w:r>
      <w:r w:rsidR="00C26926" w:rsidRPr="00381F61">
        <w:rPr>
          <w:rStyle w:val="FootnoteReference"/>
          <w:rFonts w:ascii="Garamond" w:hAnsi="Garamond"/>
          <w:bCs/>
          <w:color w:val="000000" w:themeColor="text1"/>
        </w:rPr>
        <w:footnoteReference w:id="194"/>
      </w:r>
      <w:r w:rsidRPr="00381F61">
        <w:rPr>
          <w:rFonts w:ascii="Garamond" w:hAnsi="Garamond"/>
          <w:bCs/>
        </w:rPr>
        <w:t>.  Interestingly, for our purposes, the collection of financial data straddled the introduction of KiwiSaver in 2007.</w:t>
      </w:r>
    </w:p>
    <w:p w14:paraId="25690AEF" w14:textId="77777777" w:rsidR="00DB582B" w:rsidRPr="00381F61" w:rsidRDefault="00DB582B" w:rsidP="00E71CEB">
      <w:pPr>
        <w:pStyle w:val="Footer"/>
        <w:jc w:val="both"/>
        <w:rPr>
          <w:rFonts w:ascii="Garamond" w:hAnsi="Garamond"/>
          <w:bCs/>
        </w:rPr>
      </w:pPr>
    </w:p>
    <w:p w14:paraId="1336521C" w14:textId="396E6D7E" w:rsidR="00DB582B" w:rsidRPr="00381F61" w:rsidRDefault="00DB582B" w:rsidP="00DB582B">
      <w:pPr>
        <w:pStyle w:val="Footer"/>
        <w:jc w:val="both"/>
        <w:rPr>
          <w:rFonts w:ascii="Garamond" w:hAnsi="Garamond"/>
          <w:bCs/>
        </w:rPr>
      </w:pPr>
      <w:r w:rsidRPr="00381F61">
        <w:rPr>
          <w:rFonts w:ascii="Garamond" w:hAnsi="Garamond"/>
          <w:bCs/>
        </w:rPr>
        <w:t xml:space="preserve">SoFIE’s sample size started in 2002 at more than 22,000 individuals living in 11,500 households.  </w:t>
      </w:r>
    </w:p>
    <w:p w14:paraId="3B1E8F28" w14:textId="0AF96925" w:rsidR="00544B56" w:rsidRPr="00381F61" w:rsidRDefault="00544B56" w:rsidP="00E71CEB">
      <w:pPr>
        <w:jc w:val="both"/>
        <w:rPr>
          <w:rFonts w:ascii="Garamond" w:hAnsi="Garamond"/>
        </w:rPr>
      </w:pPr>
    </w:p>
    <w:p w14:paraId="2EC75667" w14:textId="15729D79" w:rsidR="009F0358" w:rsidRPr="00381F61" w:rsidRDefault="0089005F" w:rsidP="00E71CEB">
      <w:pPr>
        <w:jc w:val="both"/>
        <w:rPr>
          <w:rFonts w:ascii="Garamond" w:hAnsi="Garamond"/>
        </w:rPr>
      </w:pPr>
      <w:r w:rsidRPr="00381F61">
        <w:rPr>
          <w:rFonts w:ascii="Garamond" w:hAnsi="Garamond"/>
        </w:rPr>
        <w:t>We have already summarised some of SoFIE’s insights into New Zealanders’ saving behaviour in the last section 1</w:t>
      </w:r>
      <w:r w:rsidR="000856CF" w:rsidRPr="00381F61">
        <w:rPr>
          <w:rFonts w:ascii="Garamond" w:hAnsi="Garamond"/>
        </w:rPr>
        <w:t>4</w:t>
      </w:r>
      <w:r w:rsidRPr="00381F61">
        <w:rPr>
          <w:rFonts w:ascii="Garamond" w:hAnsi="Garamond"/>
        </w:rPr>
        <w:t xml:space="preserve"> (Kiwi</w:t>
      </w:r>
      <w:r w:rsidR="009F0358" w:rsidRPr="00381F61">
        <w:rPr>
          <w:rFonts w:ascii="Garamond" w:hAnsi="Garamond"/>
        </w:rPr>
        <w:t>Saver in the new environment).</w:t>
      </w:r>
    </w:p>
    <w:p w14:paraId="3439D769" w14:textId="77777777" w:rsidR="009F0358" w:rsidRPr="00381F61" w:rsidRDefault="009F0358" w:rsidP="00E71CEB">
      <w:pPr>
        <w:jc w:val="both"/>
        <w:rPr>
          <w:rFonts w:ascii="Garamond" w:hAnsi="Garamond"/>
        </w:rPr>
      </w:pPr>
    </w:p>
    <w:p w14:paraId="75DE55B5" w14:textId="304A7A12" w:rsidR="0089005F" w:rsidRPr="00381F61" w:rsidRDefault="0089005F" w:rsidP="00E71CEB">
      <w:pPr>
        <w:jc w:val="both"/>
        <w:rPr>
          <w:rFonts w:ascii="Garamond" w:hAnsi="Garamond"/>
        </w:rPr>
      </w:pPr>
      <w:r w:rsidRPr="00381F61">
        <w:rPr>
          <w:rFonts w:ascii="Garamond" w:hAnsi="Garamond"/>
        </w:rPr>
        <w:t>SoFIE can also help us to understand how New Zealand’s households as a whole compare with Australia’s.  That’s a useful comparison given the very different policy settings in both countries.</w:t>
      </w:r>
    </w:p>
    <w:p w14:paraId="260C08C9" w14:textId="77777777" w:rsidR="0089005F" w:rsidRPr="00381F61" w:rsidRDefault="0089005F" w:rsidP="00E71CEB">
      <w:pPr>
        <w:jc w:val="both"/>
        <w:rPr>
          <w:rFonts w:ascii="Garamond" w:hAnsi="Garamond"/>
        </w:rPr>
      </w:pPr>
    </w:p>
    <w:p w14:paraId="7F5F7F94" w14:textId="148EA96F" w:rsidR="00DB582B" w:rsidRPr="00381F61" w:rsidRDefault="00544B56" w:rsidP="00E71CEB">
      <w:pPr>
        <w:pStyle w:val="Heading1"/>
        <w:jc w:val="both"/>
        <w:rPr>
          <w:rFonts w:ascii="Garamond" w:hAnsi="Garamond"/>
          <w:b w:val="0"/>
          <w:bCs w:val="0"/>
        </w:rPr>
      </w:pPr>
      <w:r w:rsidRPr="00381F61">
        <w:rPr>
          <w:rFonts w:ascii="Garamond" w:hAnsi="Garamond"/>
          <w:b w:val="0"/>
          <w:bCs w:val="0"/>
          <w:color w:val="0D0D0D"/>
          <w:lang w:val="en-GB"/>
        </w:rPr>
        <w:t xml:space="preserve">The RPRC’s </w:t>
      </w:r>
      <w:r w:rsidR="00DF6328" w:rsidRPr="00381F61">
        <w:rPr>
          <w:rFonts w:ascii="Garamond" w:hAnsi="Garamond"/>
          <w:b w:val="0"/>
          <w:bCs w:val="0"/>
          <w:i/>
          <w:color w:val="0D0D0D"/>
          <w:lang w:val="en-GB"/>
        </w:rPr>
        <w:t xml:space="preserve">PensionBriefing 2010-2 </w:t>
      </w:r>
      <w:r w:rsidR="00E56E47" w:rsidRPr="00381F61">
        <w:rPr>
          <w:rFonts w:ascii="Garamond" w:hAnsi="Garamond"/>
          <w:b w:val="0"/>
          <w:bCs w:val="0"/>
          <w:iCs/>
          <w:color w:val="0D0D0D"/>
          <w:lang w:val="en-GB"/>
        </w:rPr>
        <w:t xml:space="preserve">- </w:t>
      </w:r>
      <w:r w:rsidR="00DF6328" w:rsidRPr="00381F61">
        <w:rPr>
          <w:rFonts w:ascii="Garamond" w:hAnsi="Garamond"/>
          <w:b w:val="0"/>
          <w:i/>
          <w:color w:val="0D0D0D"/>
          <w:lang w:val="en-GB"/>
        </w:rPr>
        <w:t>What do New Zealanders own and owe? News from SoFIE 2004-2006</w:t>
      </w:r>
      <w:r w:rsidR="00E56E47" w:rsidRPr="00381F61">
        <w:rPr>
          <w:rFonts w:ascii="Garamond" w:hAnsi="Garamond"/>
          <w:b w:val="0"/>
          <w:iCs/>
          <w:color w:val="0D0D0D"/>
          <w:lang w:val="en-GB"/>
        </w:rPr>
        <w:t xml:space="preserve"> </w:t>
      </w:r>
      <w:r w:rsidR="00E56E47" w:rsidRPr="00381F61">
        <w:rPr>
          <w:rFonts w:ascii="Garamond" w:hAnsi="Garamond"/>
          <w:b w:val="0"/>
          <w:color w:val="0D0D0D"/>
          <w:lang w:val="en-GB"/>
        </w:rPr>
        <w:t xml:space="preserve">(accessible </w:t>
      </w:r>
      <w:hyperlink r:id="rId52" w:history="1">
        <w:r w:rsidR="00E56E47" w:rsidRPr="00381F61">
          <w:rPr>
            <w:rStyle w:val="Hyperlink"/>
            <w:rFonts w:ascii="Garamond" w:hAnsi="Garamond"/>
            <w:b w:val="0"/>
            <w:lang w:val="en-GB"/>
          </w:rPr>
          <w:t>here</w:t>
        </w:r>
      </w:hyperlink>
      <w:r w:rsidR="00E56E47" w:rsidRPr="00381F61">
        <w:rPr>
          <w:rFonts w:ascii="Garamond" w:hAnsi="Garamond"/>
          <w:b w:val="0"/>
          <w:color w:val="0D0D0D"/>
          <w:lang w:val="en-GB"/>
        </w:rPr>
        <w:t xml:space="preserve">) </w:t>
      </w:r>
      <w:r w:rsidR="00DF6328" w:rsidRPr="00381F61">
        <w:rPr>
          <w:rFonts w:ascii="Garamond" w:hAnsi="Garamond"/>
          <w:b w:val="0"/>
          <w:color w:val="0D0D0D"/>
          <w:lang w:val="en-GB"/>
        </w:rPr>
        <w:t>looked at 2006 data from</w:t>
      </w:r>
      <w:r w:rsidRPr="00381F61">
        <w:rPr>
          <w:rFonts w:ascii="Garamond" w:hAnsi="Garamond"/>
          <w:b w:val="0"/>
          <w:color w:val="0D0D0D"/>
          <w:lang w:val="en-GB"/>
        </w:rPr>
        <w:t xml:space="preserve"> SoFIE.  This wa</w:t>
      </w:r>
      <w:r w:rsidR="00DF6328" w:rsidRPr="00381F61">
        <w:rPr>
          <w:rFonts w:ascii="Garamond" w:hAnsi="Garamond"/>
          <w:b w:val="0"/>
          <w:color w:val="0D0D0D"/>
          <w:lang w:val="en-GB"/>
        </w:rPr>
        <w:t>s the</w:t>
      </w:r>
      <w:r w:rsidRPr="00381F61">
        <w:rPr>
          <w:rFonts w:ascii="Garamond" w:hAnsi="Garamond"/>
          <w:b w:val="0"/>
          <w:color w:val="0D0D0D"/>
          <w:lang w:val="en-GB"/>
        </w:rPr>
        <w:t>n</w:t>
      </w:r>
      <w:r w:rsidR="00DF6328" w:rsidRPr="00381F61">
        <w:rPr>
          <w:rFonts w:ascii="Garamond" w:hAnsi="Garamond"/>
          <w:b w:val="0"/>
          <w:color w:val="0D0D0D"/>
          <w:lang w:val="en-GB"/>
        </w:rPr>
        <w:t xml:space="preserve"> </w:t>
      </w:r>
      <w:r w:rsidRPr="00381F61">
        <w:rPr>
          <w:rFonts w:ascii="Garamond" w:hAnsi="Garamond"/>
          <w:b w:val="0"/>
          <w:color w:val="0D0D0D"/>
          <w:lang w:val="en-GB"/>
        </w:rPr>
        <w:t xml:space="preserve">the </w:t>
      </w:r>
      <w:r w:rsidR="00DF6328" w:rsidRPr="00381F61">
        <w:rPr>
          <w:rFonts w:ascii="Garamond" w:hAnsi="Garamond"/>
          <w:b w:val="0"/>
          <w:color w:val="0D0D0D"/>
          <w:lang w:val="en-GB"/>
        </w:rPr>
        <w:t>mo</w:t>
      </w:r>
      <w:r w:rsidR="0086696D" w:rsidRPr="00381F61">
        <w:rPr>
          <w:rFonts w:ascii="Garamond" w:hAnsi="Garamond"/>
          <w:b w:val="0"/>
          <w:color w:val="0D0D0D"/>
          <w:lang w:val="en-GB"/>
        </w:rPr>
        <w:t>st recent information from SoFIE</w:t>
      </w:r>
      <w:r w:rsidR="00DF6328" w:rsidRPr="00381F61">
        <w:rPr>
          <w:rFonts w:ascii="Garamond" w:hAnsi="Garamond"/>
          <w:b w:val="0"/>
          <w:color w:val="0D0D0D"/>
          <w:lang w:val="en-GB"/>
        </w:rPr>
        <w:t xml:space="preserve">. </w:t>
      </w:r>
    </w:p>
    <w:p w14:paraId="7570344D" w14:textId="77777777" w:rsidR="00DB582B" w:rsidRPr="00381F61" w:rsidRDefault="00DB582B" w:rsidP="00E71CEB">
      <w:pPr>
        <w:pStyle w:val="Heading1"/>
        <w:jc w:val="both"/>
        <w:rPr>
          <w:rFonts w:ascii="Garamond" w:hAnsi="Garamond"/>
          <w:b w:val="0"/>
          <w:bCs w:val="0"/>
        </w:rPr>
      </w:pPr>
    </w:p>
    <w:p w14:paraId="49B5CEC4" w14:textId="3FEB2E4B" w:rsidR="00DF6328" w:rsidRPr="00381F61" w:rsidRDefault="00DF6328" w:rsidP="00E71CEB">
      <w:pPr>
        <w:pStyle w:val="Heading1"/>
        <w:jc w:val="both"/>
        <w:rPr>
          <w:rFonts w:ascii="Garamond" w:hAnsi="Garamond"/>
          <w:b w:val="0"/>
          <w:color w:val="0D0D0D"/>
          <w:lang w:val="en-GB"/>
        </w:rPr>
      </w:pPr>
      <w:r w:rsidRPr="00381F61">
        <w:rPr>
          <w:rFonts w:ascii="Garamond" w:hAnsi="Garamond"/>
          <w:b w:val="0"/>
          <w:color w:val="0D0D0D"/>
          <w:lang w:val="en-GB"/>
        </w:rPr>
        <w:t xml:space="preserve">The </w:t>
      </w:r>
      <w:r w:rsidRPr="00381F61">
        <w:rPr>
          <w:rFonts w:ascii="Garamond" w:hAnsi="Garamond"/>
          <w:b w:val="0"/>
          <w:i/>
          <w:color w:val="0D0D0D"/>
          <w:lang w:val="en-GB"/>
        </w:rPr>
        <w:t>PensionBriefing</w:t>
      </w:r>
      <w:r w:rsidRPr="00381F61">
        <w:rPr>
          <w:rFonts w:ascii="Garamond" w:hAnsi="Garamond"/>
          <w:b w:val="0"/>
          <w:color w:val="0D0D0D"/>
          <w:lang w:val="en-GB"/>
        </w:rPr>
        <w:t xml:space="preserve"> noted that New Zealanders as a whole had (in 2006):</w:t>
      </w:r>
    </w:p>
    <w:p w14:paraId="5ECA0886" w14:textId="39B1B420" w:rsidR="00DF6328" w:rsidRPr="00381F61" w:rsidRDefault="00DF6328" w:rsidP="00E71CEB">
      <w:pPr>
        <w:numPr>
          <w:ilvl w:val="0"/>
          <w:numId w:val="29"/>
        </w:numPr>
        <w:jc w:val="both"/>
        <w:rPr>
          <w:rFonts w:ascii="Garamond" w:hAnsi="Garamond"/>
        </w:rPr>
      </w:pPr>
      <w:r w:rsidRPr="00381F61">
        <w:rPr>
          <w:rFonts w:ascii="Garamond" w:hAnsi="Garamond"/>
        </w:rPr>
        <w:t>a lot less in housing of all kinds than many suppose</w:t>
      </w:r>
      <w:r w:rsidR="00F53CF8" w:rsidRPr="00381F61">
        <w:rPr>
          <w:rFonts w:ascii="Garamond" w:hAnsi="Garamond"/>
        </w:rPr>
        <w:t>d</w:t>
      </w:r>
      <w:r w:rsidRPr="00381F61">
        <w:rPr>
          <w:rFonts w:ascii="Garamond" w:hAnsi="Garamond"/>
        </w:rPr>
        <w:t xml:space="preserve"> (about 46% of all net assets</w:t>
      </w:r>
      <w:r w:rsidR="00663714" w:rsidRPr="00381F61">
        <w:rPr>
          <w:rStyle w:val="FootnoteReference"/>
          <w:rFonts w:ascii="Garamond" w:hAnsi="Garamond"/>
        </w:rPr>
        <w:footnoteReference w:id="195"/>
      </w:r>
      <w:r w:rsidRPr="00381F61">
        <w:rPr>
          <w:rFonts w:ascii="Garamond" w:hAnsi="Garamond"/>
        </w:rPr>
        <w:t>);</w:t>
      </w:r>
    </w:p>
    <w:p w14:paraId="07B5D5EC" w14:textId="58DE908A" w:rsidR="00DF6328" w:rsidRPr="00381F61" w:rsidRDefault="00DF6328" w:rsidP="00E71CEB">
      <w:pPr>
        <w:numPr>
          <w:ilvl w:val="0"/>
          <w:numId w:val="29"/>
        </w:numPr>
        <w:jc w:val="both"/>
        <w:rPr>
          <w:rFonts w:ascii="Garamond" w:hAnsi="Garamond"/>
        </w:rPr>
      </w:pPr>
      <w:r w:rsidRPr="00381F61">
        <w:rPr>
          <w:rFonts w:ascii="Garamond" w:hAnsi="Garamond"/>
        </w:rPr>
        <w:t>less debt than statistics often represent</w:t>
      </w:r>
      <w:r w:rsidR="00F53CF8" w:rsidRPr="00381F61">
        <w:rPr>
          <w:rFonts w:ascii="Garamond" w:hAnsi="Garamond"/>
        </w:rPr>
        <w:t>ed</w:t>
      </w:r>
      <w:r w:rsidRPr="00381F61">
        <w:rPr>
          <w:rFonts w:ascii="Garamond" w:hAnsi="Garamond"/>
        </w:rPr>
        <w:t xml:space="preserve"> (about 14% of total </w:t>
      </w:r>
      <w:r w:rsidR="00134F16" w:rsidRPr="00381F61">
        <w:rPr>
          <w:rFonts w:ascii="Garamond" w:hAnsi="Garamond"/>
        </w:rPr>
        <w:t xml:space="preserve">gross </w:t>
      </w:r>
      <w:r w:rsidRPr="00381F61">
        <w:rPr>
          <w:rFonts w:ascii="Garamond" w:hAnsi="Garamond"/>
        </w:rPr>
        <w:t>assets</w:t>
      </w:r>
      <w:r w:rsidR="00663714" w:rsidRPr="00381F61">
        <w:rPr>
          <w:rStyle w:val="FootnoteReference"/>
          <w:rFonts w:ascii="Garamond" w:hAnsi="Garamond"/>
        </w:rPr>
        <w:footnoteReference w:id="196"/>
      </w:r>
      <w:r w:rsidRPr="00381F61">
        <w:rPr>
          <w:rFonts w:ascii="Garamond" w:hAnsi="Garamond"/>
        </w:rPr>
        <w:t>);</w:t>
      </w:r>
    </w:p>
    <w:p w14:paraId="65DC7F05" w14:textId="563FC84B" w:rsidR="00DF6328" w:rsidRPr="00381F61" w:rsidRDefault="00DF6328" w:rsidP="00E71CEB">
      <w:pPr>
        <w:numPr>
          <w:ilvl w:val="0"/>
          <w:numId w:val="29"/>
        </w:numPr>
        <w:jc w:val="both"/>
        <w:rPr>
          <w:rFonts w:ascii="Garamond" w:hAnsi="Garamond"/>
        </w:rPr>
      </w:pPr>
      <w:r w:rsidRPr="00381F61">
        <w:rPr>
          <w:rFonts w:ascii="Garamond" w:hAnsi="Garamond"/>
        </w:rPr>
        <w:t xml:space="preserve">more in businesses and financial investments than critics </w:t>
      </w:r>
      <w:r w:rsidR="00BE0DE4" w:rsidRPr="00381F61">
        <w:rPr>
          <w:rFonts w:ascii="Garamond" w:hAnsi="Garamond"/>
        </w:rPr>
        <w:t xml:space="preserve">of New Zealanders’ behaviour </w:t>
      </w:r>
      <w:r w:rsidRPr="00381F61">
        <w:rPr>
          <w:rFonts w:ascii="Garamond" w:hAnsi="Garamond"/>
        </w:rPr>
        <w:t>suggest</w:t>
      </w:r>
      <w:r w:rsidR="00F53CF8" w:rsidRPr="00381F61">
        <w:rPr>
          <w:rFonts w:ascii="Garamond" w:hAnsi="Garamond"/>
        </w:rPr>
        <w:t>ed at the time</w:t>
      </w:r>
      <w:r w:rsidRPr="00381F61">
        <w:rPr>
          <w:rFonts w:ascii="Garamond" w:hAnsi="Garamond"/>
        </w:rPr>
        <w:t>.</w:t>
      </w:r>
    </w:p>
    <w:p w14:paraId="5701DD2C" w14:textId="77777777" w:rsidR="00DF6328" w:rsidRPr="00381F61" w:rsidRDefault="00DF6328" w:rsidP="00E71CEB">
      <w:pPr>
        <w:widowControl w:val="0"/>
        <w:autoSpaceDE w:val="0"/>
        <w:autoSpaceDN w:val="0"/>
        <w:adjustRightInd w:val="0"/>
        <w:jc w:val="both"/>
        <w:rPr>
          <w:rFonts w:ascii="Garamond" w:hAnsi="Garamond"/>
          <w:bCs/>
        </w:rPr>
      </w:pPr>
    </w:p>
    <w:p w14:paraId="5383F1E0" w14:textId="00E6A092" w:rsidR="00DB582B" w:rsidRPr="00381F61" w:rsidRDefault="00DF6328" w:rsidP="00DB582B">
      <w:pPr>
        <w:pStyle w:val="Footer"/>
        <w:jc w:val="both"/>
        <w:rPr>
          <w:rFonts w:ascii="Garamond" w:hAnsi="Garamond"/>
          <w:bCs/>
        </w:rPr>
      </w:pPr>
      <w:r w:rsidRPr="00381F61">
        <w:rPr>
          <w:rFonts w:ascii="Garamond" w:hAnsi="Garamond"/>
          <w:bCs/>
        </w:rPr>
        <w:t xml:space="preserve">Australia has its equivalent to SoFIE – the </w:t>
      </w:r>
      <w:r w:rsidRPr="00381F61">
        <w:rPr>
          <w:rFonts w:ascii="Garamond" w:hAnsi="Garamond"/>
          <w:color w:val="404040"/>
        </w:rPr>
        <w:t xml:space="preserve">Household, Income and Labour Dynamics in Australia (HILDA).  </w:t>
      </w:r>
      <w:r w:rsidR="00DB582B" w:rsidRPr="00381F61">
        <w:rPr>
          <w:rFonts w:ascii="Garamond" w:hAnsi="Garamond"/>
          <w:bCs/>
        </w:rPr>
        <w:t>HILDA originally (2001) covered 7,682 households and 15,127 adults (age 15+).  By 2006, the covered population had reduced to 10,085 individuals.  The wealth module was added for the first time in 2002 and became Australia’s first large-scale survey of household wealth since 1915</w:t>
      </w:r>
      <w:r w:rsidR="00963DFE" w:rsidRPr="00381F61">
        <w:rPr>
          <w:rStyle w:val="FootnoteReference"/>
          <w:rFonts w:ascii="Garamond" w:hAnsi="Garamond"/>
          <w:bCs/>
          <w:color w:val="000000" w:themeColor="text1"/>
        </w:rPr>
        <w:footnoteReference w:id="197"/>
      </w:r>
      <w:r w:rsidR="00DB582B" w:rsidRPr="00381F61">
        <w:rPr>
          <w:rFonts w:ascii="Garamond" w:hAnsi="Garamond"/>
          <w:bCs/>
        </w:rPr>
        <w:t>.</w:t>
      </w:r>
    </w:p>
    <w:p w14:paraId="07E304BB" w14:textId="77777777" w:rsidR="00DB582B" w:rsidRPr="00381F61" w:rsidRDefault="00DB582B" w:rsidP="00DB582B">
      <w:pPr>
        <w:pStyle w:val="Footer"/>
        <w:jc w:val="both"/>
        <w:rPr>
          <w:rFonts w:ascii="Garamond" w:hAnsi="Garamond"/>
          <w:bCs/>
        </w:rPr>
      </w:pPr>
    </w:p>
    <w:p w14:paraId="7D8ED292" w14:textId="1889CD93" w:rsidR="00DF6328" w:rsidRPr="00381F61" w:rsidRDefault="00DF6328" w:rsidP="00891E0F">
      <w:pPr>
        <w:widowControl w:val="0"/>
        <w:autoSpaceDE w:val="0"/>
        <w:autoSpaceDN w:val="0"/>
        <w:adjustRightInd w:val="0"/>
        <w:ind w:left="720" w:hanging="720"/>
        <w:jc w:val="both"/>
        <w:rPr>
          <w:rFonts w:ascii="Garamond" w:hAnsi="Garamond" w:cs="MetaPlusBold-Roman"/>
          <w:bCs/>
          <w:szCs w:val="48"/>
        </w:rPr>
      </w:pPr>
      <w:r w:rsidRPr="00381F61">
        <w:rPr>
          <w:rFonts w:ascii="Garamond" w:hAnsi="Garamond"/>
          <w:color w:val="404040"/>
        </w:rPr>
        <w:t xml:space="preserve">In 2009, the Australian Government published a commissioned report on data from the </w:t>
      </w:r>
      <w:r w:rsidR="00051ADA" w:rsidRPr="00381F61">
        <w:rPr>
          <w:rFonts w:ascii="Garamond" w:hAnsi="Garamond"/>
          <w:color w:val="404040"/>
        </w:rPr>
        <w:t xml:space="preserve">then </w:t>
      </w:r>
      <w:r w:rsidRPr="00381F61">
        <w:rPr>
          <w:rFonts w:ascii="Garamond" w:hAnsi="Garamond"/>
          <w:color w:val="404040"/>
        </w:rPr>
        <w:t xml:space="preserve">latest wealth module of the HILDA Survey, conducted in 2006.  </w:t>
      </w:r>
      <w:r w:rsidR="00F53CF8" w:rsidRPr="00381F61">
        <w:rPr>
          <w:rFonts w:ascii="Garamond" w:hAnsi="Garamond" w:cs="MetaPlusBold-Roman"/>
          <w:bCs/>
          <w:i/>
          <w:szCs w:val="48"/>
        </w:rPr>
        <w:t>Families, Incomes and Jobs</w:t>
      </w:r>
      <w:r w:rsidR="00051ADA" w:rsidRPr="00381F61">
        <w:rPr>
          <w:rStyle w:val="FootnoteReference"/>
          <w:rFonts w:ascii="Garamond" w:hAnsi="Garamond" w:cs="MetaPlusBold-Roman"/>
          <w:bCs/>
          <w:szCs w:val="48"/>
        </w:rPr>
        <w:footnoteReference w:id="198"/>
      </w:r>
      <w:r w:rsidRPr="00381F61">
        <w:rPr>
          <w:rFonts w:ascii="Garamond" w:hAnsi="Garamond" w:cs="MetaPlusBold-Roman"/>
          <w:bCs/>
          <w:i/>
          <w:szCs w:val="48"/>
        </w:rPr>
        <w:t xml:space="preserve"> </w:t>
      </w:r>
      <w:r w:rsidR="003F2423" w:rsidRPr="00381F61">
        <w:rPr>
          <w:rFonts w:ascii="Garamond" w:hAnsi="Garamond" w:cs="MetaPlusBold-Roman"/>
          <w:bCs/>
          <w:szCs w:val="48"/>
        </w:rPr>
        <w:t>looked</w:t>
      </w:r>
      <w:r w:rsidRPr="00381F61">
        <w:rPr>
          <w:rFonts w:ascii="Garamond" w:hAnsi="Garamond" w:cs="MetaPlusBold-Roman"/>
          <w:bCs/>
          <w:szCs w:val="48"/>
        </w:rPr>
        <w:t xml:space="preserve"> at households as a whole in 2006 to see what they owned and owed.</w:t>
      </w:r>
    </w:p>
    <w:p w14:paraId="6B313953" w14:textId="77777777" w:rsidR="00DF6328" w:rsidRPr="00381F61" w:rsidRDefault="00DF6328" w:rsidP="00E71CEB">
      <w:pPr>
        <w:widowControl w:val="0"/>
        <w:autoSpaceDE w:val="0"/>
        <w:autoSpaceDN w:val="0"/>
        <w:adjustRightInd w:val="0"/>
        <w:jc w:val="both"/>
        <w:rPr>
          <w:rFonts w:ascii="Garamond" w:hAnsi="Garamond" w:cs="MetaPlusBold-Roman"/>
          <w:bCs/>
          <w:szCs w:val="48"/>
        </w:rPr>
      </w:pPr>
    </w:p>
    <w:p w14:paraId="46DCB4D3" w14:textId="77777777" w:rsidR="0034746A" w:rsidRPr="00381F61" w:rsidRDefault="00051ADA" w:rsidP="00E71CEB">
      <w:pPr>
        <w:widowControl w:val="0"/>
        <w:autoSpaceDE w:val="0"/>
        <w:autoSpaceDN w:val="0"/>
        <w:adjustRightInd w:val="0"/>
        <w:jc w:val="both"/>
        <w:rPr>
          <w:rFonts w:ascii="Garamond" w:hAnsi="Garamond"/>
          <w:b/>
          <w:bCs/>
        </w:rPr>
      </w:pPr>
      <w:r w:rsidRPr="00381F61">
        <w:rPr>
          <w:rFonts w:ascii="Garamond" w:hAnsi="Garamond" w:cs="MetaPlusBold-Roman"/>
          <w:bCs/>
          <w:szCs w:val="48"/>
        </w:rPr>
        <w:t xml:space="preserve">The RPRC’s </w:t>
      </w:r>
      <w:r w:rsidRPr="00381F61">
        <w:rPr>
          <w:rFonts w:ascii="Garamond" w:hAnsi="Garamond" w:cs="MetaPlusBold-Roman"/>
          <w:bCs/>
          <w:i/>
          <w:szCs w:val="48"/>
        </w:rPr>
        <w:t xml:space="preserve">PensionBriefing 2010-5 </w:t>
      </w:r>
      <w:r w:rsidRPr="00381F61">
        <w:rPr>
          <w:rFonts w:ascii="Garamond" w:hAnsi="Garamond" w:cs="MetaPlusBold-Roman"/>
          <w:bCs/>
          <w:szCs w:val="48"/>
        </w:rPr>
        <w:t>(</w:t>
      </w:r>
      <w:r w:rsidRPr="00381F61">
        <w:rPr>
          <w:rFonts w:ascii="Garamond" w:hAnsi="Garamond" w:cs="MetaPlusBold-Roman"/>
          <w:bCs/>
          <w:i/>
          <w:szCs w:val="48"/>
        </w:rPr>
        <w:t>Household Wealth in Australia and New Zealand</w:t>
      </w:r>
      <w:r w:rsidRPr="00381F61">
        <w:rPr>
          <w:rFonts w:ascii="Garamond" w:hAnsi="Garamond" w:cs="MetaPlusBold-Roman"/>
          <w:bCs/>
          <w:szCs w:val="48"/>
        </w:rPr>
        <w:t xml:space="preserve">, accessible </w:t>
      </w:r>
      <w:hyperlink r:id="rId53" w:history="1">
        <w:r w:rsidRPr="00381F61">
          <w:rPr>
            <w:rStyle w:val="Hyperlink"/>
            <w:rFonts w:ascii="Garamond" w:hAnsi="Garamond" w:cs="MetaPlusBold-Roman"/>
            <w:bCs/>
            <w:szCs w:val="48"/>
          </w:rPr>
          <w:t>here</w:t>
        </w:r>
      </w:hyperlink>
      <w:r w:rsidRPr="00381F61">
        <w:rPr>
          <w:rFonts w:ascii="Garamond" w:hAnsi="Garamond" w:cs="MetaPlusBold-Roman"/>
          <w:bCs/>
          <w:szCs w:val="48"/>
        </w:rPr>
        <w:t>)</w:t>
      </w:r>
      <w:r w:rsidR="00DF6328" w:rsidRPr="00381F61">
        <w:rPr>
          <w:rFonts w:ascii="Garamond" w:hAnsi="Garamond" w:cs="MetaPlusBold-Roman"/>
          <w:bCs/>
          <w:szCs w:val="48"/>
        </w:rPr>
        <w:t xml:space="preserve"> </w:t>
      </w:r>
      <w:r w:rsidRPr="00381F61">
        <w:rPr>
          <w:rFonts w:ascii="Garamond" w:hAnsi="Garamond" w:cs="MetaPlusBold-Roman"/>
          <w:bCs/>
          <w:szCs w:val="48"/>
        </w:rPr>
        <w:t>looked</w:t>
      </w:r>
      <w:r w:rsidR="00DF6328" w:rsidRPr="00381F61">
        <w:rPr>
          <w:rFonts w:ascii="Garamond" w:hAnsi="Garamond" w:cs="MetaPlusBold-Roman"/>
          <w:bCs/>
          <w:szCs w:val="48"/>
        </w:rPr>
        <w:t xml:space="preserve"> at the Australian equivalent numbers to SoFIE’s.  </w:t>
      </w:r>
      <w:r w:rsidR="0034746A" w:rsidRPr="00381F61">
        <w:rPr>
          <w:rFonts w:ascii="Garamond" w:hAnsi="Garamond"/>
          <w:bCs/>
        </w:rPr>
        <w:t xml:space="preserve">The </w:t>
      </w:r>
      <w:r w:rsidR="0034746A" w:rsidRPr="00381F61">
        <w:rPr>
          <w:rFonts w:ascii="Garamond" w:hAnsi="Garamond"/>
          <w:bCs/>
          <w:i/>
        </w:rPr>
        <w:t>PensionBriefing</w:t>
      </w:r>
      <w:r w:rsidR="0034746A" w:rsidRPr="00381F61">
        <w:rPr>
          <w:rFonts w:ascii="Garamond" w:hAnsi="Garamond"/>
          <w:bCs/>
        </w:rPr>
        <w:t xml:space="preserve"> used an analysis of the SoFIE 2006 data from a Motu report of “means and medians of assets and liabilities”</w:t>
      </w:r>
      <w:r w:rsidR="0034746A" w:rsidRPr="00381F61">
        <w:rPr>
          <w:rStyle w:val="FootnoteReference"/>
          <w:rFonts w:ascii="Garamond" w:hAnsi="Garamond"/>
          <w:bCs/>
        </w:rPr>
        <w:footnoteReference w:id="199"/>
      </w:r>
      <w:r w:rsidR="0034746A" w:rsidRPr="00381F61">
        <w:rPr>
          <w:rFonts w:ascii="Garamond" w:hAnsi="Garamond"/>
          <w:bCs/>
        </w:rPr>
        <w:t>.</w:t>
      </w:r>
      <w:r w:rsidR="0034746A" w:rsidRPr="00381F61">
        <w:rPr>
          <w:rFonts w:ascii="Garamond" w:hAnsi="Garamond"/>
          <w:b/>
          <w:bCs/>
        </w:rPr>
        <w:t xml:space="preserve"> </w:t>
      </w:r>
    </w:p>
    <w:p w14:paraId="7341EB15" w14:textId="77777777" w:rsidR="0034746A" w:rsidRPr="00381F61" w:rsidRDefault="0034746A" w:rsidP="00E71CEB">
      <w:pPr>
        <w:widowControl w:val="0"/>
        <w:autoSpaceDE w:val="0"/>
        <w:autoSpaceDN w:val="0"/>
        <w:adjustRightInd w:val="0"/>
        <w:jc w:val="both"/>
        <w:rPr>
          <w:rFonts w:ascii="Garamond" w:hAnsi="Garamond"/>
          <w:b/>
          <w:bCs/>
        </w:rPr>
      </w:pPr>
    </w:p>
    <w:p w14:paraId="5A7122F5" w14:textId="749A3C12" w:rsidR="00DF6328" w:rsidRPr="00381F61" w:rsidRDefault="00DF6328" w:rsidP="00E71CEB">
      <w:pPr>
        <w:widowControl w:val="0"/>
        <w:autoSpaceDE w:val="0"/>
        <w:autoSpaceDN w:val="0"/>
        <w:adjustRightInd w:val="0"/>
        <w:jc w:val="both"/>
        <w:rPr>
          <w:rFonts w:ascii="Garamond" w:hAnsi="Garamond" w:cs="MetaPlusBold-Roman"/>
          <w:bCs/>
          <w:szCs w:val="48"/>
        </w:rPr>
      </w:pPr>
      <w:r w:rsidRPr="00381F61">
        <w:rPr>
          <w:rFonts w:ascii="Garamond" w:hAnsi="Garamond" w:cs="MetaPlusBold-Roman"/>
          <w:bCs/>
          <w:szCs w:val="48"/>
        </w:rPr>
        <w:t>Superannuation assets are clearly greater in Australia as a proportion of household’s net assets but business and other assets in New Zealand are greater.  There are other differences</w:t>
      </w:r>
      <w:r w:rsidR="009152FD" w:rsidRPr="00381F61">
        <w:rPr>
          <w:rFonts w:ascii="Garamond" w:hAnsi="Garamond" w:cs="MetaPlusBold-Roman"/>
          <w:bCs/>
          <w:szCs w:val="48"/>
        </w:rPr>
        <w:t>,</w:t>
      </w:r>
      <w:r w:rsidRPr="00381F61">
        <w:rPr>
          <w:rFonts w:ascii="Garamond" w:hAnsi="Garamond" w:cs="MetaPlusBold-Roman"/>
          <w:bCs/>
          <w:szCs w:val="48"/>
        </w:rPr>
        <w:t xml:space="preserve"> but the overall similarities are striking.  Given the comparatively similar makeup of populations and institutions, compulsion aside, the </w:t>
      </w:r>
      <w:r w:rsidR="00CF46FA" w:rsidRPr="00381F61">
        <w:rPr>
          <w:rFonts w:ascii="Garamond" w:hAnsi="Garamond" w:cs="MetaPlusBold-Roman"/>
          <w:bCs/>
          <w:szCs w:val="48"/>
        </w:rPr>
        <w:t xml:space="preserve">overall </w:t>
      </w:r>
      <w:r w:rsidRPr="00381F61">
        <w:rPr>
          <w:rFonts w:ascii="Garamond" w:hAnsi="Garamond" w:cs="MetaPlusBold-Roman"/>
          <w:bCs/>
          <w:szCs w:val="48"/>
        </w:rPr>
        <w:t>similarities should probably be expected.</w:t>
      </w:r>
    </w:p>
    <w:p w14:paraId="095E757D" w14:textId="77777777" w:rsidR="00DF6328" w:rsidRPr="00381F61" w:rsidRDefault="00DF6328" w:rsidP="00E71CEB">
      <w:pPr>
        <w:pStyle w:val="Footer"/>
        <w:jc w:val="both"/>
        <w:rPr>
          <w:rFonts w:ascii="Garamond" w:hAnsi="Garamond"/>
          <w:bCs/>
        </w:rPr>
      </w:pPr>
    </w:p>
    <w:p w14:paraId="07CDFE0D" w14:textId="79670693" w:rsidR="00DF6328" w:rsidRPr="00381F61" w:rsidRDefault="00DF6328" w:rsidP="00E71CEB">
      <w:pPr>
        <w:pStyle w:val="Footer"/>
        <w:jc w:val="both"/>
        <w:rPr>
          <w:rFonts w:ascii="Garamond" w:hAnsi="Garamond"/>
          <w:bCs/>
        </w:rPr>
      </w:pPr>
      <w:r w:rsidRPr="00381F61">
        <w:rPr>
          <w:rFonts w:ascii="Garamond" w:hAnsi="Garamond"/>
          <w:bCs/>
        </w:rPr>
        <w:t xml:space="preserve">Comparisons of any kind between any two countries are problematic because of the very different environments.  For example, with respect to retirement saving and income issues, New Zealand has a universal </w:t>
      </w:r>
      <w:r w:rsidR="00EB699E" w:rsidRPr="00381F61">
        <w:rPr>
          <w:rFonts w:ascii="Garamond" w:hAnsi="Garamond"/>
          <w:bCs/>
        </w:rPr>
        <w:t xml:space="preserve">Tier 1 </w:t>
      </w:r>
      <w:r w:rsidRPr="00381F61">
        <w:rPr>
          <w:rFonts w:ascii="Garamond" w:hAnsi="Garamond"/>
          <w:bCs/>
        </w:rPr>
        <w:t xml:space="preserve">pension whereas Australia’s is both income- and asset-tested.  That affects the way Australians make saving decisions over and above those they are forced to make through the compulsory Tier 2 scheme.  If comparisons of </w:t>
      </w:r>
      <w:r w:rsidR="00985B51" w:rsidRPr="00381F61">
        <w:rPr>
          <w:rFonts w:ascii="Garamond" w:hAnsi="Garamond"/>
          <w:bCs/>
        </w:rPr>
        <w:t xml:space="preserve">retirement </w:t>
      </w:r>
      <w:r w:rsidRPr="00381F61">
        <w:rPr>
          <w:rFonts w:ascii="Garamond" w:hAnsi="Garamond"/>
          <w:bCs/>
        </w:rPr>
        <w:t xml:space="preserve">saving wealth were to be made, the net value of </w:t>
      </w:r>
      <w:r w:rsidR="00EB699E" w:rsidRPr="00381F61">
        <w:rPr>
          <w:rFonts w:ascii="Garamond" w:hAnsi="Garamond"/>
          <w:bCs/>
        </w:rPr>
        <w:t>s</w:t>
      </w:r>
      <w:r w:rsidRPr="00381F61">
        <w:rPr>
          <w:rFonts w:ascii="Garamond" w:hAnsi="Garamond"/>
          <w:bCs/>
        </w:rPr>
        <w:t xml:space="preserve">tate </w:t>
      </w:r>
      <w:r w:rsidR="00EB699E" w:rsidRPr="00381F61">
        <w:rPr>
          <w:rFonts w:ascii="Garamond" w:hAnsi="Garamond"/>
          <w:bCs/>
        </w:rPr>
        <w:t xml:space="preserve">Tier 1 </w:t>
      </w:r>
      <w:r w:rsidRPr="00381F61">
        <w:rPr>
          <w:rFonts w:ascii="Garamond" w:hAnsi="Garamond"/>
          <w:bCs/>
        </w:rPr>
        <w:t>entitlements would form an important part on both sides of the Tasman but more so for New Zealanders (relatively more generous pension; no income or asset tests).</w:t>
      </w:r>
    </w:p>
    <w:p w14:paraId="0497F0B3" w14:textId="77777777" w:rsidR="00DF6328" w:rsidRPr="00381F61" w:rsidRDefault="00DF6328" w:rsidP="00E71CEB">
      <w:pPr>
        <w:pStyle w:val="Footer"/>
        <w:jc w:val="both"/>
        <w:rPr>
          <w:rFonts w:ascii="Garamond" w:hAnsi="Garamond"/>
          <w:bCs/>
        </w:rPr>
      </w:pPr>
    </w:p>
    <w:p w14:paraId="53F9AA70" w14:textId="77777777" w:rsidR="00DF6328" w:rsidRPr="00381F61" w:rsidRDefault="00DF6328" w:rsidP="00E71CEB">
      <w:pPr>
        <w:pStyle w:val="Footer"/>
        <w:jc w:val="both"/>
        <w:rPr>
          <w:rFonts w:ascii="Garamond" w:hAnsi="Garamond"/>
          <w:bCs/>
        </w:rPr>
      </w:pPr>
      <w:r w:rsidRPr="00381F61">
        <w:rPr>
          <w:rFonts w:ascii="Garamond" w:hAnsi="Garamond"/>
          <w:bCs/>
        </w:rPr>
        <w:t>Even line-item comparisons of asset ownerships between HILDA and SoFIE are difficult because of different data classifications.  With those qualifications uppermost, there seem to be lessons from even a cautious comparison.</w:t>
      </w:r>
    </w:p>
    <w:p w14:paraId="267F8B66" w14:textId="77777777" w:rsidR="00DF6328" w:rsidRPr="00381F61" w:rsidRDefault="00DF6328" w:rsidP="00E71CEB">
      <w:pPr>
        <w:pStyle w:val="Footer"/>
        <w:jc w:val="both"/>
        <w:rPr>
          <w:rFonts w:ascii="Garamond" w:hAnsi="Garamond"/>
          <w:bCs/>
        </w:rPr>
      </w:pPr>
    </w:p>
    <w:p w14:paraId="0613A1D3" w14:textId="308EEEE8" w:rsidR="00DF6328" w:rsidRPr="00381F61" w:rsidRDefault="00276061" w:rsidP="00E71CEB">
      <w:pPr>
        <w:pStyle w:val="Footer"/>
        <w:jc w:val="both"/>
        <w:rPr>
          <w:rFonts w:ascii="Garamond" w:hAnsi="Garamond"/>
          <w:bCs/>
        </w:rPr>
      </w:pPr>
      <w:r w:rsidRPr="00381F61">
        <w:rPr>
          <w:rFonts w:ascii="Garamond" w:hAnsi="Garamond"/>
          <w:bCs/>
        </w:rPr>
        <w:t>A</w:t>
      </w:r>
      <w:r w:rsidR="003F2423" w:rsidRPr="00381F61">
        <w:rPr>
          <w:rFonts w:ascii="Garamond" w:hAnsi="Garamond"/>
          <w:bCs/>
        </w:rPr>
        <w:t xml:space="preserve">nalysing SoFIE itself proved problematic as it progressed through the different waves.  Some of the difficulties </w:t>
      </w:r>
      <w:r w:rsidR="00DF6328" w:rsidRPr="00381F61">
        <w:rPr>
          <w:rFonts w:ascii="Garamond" w:hAnsi="Garamond"/>
          <w:bCs/>
        </w:rPr>
        <w:t>were noted in the Treasury paper that first reported saving and wealth information from 2006</w:t>
      </w:r>
      <w:r w:rsidR="00997AB4" w:rsidRPr="00381F61">
        <w:rPr>
          <w:rStyle w:val="FootnoteReference"/>
          <w:rFonts w:ascii="Garamond" w:hAnsi="Garamond"/>
          <w:bCs/>
        </w:rPr>
        <w:footnoteReference w:id="200"/>
      </w:r>
      <w:r w:rsidR="00DF6328" w:rsidRPr="00381F61">
        <w:rPr>
          <w:rFonts w:ascii="Garamond" w:hAnsi="Garamond"/>
          <w:bCs/>
        </w:rPr>
        <w:t>.  Also, though both SoFIE and HILD</w:t>
      </w:r>
      <w:r w:rsidR="00997AB4" w:rsidRPr="00381F61">
        <w:rPr>
          <w:rFonts w:ascii="Garamond" w:hAnsi="Garamond"/>
          <w:bCs/>
        </w:rPr>
        <w:t>A are longitudinal studies, the RPRC’s</w:t>
      </w:r>
      <w:r w:rsidR="00DF6328" w:rsidRPr="00381F61">
        <w:rPr>
          <w:rFonts w:ascii="Garamond" w:hAnsi="Garamond"/>
          <w:bCs/>
        </w:rPr>
        <w:t xml:space="preserve"> </w:t>
      </w:r>
      <w:r w:rsidR="00997AB4" w:rsidRPr="00381F61">
        <w:rPr>
          <w:rFonts w:ascii="Garamond" w:hAnsi="Garamond"/>
          <w:bCs/>
        </w:rPr>
        <w:t xml:space="preserve">2010 </w:t>
      </w:r>
      <w:r w:rsidR="00DF6328" w:rsidRPr="00381F61">
        <w:rPr>
          <w:rFonts w:ascii="Garamond" w:hAnsi="Garamond"/>
          <w:bCs/>
          <w:i/>
        </w:rPr>
        <w:t>PensionBriefing</w:t>
      </w:r>
      <w:r w:rsidR="00ED3AC9" w:rsidRPr="00381F61">
        <w:rPr>
          <w:rFonts w:ascii="Garamond" w:hAnsi="Garamond"/>
          <w:bCs/>
          <w:i/>
        </w:rPr>
        <w:t xml:space="preserve"> 2010-5</w:t>
      </w:r>
      <w:r w:rsidR="00997AB4" w:rsidRPr="00381F61">
        <w:rPr>
          <w:rFonts w:ascii="Garamond" w:hAnsi="Garamond"/>
          <w:bCs/>
        </w:rPr>
        <w:t xml:space="preserve"> compared</w:t>
      </w:r>
      <w:r w:rsidR="00DF6328" w:rsidRPr="00381F61">
        <w:rPr>
          <w:rFonts w:ascii="Garamond" w:hAnsi="Garamond"/>
          <w:bCs/>
        </w:rPr>
        <w:t xml:space="preserve"> </w:t>
      </w:r>
      <w:r w:rsidR="00F111D1" w:rsidRPr="00381F61">
        <w:rPr>
          <w:rFonts w:ascii="Garamond" w:hAnsi="Garamond"/>
          <w:bCs/>
        </w:rPr>
        <w:t xml:space="preserve">just </w:t>
      </w:r>
      <w:r w:rsidR="00DF6328" w:rsidRPr="00381F61">
        <w:rPr>
          <w:rFonts w:ascii="Garamond" w:hAnsi="Garamond"/>
          <w:bCs/>
        </w:rPr>
        <w:t>two ‘snapshots’ – the assets and liabilities in both countries for just 2006.</w:t>
      </w:r>
    </w:p>
    <w:p w14:paraId="39A6F9F4" w14:textId="77777777" w:rsidR="00DF6328" w:rsidRPr="00381F61" w:rsidRDefault="00DF6328" w:rsidP="00E71CEB">
      <w:pPr>
        <w:jc w:val="both"/>
        <w:rPr>
          <w:rFonts w:ascii="Garamond" w:hAnsi="Garamond"/>
          <w:b/>
        </w:rPr>
      </w:pPr>
    </w:p>
    <w:p w14:paraId="6C4B9833" w14:textId="4F069535" w:rsidR="007A60DF" w:rsidRPr="00381F61" w:rsidRDefault="007A60DF" w:rsidP="00E71CEB">
      <w:pPr>
        <w:autoSpaceDE w:val="0"/>
        <w:autoSpaceDN w:val="0"/>
        <w:adjustRightInd w:val="0"/>
        <w:jc w:val="both"/>
        <w:rPr>
          <w:rFonts w:ascii="Garamond" w:hAnsi="Garamond" w:cs="Arial"/>
        </w:rPr>
      </w:pPr>
      <w:r w:rsidRPr="00381F61">
        <w:rPr>
          <w:rFonts w:ascii="Garamond" w:hAnsi="Garamond" w:cs="Arial"/>
        </w:rPr>
        <w:t>From a retirement saving perspective, what really matters is the net wealth of a retiree at ‘retirement’ and through the retirement period.  Aside from the primary residence</w:t>
      </w:r>
      <w:r w:rsidR="00A8479B" w:rsidRPr="00381F61">
        <w:rPr>
          <w:rStyle w:val="FootnoteReference"/>
          <w:rFonts w:ascii="Garamond" w:hAnsi="Garamond" w:cs="Arial"/>
        </w:rPr>
        <w:footnoteReference w:id="201"/>
      </w:r>
      <w:r w:rsidRPr="00381F61">
        <w:rPr>
          <w:rFonts w:ascii="Garamond" w:hAnsi="Garamond" w:cs="Arial"/>
        </w:rPr>
        <w:t>, contents and other ‘lifestyle’ assets (car, boat, etc), the ability to convert other assets to cash (along with state-provided incomes) will drive an individual’s standard of living in retirement</w:t>
      </w:r>
      <w:r w:rsidRPr="00381F61">
        <w:rPr>
          <w:rStyle w:val="FootnoteReference"/>
          <w:rFonts w:ascii="Garamond" w:hAnsi="Garamond" w:cs="Arial"/>
        </w:rPr>
        <w:footnoteReference w:id="202"/>
      </w:r>
      <w:r w:rsidRPr="00381F61">
        <w:rPr>
          <w:rFonts w:ascii="Garamond" w:hAnsi="Garamond" w:cs="Arial"/>
        </w:rPr>
        <w:t>.</w:t>
      </w:r>
    </w:p>
    <w:p w14:paraId="2B1AD563" w14:textId="77777777" w:rsidR="007A60DF" w:rsidRPr="00381F61" w:rsidRDefault="007A60DF" w:rsidP="00E71CEB">
      <w:pPr>
        <w:autoSpaceDE w:val="0"/>
        <w:autoSpaceDN w:val="0"/>
        <w:adjustRightInd w:val="0"/>
        <w:jc w:val="both"/>
        <w:rPr>
          <w:rFonts w:ascii="Garamond" w:hAnsi="Garamond" w:cs="Arial"/>
        </w:rPr>
      </w:pPr>
    </w:p>
    <w:p w14:paraId="07565947" w14:textId="7171E52B" w:rsidR="007A60DF" w:rsidRPr="00381F61" w:rsidRDefault="00E56E47" w:rsidP="00E71CEB">
      <w:pPr>
        <w:autoSpaceDE w:val="0"/>
        <w:autoSpaceDN w:val="0"/>
        <w:adjustRightInd w:val="0"/>
        <w:jc w:val="both"/>
        <w:rPr>
          <w:rFonts w:ascii="Garamond" w:hAnsi="Garamond" w:cs="Arial"/>
        </w:rPr>
      </w:pPr>
      <w:r w:rsidRPr="00381F61">
        <w:rPr>
          <w:rFonts w:ascii="Garamond" w:hAnsi="Garamond" w:cs="Arial"/>
        </w:rPr>
        <w:t xml:space="preserve">The </w:t>
      </w:r>
      <w:r w:rsidR="003325B6" w:rsidRPr="00381F61">
        <w:rPr>
          <w:rFonts w:ascii="Garamond" w:hAnsi="Garamond" w:cs="Arial"/>
        </w:rPr>
        <w:t>RP</w:t>
      </w:r>
      <w:r w:rsidR="00997AB4" w:rsidRPr="00381F61">
        <w:rPr>
          <w:rFonts w:ascii="Garamond" w:hAnsi="Garamond" w:cs="Arial"/>
        </w:rPr>
        <w:t xml:space="preserve">RC’s </w:t>
      </w:r>
      <w:r w:rsidR="00997AB4" w:rsidRPr="00381F61">
        <w:rPr>
          <w:rFonts w:ascii="Garamond" w:hAnsi="Garamond" w:cs="Arial"/>
          <w:i/>
        </w:rPr>
        <w:t>PensionBriefing</w:t>
      </w:r>
      <w:r w:rsidR="00ED3AC9" w:rsidRPr="00381F61">
        <w:rPr>
          <w:rFonts w:ascii="Garamond" w:hAnsi="Garamond" w:cs="Arial"/>
          <w:i/>
        </w:rPr>
        <w:t xml:space="preserve"> 2010-5</w:t>
      </w:r>
      <w:r w:rsidR="00997AB4" w:rsidRPr="00381F61">
        <w:rPr>
          <w:rFonts w:ascii="Garamond" w:hAnsi="Garamond" w:cs="Arial"/>
          <w:i/>
        </w:rPr>
        <w:t xml:space="preserve"> </w:t>
      </w:r>
      <w:r w:rsidR="00997AB4" w:rsidRPr="00381F61">
        <w:rPr>
          <w:rFonts w:ascii="Garamond" w:hAnsi="Garamond" w:cs="Arial"/>
        </w:rPr>
        <w:t xml:space="preserve">analysed </w:t>
      </w:r>
      <w:r w:rsidR="007A60DF" w:rsidRPr="00381F61">
        <w:rPr>
          <w:rFonts w:ascii="Garamond" w:hAnsi="Garamond" w:cs="Arial"/>
        </w:rPr>
        <w:t xml:space="preserve">the broad split in each country (in 2006) of </w:t>
      </w:r>
      <w:r w:rsidR="003D0C13" w:rsidRPr="00381F61">
        <w:rPr>
          <w:rFonts w:ascii="Garamond" w:hAnsi="Garamond" w:cs="Arial"/>
        </w:rPr>
        <w:t xml:space="preserve">all </w:t>
      </w:r>
      <w:r w:rsidR="007A60DF" w:rsidRPr="00381F61">
        <w:rPr>
          <w:rFonts w:ascii="Garamond" w:hAnsi="Garamond" w:cs="Arial"/>
        </w:rPr>
        <w:t xml:space="preserve">the assets that might be available to support </w:t>
      </w:r>
      <w:r w:rsidR="00520ED3" w:rsidRPr="00381F61">
        <w:rPr>
          <w:rFonts w:ascii="Garamond" w:hAnsi="Garamond" w:cs="Arial"/>
        </w:rPr>
        <w:t xml:space="preserve">all </w:t>
      </w:r>
      <w:r w:rsidR="007A60DF" w:rsidRPr="00381F61">
        <w:rPr>
          <w:rFonts w:ascii="Garamond" w:hAnsi="Garamond" w:cs="Arial"/>
        </w:rPr>
        <w:t>respondents’ retirement income needs, if retirement had occurred in 2006.</w:t>
      </w:r>
    </w:p>
    <w:p w14:paraId="10663A48" w14:textId="77777777" w:rsidR="007A60DF" w:rsidRPr="00381F61" w:rsidRDefault="007A60DF" w:rsidP="00E71CEB">
      <w:pPr>
        <w:autoSpaceDE w:val="0"/>
        <w:autoSpaceDN w:val="0"/>
        <w:adjustRightInd w:val="0"/>
        <w:jc w:val="both"/>
        <w:rPr>
          <w:rFonts w:ascii="Garamond" w:hAnsi="Garamond" w:cs="Arial"/>
        </w:rPr>
      </w:pPr>
    </w:p>
    <w:p w14:paraId="3CD68B70" w14:textId="77777777" w:rsidR="007A60DF" w:rsidRPr="00381F61" w:rsidRDefault="007A60DF" w:rsidP="00E71CEB">
      <w:pPr>
        <w:autoSpaceDE w:val="0"/>
        <w:autoSpaceDN w:val="0"/>
        <w:adjustRightInd w:val="0"/>
        <w:jc w:val="both"/>
        <w:rPr>
          <w:rFonts w:ascii="Garamond" w:hAnsi="Garamond" w:cs="Arial"/>
        </w:rPr>
      </w:pPr>
      <w:r w:rsidRPr="00381F61">
        <w:rPr>
          <w:rFonts w:ascii="Garamond" w:hAnsi="Garamond" w:cs="Arial"/>
        </w:rPr>
        <w:t>In 2006, those totals were:</w:t>
      </w:r>
    </w:p>
    <w:p w14:paraId="0DB012C5" w14:textId="77777777" w:rsidR="007A60DF" w:rsidRPr="00381F61" w:rsidRDefault="007A60DF" w:rsidP="00E71CEB">
      <w:pPr>
        <w:autoSpaceDE w:val="0"/>
        <w:autoSpaceDN w:val="0"/>
        <w:adjustRightInd w:val="0"/>
        <w:jc w:val="both"/>
        <w:rPr>
          <w:rFonts w:ascii="Garamond" w:hAnsi="Garamond" w:cs="Arial"/>
          <w:sz w:val="8"/>
        </w:rPr>
      </w:pPr>
    </w:p>
    <w:p w14:paraId="36CCC331" w14:textId="77777777" w:rsidR="007A60DF" w:rsidRPr="00381F61" w:rsidRDefault="007A60DF" w:rsidP="00E71CEB">
      <w:pPr>
        <w:autoSpaceDE w:val="0"/>
        <w:autoSpaceDN w:val="0"/>
        <w:adjustRightInd w:val="0"/>
        <w:ind w:left="567"/>
        <w:jc w:val="both"/>
        <w:rPr>
          <w:rFonts w:ascii="Garamond" w:hAnsi="Garamond" w:cs="Arial"/>
        </w:rPr>
      </w:pPr>
      <w:r w:rsidRPr="00381F61">
        <w:rPr>
          <w:rFonts w:ascii="Garamond" w:hAnsi="Garamond" w:cs="Arial"/>
        </w:rPr>
        <w:t>- Australia:</w:t>
      </w:r>
      <w:r w:rsidRPr="00381F61">
        <w:rPr>
          <w:rFonts w:ascii="Garamond" w:hAnsi="Garamond" w:cs="Arial"/>
        </w:rPr>
        <w:tab/>
        <w:t>50.5% of total net assets;</w:t>
      </w:r>
    </w:p>
    <w:p w14:paraId="68690E68" w14:textId="77777777" w:rsidR="007A60DF" w:rsidRPr="00381F61" w:rsidRDefault="007A60DF" w:rsidP="00E71CEB">
      <w:pPr>
        <w:autoSpaceDE w:val="0"/>
        <w:autoSpaceDN w:val="0"/>
        <w:adjustRightInd w:val="0"/>
        <w:ind w:left="567"/>
        <w:jc w:val="both"/>
        <w:rPr>
          <w:rFonts w:ascii="Garamond" w:hAnsi="Garamond" w:cs="Arial"/>
          <w:sz w:val="8"/>
        </w:rPr>
      </w:pPr>
    </w:p>
    <w:p w14:paraId="215AA34B" w14:textId="77777777" w:rsidR="007A60DF" w:rsidRPr="00381F61" w:rsidRDefault="007A60DF" w:rsidP="00E71CEB">
      <w:pPr>
        <w:autoSpaceDE w:val="0"/>
        <w:autoSpaceDN w:val="0"/>
        <w:adjustRightInd w:val="0"/>
        <w:ind w:left="567"/>
        <w:jc w:val="both"/>
        <w:rPr>
          <w:rFonts w:ascii="Garamond" w:hAnsi="Garamond" w:cs="Arial"/>
        </w:rPr>
      </w:pPr>
      <w:r w:rsidRPr="00381F61">
        <w:rPr>
          <w:rFonts w:ascii="Garamond" w:hAnsi="Garamond" w:cs="Arial"/>
        </w:rPr>
        <w:t>- New Zealand:</w:t>
      </w:r>
      <w:r w:rsidRPr="00381F61">
        <w:rPr>
          <w:rFonts w:ascii="Garamond" w:hAnsi="Garamond" w:cs="Arial"/>
        </w:rPr>
        <w:tab/>
        <w:t>49.4% of total net assets.</w:t>
      </w:r>
    </w:p>
    <w:p w14:paraId="2D374339" w14:textId="77777777" w:rsidR="007A60DF" w:rsidRPr="00381F61" w:rsidRDefault="007A60DF" w:rsidP="00E71CEB">
      <w:pPr>
        <w:autoSpaceDE w:val="0"/>
        <w:autoSpaceDN w:val="0"/>
        <w:adjustRightInd w:val="0"/>
        <w:jc w:val="both"/>
        <w:rPr>
          <w:rFonts w:ascii="Garamond" w:hAnsi="Garamond"/>
          <w:szCs w:val="22"/>
        </w:rPr>
      </w:pPr>
    </w:p>
    <w:p w14:paraId="3C1AA66B" w14:textId="075CD2BE" w:rsidR="007A60DF" w:rsidRPr="00381F61" w:rsidRDefault="007A60DF" w:rsidP="00E71CEB">
      <w:pPr>
        <w:autoSpaceDE w:val="0"/>
        <w:autoSpaceDN w:val="0"/>
        <w:adjustRightInd w:val="0"/>
        <w:jc w:val="both"/>
        <w:rPr>
          <w:rFonts w:ascii="Garamond" w:hAnsi="Garamond"/>
        </w:rPr>
      </w:pPr>
      <w:r w:rsidRPr="00381F61">
        <w:rPr>
          <w:rFonts w:ascii="Garamond" w:hAnsi="Garamond"/>
        </w:rPr>
        <w:t>The New Zealand number is underst</w:t>
      </w:r>
      <w:r w:rsidR="003325B6" w:rsidRPr="00381F61">
        <w:rPr>
          <w:rFonts w:ascii="Garamond" w:hAnsi="Garamond"/>
        </w:rPr>
        <w:t xml:space="preserve">ated because </w:t>
      </w:r>
      <w:r w:rsidR="00F52956" w:rsidRPr="00381F61">
        <w:rPr>
          <w:rFonts w:ascii="Garamond" w:hAnsi="Garamond"/>
        </w:rPr>
        <w:t xml:space="preserve">private </w:t>
      </w:r>
      <w:r w:rsidR="003325B6" w:rsidRPr="00381F61">
        <w:rPr>
          <w:rFonts w:ascii="Garamond" w:hAnsi="Garamond"/>
        </w:rPr>
        <w:t>superannuation wa</w:t>
      </w:r>
      <w:r w:rsidRPr="00381F61">
        <w:rPr>
          <w:rFonts w:ascii="Garamond" w:hAnsi="Garamond"/>
        </w:rPr>
        <w:t>s under-reported</w:t>
      </w:r>
      <w:r w:rsidR="00A23B12" w:rsidRPr="00381F61">
        <w:rPr>
          <w:rFonts w:ascii="Garamond" w:hAnsi="Garamond"/>
        </w:rPr>
        <w:t xml:space="preserve"> (an error i</w:t>
      </w:r>
      <w:r w:rsidR="003114D8" w:rsidRPr="00381F61">
        <w:rPr>
          <w:rFonts w:ascii="Garamond" w:hAnsi="Garamond"/>
        </w:rPr>
        <w:t>n</w:t>
      </w:r>
      <w:r w:rsidR="00A23B12" w:rsidRPr="00381F61">
        <w:rPr>
          <w:rFonts w:ascii="Garamond" w:hAnsi="Garamond"/>
        </w:rPr>
        <w:t xml:space="preserve"> data collection/specification)</w:t>
      </w:r>
      <w:r w:rsidRPr="00381F61">
        <w:rPr>
          <w:rFonts w:ascii="Garamond" w:hAnsi="Garamond"/>
        </w:rPr>
        <w:t>,</w:t>
      </w:r>
      <w:r w:rsidR="00A23B12" w:rsidRPr="00381F61">
        <w:rPr>
          <w:rFonts w:ascii="Garamond" w:hAnsi="Garamond"/>
        </w:rPr>
        <w:t xml:space="preserve"> while family trusts’ holdings, </w:t>
      </w:r>
      <w:r w:rsidRPr="00381F61">
        <w:rPr>
          <w:rFonts w:ascii="Garamond" w:hAnsi="Garamond"/>
        </w:rPr>
        <w:t>except to the extent there is debt owe</w:t>
      </w:r>
      <w:r w:rsidR="00A23B12" w:rsidRPr="00381F61">
        <w:rPr>
          <w:rFonts w:ascii="Garamond" w:hAnsi="Garamond"/>
        </w:rPr>
        <w:t>d by the household to the trust,</w:t>
      </w:r>
      <w:r w:rsidRPr="00381F61">
        <w:rPr>
          <w:rFonts w:ascii="Garamond" w:hAnsi="Garamond"/>
        </w:rPr>
        <w:t xml:space="preserve"> and Maori assets </w:t>
      </w:r>
      <w:r w:rsidR="003325B6" w:rsidRPr="00381F61">
        <w:rPr>
          <w:rFonts w:ascii="Garamond" w:hAnsi="Garamond"/>
        </w:rPr>
        <w:t>were</w:t>
      </w:r>
      <w:r w:rsidRPr="00381F61">
        <w:rPr>
          <w:rFonts w:ascii="Garamond" w:hAnsi="Garamond"/>
        </w:rPr>
        <w:t xml:space="preserve"> both ignored.  The split also takes no account of the relative differences in the two state pensions.  From a total retirement income perspective, New Zealand retirees need relatively lower amounts of private ‘retirement assets’ than Australians for a given target retirement income.</w:t>
      </w:r>
    </w:p>
    <w:p w14:paraId="656F2000" w14:textId="77777777" w:rsidR="007A60DF" w:rsidRPr="00381F61" w:rsidRDefault="007A60DF" w:rsidP="00E71CEB">
      <w:pPr>
        <w:autoSpaceDE w:val="0"/>
        <w:autoSpaceDN w:val="0"/>
        <w:adjustRightInd w:val="0"/>
        <w:jc w:val="both"/>
        <w:rPr>
          <w:rFonts w:ascii="Garamond" w:hAnsi="Garamond"/>
          <w:szCs w:val="22"/>
        </w:rPr>
      </w:pPr>
    </w:p>
    <w:p w14:paraId="1EA223D7" w14:textId="112F3811" w:rsidR="002929C4" w:rsidRPr="00381F61" w:rsidRDefault="007A60DF" w:rsidP="00E71CEB">
      <w:pPr>
        <w:autoSpaceDE w:val="0"/>
        <w:autoSpaceDN w:val="0"/>
        <w:adjustRightInd w:val="0"/>
        <w:jc w:val="both"/>
        <w:rPr>
          <w:rFonts w:ascii="Garamond" w:hAnsi="Garamond"/>
          <w:szCs w:val="22"/>
        </w:rPr>
      </w:pPr>
      <w:r w:rsidRPr="00381F61">
        <w:rPr>
          <w:rFonts w:ascii="Garamond" w:hAnsi="Garamond"/>
          <w:szCs w:val="22"/>
        </w:rPr>
        <w:t>With those qualifications, as at 2006 (before KiwiSaver started in 2007), the relative similar</w:t>
      </w:r>
      <w:r w:rsidR="003325B6" w:rsidRPr="00381F61">
        <w:rPr>
          <w:rFonts w:ascii="Garamond" w:hAnsi="Garamond"/>
          <w:szCs w:val="22"/>
        </w:rPr>
        <w:t>ity of the two overall numbers wa</w:t>
      </w:r>
      <w:r w:rsidRPr="00381F61">
        <w:rPr>
          <w:rFonts w:ascii="Garamond" w:hAnsi="Garamond"/>
          <w:szCs w:val="22"/>
        </w:rPr>
        <w:t>s notable.  Between 1987</w:t>
      </w:r>
      <w:r w:rsidRPr="00381F61">
        <w:rPr>
          <w:rStyle w:val="FootnoteReference"/>
          <w:rFonts w:ascii="Garamond" w:hAnsi="Garamond"/>
          <w:szCs w:val="22"/>
        </w:rPr>
        <w:footnoteReference w:id="203"/>
      </w:r>
      <w:r w:rsidRPr="00381F61">
        <w:rPr>
          <w:rFonts w:ascii="Garamond" w:hAnsi="Garamond"/>
          <w:szCs w:val="22"/>
        </w:rPr>
        <w:t xml:space="preserve"> and 2006, public policy in New Zealand on </w:t>
      </w:r>
      <w:r w:rsidR="00482586" w:rsidRPr="00381F61">
        <w:rPr>
          <w:rFonts w:ascii="Garamond" w:hAnsi="Garamond"/>
          <w:szCs w:val="22"/>
        </w:rPr>
        <w:t>pri</w:t>
      </w:r>
      <w:r w:rsidR="002929C4" w:rsidRPr="00381F61">
        <w:rPr>
          <w:rFonts w:ascii="Garamond" w:hAnsi="Garamond"/>
          <w:szCs w:val="22"/>
        </w:rPr>
        <w:t>vate provision for retirement</w:t>
      </w:r>
      <w:r w:rsidR="00482586" w:rsidRPr="00381F61">
        <w:rPr>
          <w:rFonts w:ascii="Garamond" w:hAnsi="Garamond"/>
          <w:szCs w:val="22"/>
        </w:rPr>
        <w:t xml:space="preserve"> </w:t>
      </w:r>
      <w:r w:rsidRPr="00381F61">
        <w:rPr>
          <w:rFonts w:ascii="Garamond" w:hAnsi="Garamond"/>
          <w:szCs w:val="22"/>
        </w:rPr>
        <w:t xml:space="preserve">was almost completely ‘hands-off’ (no compulsion or tax incentives of any significance).  The public policy contrast with Australia could not have been more marked and yet the outcomes, at least as a proportion of the total net assets of all respondents, </w:t>
      </w:r>
      <w:r w:rsidR="003325B6" w:rsidRPr="00381F61">
        <w:rPr>
          <w:rFonts w:ascii="Garamond" w:hAnsi="Garamond"/>
          <w:szCs w:val="22"/>
        </w:rPr>
        <w:t>were</w:t>
      </w:r>
      <w:r w:rsidRPr="00381F61">
        <w:rPr>
          <w:rFonts w:ascii="Garamond" w:hAnsi="Garamond"/>
          <w:szCs w:val="22"/>
        </w:rPr>
        <w:t xml:space="preserve"> relatively similar after about 15 years of consistent public policy (to 2006) in each country.</w:t>
      </w:r>
    </w:p>
    <w:p w14:paraId="0671DDAA" w14:textId="77777777" w:rsidR="002929C4" w:rsidRPr="00381F61" w:rsidRDefault="002929C4" w:rsidP="00E71CEB">
      <w:pPr>
        <w:autoSpaceDE w:val="0"/>
        <w:autoSpaceDN w:val="0"/>
        <w:adjustRightInd w:val="0"/>
        <w:jc w:val="both"/>
        <w:rPr>
          <w:rFonts w:ascii="Garamond" w:hAnsi="Garamond"/>
          <w:szCs w:val="22"/>
        </w:rPr>
      </w:pPr>
    </w:p>
    <w:p w14:paraId="732B84A0" w14:textId="55C52FB8" w:rsidR="007A60DF" w:rsidRPr="00381F61" w:rsidRDefault="002929C4" w:rsidP="00E71CEB">
      <w:pPr>
        <w:autoSpaceDE w:val="0"/>
        <w:autoSpaceDN w:val="0"/>
        <w:adjustRightInd w:val="0"/>
        <w:jc w:val="both"/>
        <w:rPr>
          <w:rFonts w:ascii="Garamond" w:hAnsi="Garamond"/>
          <w:szCs w:val="22"/>
        </w:rPr>
      </w:pPr>
      <w:r w:rsidRPr="00381F61">
        <w:rPr>
          <w:rFonts w:ascii="Garamond" w:hAnsi="Garamond"/>
          <w:szCs w:val="22"/>
        </w:rPr>
        <w:t>Australians and New Zealanders</w:t>
      </w:r>
      <w:r w:rsidR="0086696D" w:rsidRPr="00381F61">
        <w:rPr>
          <w:rFonts w:ascii="Garamond" w:hAnsi="Garamond"/>
          <w:szCs w:val="22"/>
        </w:rPr>
        <w:t xml:space="preserve"> had, as a whole, come to relatively similar decisions about the net amounts they had to put aside for retirement</w:t>
      </w:r>
      <w:r w:rsidR="00836A56" w:rsidRPr="00381F61">
        <w:rPr>
          <w:rFonts w:ascii="Garamond" w:hAnsi="Garamond"/>
          <w:szCs w:val="22"/>
        </w:rPr>
        <w:t>, after making allowances for the impact of state interventions in that particular saving project</w:t>
      </w:r>
      <w:r w:rsidR="0086696D" w:rsidRPr="00381F61">
        <w:rPr>
          <w:rFonts w:ascii="Garamond" w:hAnsi="Garamond"/>
          <w:szCs w:val="22"/>
        </w:rPr>
        <w:t>.</w:t>
      </w:r>
    </w:p>
    <w:p w14:paraId="678BEC27" w14:textId="77777777" w:rsidR="007A60DF" w:rsidRPr="00381F61" w:rsidRDefault="007A60DF" w:rsidP="00E71CEB">
      <w:pPr>
        <w:autoSpaceDE w:val="0"/>
        <w:autoSpaceDN w:val="0"/>
        <w:adjustRightInd w:val="0"/>
        <w:jc w:val="both"/>
        <w:rPr>
          <w:rFonts w:ascii="Garamond" w:hAnsi="Garamond"/>
          <w:szCs w:val="22"/>
        </w:rPr>
      </w:pPr>
    </w:p>
    <w:p w14:paraId="64ECD245" w14:textId="42A1AE1B" w:rsidR="007A60DF" w:rsidRPr="00381F61" w:rsidRDefault="003325B6" w:rsidP="00E71CEB">
      <w:pPr>
        <w:jc w:val="both"/>
        <w:rPr>
          <w:rFonts w:ascii="Garamond" w:hAnsi="Garamond"/>
        </w:rPr>
      </w:pPr>
      <w:r w:rsidRPr="00381F61">
        <w:rPr>
          <w:rFonts w:ascii="Garamond" w:hAnsi="Garamond"/>
        </w:rPr>
        <w:t>Another</w:t>
      </w:r>
      <w:r w:rsidR="00520ED3" w:rsidRPr="00381F61">
        <w:rPr>
          <w:rFonts w:ascii="Garamond" w:hAnsi="Garamond"/>
        </w:rPr>
        <w:t>,</w:t>
      </w:r>
      <w:r w:rsidRPr="00381F61">
        <w:rPr>
          <w:rFonts w:ascii="Garamond" w:hAnsi="Garamond"/>
        </w:rPr>
        <w:t xml:space="preserve"> </w:t>
      </w:r>
      <w:r w:rsidR="00AD0F10" w:rsidRPr="00381F61">
        <w:rPr>
          <w:rFonts w:ascii="Garamond" w:hAnsi="Garamond"/>
        </w:rPr>
        <w:t>more detailed</w:t>
      </w:r>
      <w:r w:rsidR="00520ED3" w:rsidRPr="00381F61">
        <w:rPr>
          <w:rFonts w:ascii="Garamond" w:hAnsi="Garamond"/>
        </w:rPr>
        <w:t>,</w:t>
      </w:r>
      <w:r w:rsidR="00AD0F10" w:rsidRPr="00381F61">
        <w:rPr>
          <w:rFonts w:ascii="Garamond" w:hAnsi="Garamond"/>
        </w:rPr>
        <w:t xml:space="preserve"> </w:t>
      </w:r>
      <w:r w:rsidRPr="00381F61">
        <w:rPr>
          <w:rFonts w:ascii="Garamond" w:hAnsi="Garamond"/>
        </w:rPr>
        <w:t>two-country comparison</w:t>
      </w:r>
      <w:r w:rsidR="002D61E3" w:rsidRPr="00381F61">
        <w:rPr>
          <w:rFonts w:ascii="Garamond" w:hAnsi="Garamond"/>
        </w:rPr>
        <w:t xml:space="preserve"> </w:t>
      </w:r>
      <w:r w:rsidR="00BE1888" w:rsidRPr="00381F61">
        <w:rPr>
          <w:rFonts w:ascii="Garamond" w:hAnsi="Garamond"/>
        </w:rPr>
        <w:t xml:space="preserve">(Australia and Germany) </w:t>
      </w:r>
      <w:r w:rsidR="002D61E3" w:rsidRPr="00381F61">
        <w:rPr>
          <w:rFonts w:ascii="Garamond" w:hAnsi="Garamond"/>
        </w:rPr>
        <w:t xml:space="preserve">came to similar overall conclusions. </w:t>
      </w:r>
      <w:r w:rsidRPr="00381F61">
        <w:rPr>
          <w:rFonts w:ascii="Garamond" w:hAnsi="Garamond"/>
        </w:rPr>
        <w:t xml:space="preserve"> </w:t>
      </w:r>
      <w:r w:rsidR="002D61E3" w:rsidRPr="00381F61">
        <w:rPr>
          <w:rFonts w:ascii="Garamond" w:hAnsi="Garamond"/>
        </w:rPr>
        <w:t xml:space="preserve">In </w:t>
      </w:r>
      <w:r w:rsidR="002D61E3" w:rsidRPr="00381F61">
        <w:rPr>
          <w:rFonts w:ascii="Garamond" w:hAnsi="Garamond"/>
          <w:i/>
        </w:rPr>
        <w:t xml:space="preserve">Living Standards in Retirement: Accepted International Comparisons are Misleading </w:t>
      </w:r>
      <w:r w:rsidR="002D61E3" w:rsidRPr="00381F61">
        <w:rPr>
          <w:rFonts w:ascii="Garamond" w:hAnsi="Garamond"/>
        </w:rPr>
        <w:t xml:space="preserve">(2011), Melbourne Institute, (accessible </w:t>
      </w:r>
      <w:hyperlink r:id="rId54" w:history="1">
        <w:r w:rsidR="002D61E3" w:rsidRPr="00381F61">
          <w:rPr>
            <w:rStyle w:val="Hyperlink"/>
            <w:rFonts w:ascii="Garamond" w:hAnsi="Garamond"/>
          </w:rPr>
          <w:t>here</w:t>
        </w:r>
      </w:hyperlink>
      <w:r w:rsidR="002D61E3" w:rsidRPr="00381F61">
        <w:rPr>
          <w:rFonts w:ascii="Garamond" w:hAnsi="Garamond"/>
        </w:rPr>
        <w:t>) Joachim Frick and Bruce Headey</w:t>
      </w:r>
      <w:r w:rsidR="005E0F8C" w:rsidRPr="00381F61">
        <w:rPr>
          <w:rFonts w:ascii="Garamond" w:hAnsi="Garamond"/>
        </w:rPr>
        <w:t>’s</w:t>
      </w:r>
      <w:r w:rsidR="002D61E3" w:rsidRPr="00381F61">
        <w:rPr>
          <w:rFonts w:ascii="Garamond" w:hAnsi="Garamond"/>
        </w:rPr>
        <w:t xml:space="preserve"> conclu</w:t>
      </w:r>
      <w:r w:rsidR="005E0F8C" w:rsidRPr="00381F61">
        <w:rPr>
          <w:rFonts w:ascii="Garamond" w:hAnsi="Garamond"/>
        </w:rPr>
        <w:t>sion was</w:t>
      </w:r>
      <w:r w:rsidR="002D61E3" w:rsidRPr="00381F61">
        <w:rPr>
          <w:rFonts w:ascii="Garamond" w:hAnsi="Garamond"/>
        </w:rPr>
        <w:t xml:space="preserve"> that</w:t>
      </w:r>
      <w:r w:rsidR="005E0F8C" w:rsidRPr="00381F61">
        <w:rPr>
          <w:rFonts w:ascii="Garamond" w:hAnsi="Garamond"/>
        </w:rPr>
        <w:t>:</w:t>
      </w:r>
      <w:r w:rsidR="002D61E3" w:rsidRPr="00381F61">
        <w:rPr>
          <w:rFonts w:ascii="Garamond" w:hAnsi="Garamond"/>
        </w:rPr>
        <w:t xml:space="preserve"> </w:t>
      </w:r>
    </w:p>
    <w:p w14:paraId="648418D8" w14:textId="77777777" w:rsidR="0079646E" w:rsidRPr="00381F61" w:rsidRDefault="0079646E" w:rsidP="00E71CEB">
      <w:pPr>
        <w:jc w:val="both"/>
        <w:rPr>
          <w:rFonts w:ascii="Garamond" w:hAnsi="Garamond"/>
          <w:sz w:val="8"/>
          <w:szCs w:val="8"/>
        </w:rPr>
      </w:pPr>
    </w:p>
    <w:p w14:paraId="156AA6B7" w14:textId="32B609C7" w:rsidR="0079646E" w:rsidRPr="00381F61" w:rsidRDefault="0079646E" w:rsidP="00E71CEB">
      <w:pPr>
        <w:ind w:left="426"/>
        <w:jc w:val="both"/>
        <w:rPr>
          <w:rFonts w:ascii="Garamond" w:hAnsi="Garamond"/>
          <w:sz w:val="22"/>
          <w:szCs w:val="22"/>
        </w:rPr>
      </w:pPr>
      <w:r w:rsidRPr="00381F61">
        <w:rPr>
          <w:rFonts w:ascii="Garamond" w:hAnsi="Garamond"/>
          <w:sz w:val="22"/>
          <w:szCs w:val="22"/>
        </w:rPr>
        <w:t xml:space="preserve">“We re-estimate the living standards of retirees in the two countries, following an approach developed by Gruber and Wise... This involves estimating the future lifetime income flows of retirees and integrating these estimates into more conventional ‘stock’ measures of wealth.  Also included are estimates of future income-in-kind, notably homeowner imputed rents.  The revised ‘present value’ estimates of wealth – ‘comprehensive retirement asset measures’ (CREAM) - suggest that Australian and German retirees are likely to have approximately the same living standards (mean and median), with much the same distribution (Gini). </w:t>
      </w:r>
    </w:p>
    <w:p w14:paraId="3ABA0E34" w14:textId="77777777" w:rsidR="0079646E" w:rsidRPr="00381F61" w:rsidRDefault="0079646E" w:rsidP="00E71CEB">
      <w:pPr>
        <w:jc w:val="both"/>
        <w:rPr>
          <w:rFonts w:ascii="Garamond" w:hAnsi="Garamond"/>
          <w:sz w:val="22"/>
          <w:szCs w:val="22"/>
        </w:rPr>
      </w:pPr>
    </w:p>
    <w:p w14:paraId="0BE4977C" w14:textId="77777777" w:rsidR="0079646E" w:rsidRPr="00381F61" w:rsidRDefault="0079646E" w:rsidP="00E71CEB">
      <w:pPr>
        <w:jc w:val="both"/>
        <w:rPr>
          <w:rFonts w:ascii="Garamond" w:hAnsi="Garamond"/>
        </w:rPr>
      </w:pPr>
      <w:r w:rsidRPr="00381F61">
        <w:rPr>
          <w:rFonts w:ascii="Garamond" w:hAnsi="Garamond"/>
        </w:rPr>
        <w:t xml:space="preserve">They observed that “[a]fter many gyrations, our final estimate is that Australian and German retirees have almost exactly the same standard of living [in retirement].”  </w:t>
      </w:r>
    </w:p>
    <w:p w14:paraId="5B9F8ECF" w14:textId="77777777" w:rsidR="0079646E" w:rsidRPr="00381F61" w:rsidRDefault="0079646E" w:rsidP="00E71CEB">
      <w:pPr>
        <w:jc w:val="both"/>
        <w:rPr>
          <w:rFonts w:ascii="Garamond" w:hAnsi="Garamond"/>
        </w:rPr>
      </w:pPr>
    </w:p>
    <w:p w14:paraId="53B05E37" w14:textId="446317B4" w:rsidR="00AD0F10" w:rsidRPr="00381F61" w:rsidRDefault="0079646E" w:rsidP="00E71CEB">
      <w:pPr>
        <w:jc w:val="both"/>
        <w:rPr>
          <w:rFonts w:ascii="Garamond" w:hAnsi="Garamond"/>
        </w:rPr>
      </w:pPr>
      <w:r w:rsidRPr="00381F61">
        <w:rPr>
          <w:rFonts w:ascii="Garamond" w:hAnsi="Garamond"/>
        </w:rPr>
        <w:t>The differences in public policy settings between Germany and Australia could</w:t>
      </w:r>
      <w:r w:rsidR="0086696D" w:rsidRPr="00381F61">
        <w:rPr>
          <w:rFonts w:ascii="Garamond" w:hAnsi="Garamond"/>
        </w:rPr>
        <w:t xml:space="preserve"> not be more marked but, again</w:t>
      </w:r>
      <w:r w:rsidR="00B53079" w:rsidRPr="00381F61">
        <w:rPr>
          <w:rFonts w:ascii="Garamond" w:hAnsi="Garamond"/>
        </w:rPr>
        <w:t xml:space="preserve"> as with the New Zealand comparison</w:t>
      </w:r>
      <w:r w:rsidR="0086696D" w:rsidRPr="00381F61">
        <w:rPr>
          <w:rFonts w:ascii="Garamond" w:hAnsi="Garamond"/>
        </w:rPr>
        <w:t xml:space="preserve">, citizens had come to relatively </w:t>
      </w:r>
      <w:r w:rsidR="00E27D20" w:rsidRPr="00381F61">
        <w:rPr>
          <w:rFonts w:ascii="Garamond" w:hAnsi="Garamond"/>
        </w:rPr>
        <w:t xml:space="preserve">similar </w:t>
      </w:r>
      <w:r w:rsidR="0086696D" w:rsidRPr="00381F61">
        <w:rPr>
          <w:rFonts w:ascii="Garamond" w:hAnsi="Garamond"/>
        </w:rPr>
        <w:t>decisions overall about the net amounts they had to put aside for retirement after taking account of what the government’s policy settings meant to them personally.</w:t>
      </w:r>
      <w:r w:rsidR="00AD0F10" w:rsidRPr="00381F61">
        <w:rPr>
          <w:rFonts w:ascii="Garamond" w:hAnsi="Garamond"/>
        </w:rPr>
        <w:t xml:space="preserve">  That seems a logical outcome and we should actually have been surprised if the outcomes had been </w:t>
      </w:r>
      <w:r w:rsidR="0018680D" w:rsidRPr="00381F61">
        <w:rPr>
          <w:rFonts w:ascii="Garamond" w:hAnsi="Garamond"/>
        </w:rPr>
        <w:t xml:space="preserve">materially </w:t>
      </w:r>
      <w:r w:rsidR="00AD0F10" w:rsidRPr="00381F61">
        <w:rPr>
          <w:rFonts w:ascii="Garamond" w:hAnsi="Garamond"/>
        </w:rPr>
        <w:t>different.</w:t>
      </w:r>
    </w:p>
    <w:p w14:paraId="2172A3B4" w14:textId="77777777" w:rsidR="00AD0F10" w:rsidRPr="00381F61" w:rsidRDefault="00AD0F10" w:rsidP="00E71CEB">
      <w:pPr>
        <w:jc w:val="both"/>
        <w:rPr>
          <w:rFonts w:ascii="Garamond" w:hAnsi="Garamond"/>
        </w:rPr>
      </w:pPr>
    </w:p>
    <w:p w14:paraId="0EBFC4C6" w14:textId="705847F4" w:rsidR="0079646E" w:rsidRPr="00381F61" w:rsidRDefault="00AD0F10" w:rsidP="00E71CEB">
      <w:pPr>
        <w:jc w:val="both"/>
        <w:rPr>
          <w:rFonts w:ascii="Garamond" w:hAnsi="Garamond"/>
        </w:rPr>
      </w:pPr>
      <w:r w:rsidRPr="00381F61">
        <w:rPr>
          <w:rFonts w:ascii="Garamond" w:hAnsi="Garamond"/>
        </w:rPr>
        <w:t>‘Private’ decisions about what to save for retirement should be ‘net’ decisions; made after allowing for the individual impact of the government’s policies on the individual’s own likely position in retirement.  That hypothesis needs testing</w:t>
      </w:r>
      <w:r w:rsidR="003933A9" w:rsidRPr="00381F61">
        <w:rPr>
          <w:rFonts w:ascii="Garamond" w:hAnsi="Garamond"/>
        </w:rPr>
        <w:t xml:space="preserve"> in New Zealand</w:t>
      </w:r>
      <w:r w:rsidR="009503ED" w:rsidRPr="00381F61">
        <w:rPr>
          <w:rStyle w:val="FootnoteReference"/>
          <w:rFonts w:ascii="Garamond" w:hAnsi="Garamond"/>
        </w:rPr>
        <w:footnoteReference w:id="204"/>
      </w:r>
      <w:r w:rsidRPr="00381F61">
        <w:rPr>
          <w:rFonts w:ascii="Garamond" w:hAnsi="Garamond"/>
        </w:rPr>
        <w:t>.</w:t>
      </w:r>
    </w:p>
    <w:p w14:paraId="7FD447E1" w14:textId="77777777" w:rsidR="00141C36" w:rsidRPr="00381F61" w:rsidRDefault="00141C36" w:rsidP="00E71CEB">
      <w:pPr>
        <w:jc w:val="both"/>
        <w:rPr>
          <w:rFonts w:ascii="Garamond" w:hAnsi="Garamond"/>
        </w:rPr>
      </w:pPr>
    </w:p>
    <w:p w14:paraId="2C84B935" w14:textId="3A95D8F5" w:rsidR="007D23C6" w:rsidRPr="00381F61" w:rsidRDefault="00141C36" w:rsidP="00E71CEB">
      <w:pPr>
        <w:jc w:val="both"/>
        <w:rPr>
          <w:rFonts w:ascii="Garamond" w:hAnsi="Garamond"/>
        </w:rPr>
      </w:pPr>
      <w:r w:rsidRPr="00381F61">
        <w:rPr>
          <w:rFonts w:ascii="Garamond" w:hAnsi="Garamond"/>
        </w:rPr>
        <w:t xml:space="preserve">Given the potential significance </w:t>
      </w:r>
      <w:r w:rsidR="006B56B2" w:rsidRPr="00381F61">
        <w:rPr>
          <w:rFonts w:ascii="Garamond" w:hAnsi="Garamond"/>
        </w:rPr>
        <w:t>to public policy issues associated with retirement saving and post-retirement welfare, it is surprising there are so few longitudinal studies of households’ financial affairs</w:t>
      </w:r>
      <w:r w:rsidR="00CB79DF" w:rsidRPr="00381F61">
        <w:rPr>
          <w:rFonts w:ascii="Garamond" w:hAnsi="Garamond"/>
        </w:rPr>
        <w:t xml:space="preserve"> in other countries</w:t>
      </w:r>
      <w:r w:rsidR="006B56B2" w:rsidRPr="00381F61">
        <w:rPr>
          <w:rFonts w:ascii="Garamond" w:hAnsi="Garamond"/>
        </w:rPr>
        <w:t xml:space="preserve">.  We have already mentioned SoFIE and HILDA.  </w:t>
      </w:r>
      <w:r w:rsidR="007D23C6" w:rsidRPr="00381F61">
        <w:rPr>
          <w:rFonts w:ascii="Garamond" w:hAnsi="Garamond"/>
        </w:rPr>
        <w:t>Here is a list of</w:t>
      </w:r>
      <w:r w:rsidR="00BB0B05" w:rsidRPr="00381F61">
        <w:rPr>
          <w:rFonts w:ascii="Garamond" w:hAnsi="Garamond"/>
        </w:rPr>
        <w:t xml:space="preserve"> all</w:t>
      </w:r>
      <w:r w:rsidR="007D23C6" w:rsidRPr="00381F61">
        <w:rPr>
          <w:rFonts w:ascii="Garamond" w:hAnsi="Garamond"/>
        </w:rPr>
        <w:t xml:space="preserve"> those we have encountered </w:t>
      </w:r>
      <w:r w:rsidR="003933A9" w:rsidRPr="00381F61">
        <w:rPr>
          <w:rFonts w:ascii="Garamond" w:hAnsi="Garamond"/>
        </w:rPr>
        <w:t>(</w:t>
      </w:r>
      <w:r w:rsidR="007D23C6" w:rsidRPr="00381F61">
        <w:rPr>
          <w:rFonts w:ascii="Garamond" w:hAnsi="Garamond"/>
        </w:rPr>
        <w:t>and links</w:t>
      </w:r>
      <w:r w:rsidR="003933A9" w:rsidRPr="00381F61">
        <w:rPr>
          <w:rFonts w:ascii="Garamond" w:hAnsi="Garamond"/>
        </w:rPr>
        <w:t>)</w:t>
      </w:r>
      <w:r w:rsidR="007D23C6" w:rsidRPr="00381F61">
        <w:rPr>
          <w:rFonts w:ascii="Garamond" w:hAnsi="Garamond"/>
        </w:rPr>
        <w:t>:</w:t>
      </w:r>
    </w:p>
    <w:p w14:paraId="603EFBEF" w14:textId="4FA12730" w:rsidR="007D23C6" w:rsidRPr="00381F61" w:rsidRDefault="007D23C6" w:rsidP="00646919">
      <w:pPr>
        <w:pStyle w:val="ListParagraph"/>
        <w:numPr>
          <w:ilvl w:val="0"/>
          <w:numId w:val="45"/>
        </w:numPr>
        <w:jc w:val="both"/>
        <w:rPr>
          <w:rFonts w:ascii="Garamond" w:hAnsi="Garamond"/>
        </w:rPr>
      </w:pPr>
      <w:r w:rsidRPr="00381F61">
        <w:rPr>
          <w:rFonts w:ascii="Garamond" w:hAnsi="Garamond"/>
        </w:rPr>
        <w:t xml:space="preserve">Europe: the Survey of Health, Ageing and Retirement in Europe (SHARE) – see </w:t>
      </w:r>
      <w:hyperlink r:id="rId55" w:history="1">
        <w:r w:rsidRPr="00381F61">
          <w:rPr>
            <w:rStyle w:val="Hyperlink"/>
            <w:rFonts w:ascii="Garamond" w:hAnsi="Garamond"/>
          </w:rPr>
          <w:t>here</w:t>
        </w:r>
      </w:hyperlink>
      <w:r w:rsidR="00BE1888" w:rsidRPr="00381F61">
        <w:rPr>
          <w:rStyle w:val="Hyperlink"/>
          <w:rFonts w:ascii="Garamond" w:hAnsi="Garamond"/>
        </w:rPr>
        <w:t>.</w:t>
      </w:r>
    </w:p>
    <w:p w14:paraId="17B95DE1" w14:textId="75D10338" w:rsidR="007D23C6" w:rsidRPr="00381F61" w:rsidRDefault="007D23C6" w:rsidP="00646919">
      <w:pPr>
        <w:pStyle w:val="ListParagraph"/>
        <w:numPr>
          <w:ilvl w:val="0"/>
          <w:numId w:val="45"/>
        </w:numPr>
        <w:jc w:val="both"/>
        <w:rPr>
          <w:rFonts w:ascii="Garamond" w:hAnsi="Garamond"/>
        </w:rPr>
      </w:pPr>
      <w:r w:rsidRPr="00381F61">
        <w:rPr>
          <w:rFonts w:ascii="Garamond" w:hAnsi="Garamond"/>
        </w:rPr>
        <w:t xml:space="preserve">New Zealand: SoFIE – see </w:t>
      </w:r>
      <w:hyperlink r:id="rId56" w:history="1">
        <w:r w:rsidRPr="00381F61">
          <w:rPr>
            <w:rStyle w:val="Hyperlink"/>
            <w:rFonts w:ascii="Garamond" w:hAnsi="Garamond"/>
          </w:rPr>
          <w:t>here</w:t>
        </w:r>
      </w:hyperlink>
      <w:r w:rsidRPr="00381F61">
        <w:rPr>
          <w:rFonts w:ascii="Garamond" w:hAnsi="Garamond"/>
        </w:rPr>
        <w:t>.</w:t>
      </w:r>
    </w:p>
    <w:p w14:paraId="3D18075E" w14:textId="09DE1BA6" w:rsidR="007D23C6" w:rsidRPr="00381F61" w:rsidRDefault="007D23C6" w:rsidP="00646919">
      <w:pPr>
        <w:pStyle w:val="ListParagraph"/>
        <w:numPr>
          <w:ilvl w:val="0"/>
          <w:numId w:val="45"/>
        </w:numPr>
        <w:jc w:val="both"/>
        <w:rPr>
          <w:rFonts w:ascii="Garamond" w:hAnsi="Garamond"/>
        </w:rPr>
      </w:pPr>
      <w:r w:rsidRPr="00381F61">
        <w:rPr>
          <w:rFonts w:ascii="Garamond" w:hAnsi="Garamond"/>
        </w:rPr>
        <w:t xml:space="preserve">Australia: HILDA </w:t>
      </w:r>
      <w:r w:rsidR="001F4E87" w:rsidRPr="00381F61">
        <w:rPr>
          <w:rFonts w:ascii="Garamond" w:hAnsi="Garamond"/>
        </w:rPr>
        <w:t>run by the Melbourne Institute</w:t>
      </w:r>
      <w:r w:rsidRPr="00381F61">
        <w:rPr>
          <w:rFonts w:ascii="Garamond" w:hAnsi="Garamond"/>
        </w:rPr>
        <w:t xml:space="preserve">– see </w:t>
      </w:r>
      <w:hyperlink r:id="rId57" w:history="1">
        <w:r w:rsidRPr="00381F61">
          <w:rPr>
            <w:rStyle w:val="Hyperlink"/>
            <w:rFonts w:ascii="Garamond" w:hAnsi="Garamond"/>
          </w:rPr>
          <w:t>here</w:t>
        </w:r>
      </w:hyperlink>
      <w:r w:rsidRPr="00381F61">
        <w:rPr>
          <w:rFonts w:ascii="Garamond" w:hAnsi="Garamond"/>
        </w:rPr>
        <w:t>.</w:t>
      </w:r>
    </w:p>
    <w:p w14:paraId="114C6536" w14:textId="35598904" w:rsidR="007D23C6" w:rsidRPr="00381F61" w:rsidRDefault="006B56B2" w:rsidP="00646919">
      <w:pPr>
        <w:pStyle w:val="ListParagraph"/>
        <w:numPr>
          <w:ilvl w:val="0"/>
          <w:numId w:val="45"/>
        </w:numPr>
        <w:jc w:val="both"/>
        <w:rPr>
          <w:rFonts w:ascii="Garamond" w:hAnsi="Garamond"/>
        </w:rPr>
      </w:pPr>
      <w:r w:rsidRPr="00381F61">
        <w:rPr>
          <w:rFonts w:ascii="Garamond" w:hAnsi="Garamond"/>
        </w:rPr>
        <w:t>U</w:t>
      </w:r>
      <w:r w:rsidR="007D23C6" w:rsidRPr="00381F61">
        <w:rPr>
          <w:rFonts w:ascii="Garamond" w:hAnsi="Garamond"/>
        </w:rPr>
        <w:t xml:space="preserve">nited Kingdom: </w:t>
      </w:r>
      <w:r w:rsidR="00D223B0" w:rsidRPr="00381F61">
        <w:rPr>
          <w:rFonts w:ascii="Garamond" w:hAnsi="Garamond"/>
        </w:rPr>
        <w:t>the English Longitudinal Study of Ageing (ELSA</w:t>
      </w:r>
      <w:r w:rsidR="005267C3" w:rsidRPr="00381F61">
        <w:rPr>
          <w:rFonts w:ascii="Garamond" w:hAnsi="Garamond"/>
        </w:rPr>
        <w:t xml:space="preserve"> – see </w:t>
      </w:r>
      <w:hyperlink r:id="rId58" w:history="1">
        <w:r w:rsidR="005267C3" w:rsidRPr="00381F61">
          <w:rPr>
            <w:rStyle w:val="Hyperlink"/>
            <w:rFonts w:ascii="Garamond" w:hAnsi="Garamond"/>
          </w:rPr>
          <w:t>here</w:t>
        </w:r>
      </w:hyperlink>
      <w:r w:rsidR="00D223B0" w:rsidRPr="00381F61">
        <w:rPr>
          <w:rFonts w:ascii="Garamond" w:hAnsi="Garamond"/>
        </w:rPr>
        <w:t>)</w:t>
      </w:r>
      <w:r w:rsidR="00952A0D" w:rsidRPr="00381F61">
        <w:rPr>
          <w:rStyle w:val="FootnoteReference"/>
          <w:rFonts w:ascii="Garamond" w:hAnsi="Garamond"/>
        </w:rPr>
        <w:footnoteReference w:id="205"/>
      </w:r>
      <w:r w:rsidR="00BE1888" w:rsidRPr="00381F61">
        <w:rPr>
          <w:rFonts w:ascii="Garamond" w:hAnsi="Garamond"/>
        </w:rPr>
        <w:t>.</w:t>
      </w:r>
    </w:p>
    <w:p w14:paraId="0DD68771" w14:textId="46EA3CA3" w:rsidR="00141C36" w:rsidRPr="00381F61" w:rsidRDefault="007D23C6" w:rsidP="00646919">
      <w:pPr>
        <w:pStyle w:val="ListParagraph"/>
        <w:numPr>
          <w:ilvl w:val="0"/>
          <w:numId w:val="45"/>
        </w:numPr>
        <w:jc w:val="both"/>
        <w:rPr>
          <w:rFonts w:ascii="Garamond" w:hAnsi="Garamond"/>
        </w:rPr>
      </w:pPr>
      <w:r w:rsidRPr="00381F61">
        <w:rPr>
          <w:rFonts w:ascii="Garamond" w:hAnsi="Garamond"/>
        </w:rPr>
        <w:t xml:space="preserve">United States: </w:t>
      </w:r>
      <w:r w:rsidR="006B56B2" w:rsidRPr="00381F61">
        <w:rPr>
          <w:rFonts w:ascii="Garamond" w:hAnsi="Garamond"/>
        </w:rPr>
        <w:t>aspects of households’ financial positions are also covered in the US Health and Retirement Study (HRS)</w:t>
      </w:r>
      <w:r w:rsidR="00353C10" w:rsidRPr="00381F61">
        <w:rPr>
          <w:rStyle w:val="FootnoteReference"/>
          <w:rFonts w:ascii="Garamond" w:hAnsi="Garamond"/>
        </w:rPr>
        <w:footnoteReference w:id="206"/>
      </w:r>
      <w:r w:rsidR="001D32BE" w:rsidRPr="00381F61">
        <w:rPr>
          <w:rFonts w:ascii="Garamond" w:hAnsi="Garamond"/>
        </w:rPr>
        <w:t xml:space="preserve"> run by the University of Michigan – see </w:t>
      </w:r>
      <w:hyperlink r:id="rId59" w:history="1">
        <w:r w:rsidR="001D32BE" w:rsidRPr="00381F61">
          <w:rPr>
            <w:rStyle w:val="Hyperlink"/>
            <w:rFonts w:ascii="Garamond" w:hAnsi="Garamond"/>
          </w:rPr>
          <w:t>here</w:t>
        </w:r>
      </w:hyperlink>
      <w:r w:rsidRPr="00381F61">
        <w:rPr>
          <w:rFonts w:ascii="Garamond" w:hAnsi="Garamond"/>
        </w:rPr>
        <w:t>.</w:t>
      </w:r>
    </w:p>
    <w:p w14:paraId="4DD4DF0E" w14:textId="77777777" w:rsidR="00685310" w:rsidRPr="00381F61" w:rsidRDefault="00685310" w:rsidP="00E71CEB">
      <w:pPr>
        <w:jc w:val="both"/>
        <w:rPr>
          <w:rFonts w:ascii="Garamond" w:hAnsi="Garamond"/>
        </w:rPr>
      </w:pPr>
    </w:p>
    <w:p w14:paraId="7A7E091A" w14:textId="35EEDC21" w:rsidR="00685310" w:rsidRPr="00381F61" w:rsidRDefault="00685310" w:rsidP="00E71CEB">
      <w:pPr>
        <w:jc w:val="both"/>
        <w:rPr>
          <w:rFonts w:ascii="Garamond" w:hAnsi="Garamond"/>
        </w:rPr>
      </w:pPr>
      <w:r w:rsidRPr="00381F61">
        <w:rPr>
          <w:rFonts w:ascii="Garamond" w:hAnsi="Garamond"/>
        </w:rPr>
        <w:t>That gap in knowledge of what households are doing</w:t>
      </w:r>
      <w:r w:rsidR="00AE1ED9" w:rsidRPr="00381F61">
        <w:rPr>
          <w:rFonts w:ascii="Garamond" w:hAnsi="Garamond"/>
        </w:rPr>
        <w:t xml:space="preserve"> around the world</w:t>
      </w:r>
      <w:r w:rsidRPr="00381F61">
        <w:rPr>
          <w:rFonts w:ascii="Garamond" w:hAnsi="Garamond"/>
        </w:rPr>
        <w:t xml:space="preserve"> is notable.  What is even more notable is that the Retirement Commissioner’s 2016 Review made no reference to any of the material</w:t>
      </w:r>
      <w:r w:rsidR="00520ED3" w:rsidRPr="00381F61">
        <w:rPr>
          <w:rFonts w:ascii="Garamond" w:hAnsi="Garamond"/>
        </w:rPr>
        <w:t xml:space="preserve"> covered in this section; nor to</w:t>
      </w:r>
      <w:r w:rsidRPr="00381F61">
        <w:rPr>
          <w:rFonts w:ascii="Garamond" w:hAnsi="Garamond"/>
        </w:rPr>
        <w:t xml:space="preserve"> the importance to public policy considerations of filling </w:t>
      </w:r>
      <w:r w:rsidR="00AE1ED9" w:rsidRPr="00381F61">
        <w:rPr>
          <w:rFonts w:ascii="Garamond" w:hAnsi="Garamond"/>
        </w:rPr>
        <w:t>our</w:t>
      </w:r>
      <w:r w:rsidRPr="00381F61">
        <w:rPr>
          <w:rFonts w:ascii="Garamond" w:hAnsi="Garamond"/>
        </w:rPr>
        <w:t xml:space="preserve"> information gaps.</w:t>
      </w:r>
    </w:p>
    <w:p w14:paraId="505322BF" w14:textId="3A9066EA" w:rsidR="0041529F" w:rsidRPr="00381F61" w:rsidRDefault="0041529F" w:rsidP="0041529F">
      <w:pPr>
        <w:jc w:val="both"/>
        <w:rPr>
          <w:rFonts w:ascii="Garamond" w:hAnsi="Garamond"/>
          <w:b/>
        </w:rPr>
      </w:pPr>
    </w:p>
    <w:p w14:paraId="50C8EDE8" w14:textId="62E964FB" w:rsidR="009A729F" w:rsidRPr="00381F61" w:rsidRDefault="009A729F" w:rsidP="0041529F">
      <w:pPr>
        <w:jc w:val="both"/>
        <w:rPr>
          <w:rFonts w:ascii="Garamond" w:hAnsi="Garamond"/>
          <w:b/>
        </w:rPr>
      </w:pPr>
      <w:r w:rsidRPr="00381F61">
        <w:rPr>
          <w:rFonts w:ascii="Garamond" w:hAnsi="Garamond"/>
          <w:b/>
        </w:rPr>
        <w:t>Tax Working Group’s comments</w:t>
      </w:r>
    </w:p>
    <w:p w14:paraId="0ED2AED6" w14:textId="77777777" w:rsidR="009A729F" w:rsidRPr="00381F61" w:rsidRDefault="009A729F" w:rsidP="0041529F">
      <w:pPr>
        <w:jc w:val="both"/>
        <w:rPr>
          <w:rFonts w:ascii="Garamond" w:hAnsi="Garamond"/>
        </w:rPr>
      </w:pPr>
    </w:p>
    <w:p w14:paraId="215A4F4B" w14:textId="1C5282BF" w:rsidR="009A729F" w:rsidRPr="00381F61" w:rsidRDefault="009A729F" w:rsidP="0041529F">
      <w:pPr>
        <w:jc w:val="both"/>
        <w:rPr>
          <w:rFonts w:ascii="Garamond" w:hAnsi="Garamond"/>
        </w:rPr>
      </w:pPr>
      <w:r w:rsidRPr="00381F61">
        <w:rPr>
          <w:rFonts w:ascii="Garamond" w:hAnsi="Garamond"/>
        </w:rPr>
        <w:t>The 2019 Tax Working Group was also constrained by the lack of credible data on household wealth.</w:t>
      </w:r>
    </w:p>
    <w:p w14:paraId="246EA272" w14:textId="435AA6B6" w:rsidR="009A729F" w:rsidRPr="00381F61" w:rsidRDefault="009A729F" w:rsidP="0041529F">
      <w:pPr>
        <w:jc w:val="both"/>
        <w:rPr>
          <w:rFonts w:ascii="Garamond" w:hAnsi="Garamond"/>
          <w:sz w:val="8"/>
          <w:szCs w:val="8"/>
        </w:rPr>
      </w:pPr>
    </w:p>
    <w:p w14:paraId="07BA6FE8" w14:textId="1E4CFCED" w:rsidR="009A729F" w:rsidRPr="00381F61" w:rsidRDefault="009A729F" w:rsidP="00891E0F">
      <w:pPr>
        <w:ind w:left="284"/>
        <w:jc w:val="both"/>
        <w:rPr>
          <w:rFonts w:ascii="Garamond" w:hAnsi="Garamond"/>
          <w:sz w:val="22"/>
          <w:szCs w:val="22"/>
        </w:rPr>
      </w:pPr>
      <w:r w:rsidRPr="00381F61">
        <w:rPr>
          <w:rFonts w:ascii="Garamond" w:hAnsi="Garamond"/>
          <w:sz w:val="22"/>
          <w:szCs w:val="22"/>
        </w:rPr>
        <w:t>“48. The Group considers there is a need for greater public access to data and information about the tax system….It is particularly important to have better data about the distribution of wealth in New Zealand.” (at p. 12)</w:t>
      </w:r>
      <w:r w:rsidR="00575FDF" w:rsidRPr="00381F61">
        <w:rPr>
          <w:rStyle w:val="FootnoteReference"/>
          <w:rFonts w:ascii="Garamond" w:hAnsi="Garamond"/>
          <w:sz w:val="22"/>
          <w:szCs w:val="22"/>
        </w:rPr>
        <w:footnoteReference w:id="207"/>
      </w:r>
      <w:r w:rsidRPr="00381F61">
        <w:rPr>
          <w:rFonts w:ascii="Garamond" w:hAnsi="Garamond"/>
          <w:sz w:val="22"/>
          <w:szCs w:val="22"/>
        </w:rPr>
        <w:t>.</w:t>
      </w:r>
    </w:p>
    <w:p w14:paraId="21BB79C0" w14:textId="07023BCC" w:rsidR="009A729F" w:rsidRPr="00381F61" w:rsidRDefault="009A729F" w:rsidP="0041529F">
      <w:pPr>
        <w:jc w:val="both"/>
        <w:rPr>
          <w:rFonts w:ascii="Garamond" w:hAnsi="Garamond"/>
        </w:rPr>
      </w:pPr>
    </w:p>
    <w:p w14:paraId="7BBCBDB9" w14:textId="79E5744D" w:rsidR="009A729F" w:rsidRPr="00381F61" w:rsidRDefault="009A729F" w:rsidP="0041529F">
      <w:pPr>
        <w:jc w:val="both"/>
        <w:rPr>
          <w:rFonts w:ascii="Garamond" w:hAnsi="Garamond"/>
        </w:rPr>
      </w:pPr>
      <w:r w:rsidRPr="00381F61">
        <w:rPr>
          <w:rFonts w:ascii="Garamond" w:hAnsi="Garamond"/>
        </w:rPr>
        <w:t xml:space="preserve">The TWG recommended, amongst other things, </w:t>
      </w:r>
      <w:r w:rsidR="00575FDF" w:rsidRPr="00381F61">
        <w:rPr>
          <w:rFonts w:ascii="Garamond" w:hAnsi="Garamond"/>
        </w:rPr>
        <w:t>that the government “commission research, using a variety of sources of data on capital income (including administrative data) to estimate the wealth of individuals.” (at page 102).</w:t>
      </w:r>
    </w:p>
    <w:p w14:paraId="72ABADB9" w14:textId="3F3486DF" w:rsidR="00575FDF" w:rsidRPr="00381F61" w:rsidRDefault="00575FDF" w:rsidP="0041529F">
      <w:pPr>
        <w:jc w:val="both"/>
        <w:rPr>
          <w:rFonts w:ascii="Garamond" w:hAnsi="Garamond"/>
        </w:rPr>
      </w:pPr>
    </w:p>
    <w:p w14:paraId="5D26EBCE" w14:textId="5D34099D" w:rsidR="00575FDF" w:rsidRPr="00381F61" w:rsidRDefault="00575FDF" w:rsidP="0041529F">
      <w:pPr>
        <w:jc w:val="both"/>
        <w:rPr>
          <w:rFonts w:ascii="Garamond" w:hAnsi="Garamond"/>
        </w:rPr>
      </w:pPr>
      <w:r w:rsidRPr="00381F61">
        <w:rPr>
          <w:rFonts w:ascii="Garamond" w:hAnsi="Garamond"/>
        </w:rPr>
        <w:t>The longitudinal survey that we contemplate would satisfy the TWG’s recommendation.</w:t>
      </w:r>
    </w:p>
    <w:p w14:paraId="4DE56A42" w14:textId="77777777" w:rsidR="009A729F" w:rsidRPr="00381F61" w:rsidRDefault="009A729F" w:rsidP="0041529F">
      <w:pPr>
        <w:jc w:val="both"/>
        <w:rPr>
          <w:rFonts w:ascii="Garamond" w:hAnsi="Garamond"/>
        </w:rPr>
      </w:pPr>
    </w:p>
    <w:p w14:paraId="7B41257A" w14:textId="438A07CE" w:rsidR="0041529F" w:rsidRPr="00381F61" w:rsidRDefault="0041529F" w:rsidP="0041529F">
      <w:pPr>
        <w:jc w:val="both"/>
        <w:rPr>
          <w:rFonts w:ascii="Garamond" w:hAnsi="Garamond"/>
        </w:rPr>
      </w:pPr>
      <w:r w:rsidRPr="00381F61">
        <w:rPr>
          <w:rFonts w:ascii="Garamond" w:hAnsi="Garamond"/>
          <w:b/>
        </w:rPr>
        <w:t>Terms of reference for 2019 Review</w:t>
      </w:r>
    </w:p>
    <w:p w14:paraId="0D47BCE6" w14:textId="77777777" w:rsidR="0041529F" w:rsidRPr="00381F61" w:rsidRDefault="0041529F" w:rsidP="0041529F">
      <w:pPr>
        <w:jc w:val="both"/>
        <w:rPr>
          <w:rFonts w:ascii="Garamond" w:hAnsi="Garamond"/>
        </w:rPr>
      </w:pPr>
    </w:p>
    <w:p w14:paraId="018D8AB5" w14:textId="08C47EF0" w:rsidR="0041529F" w:rsidRPr="00381F61" w:rsidRDefault="0041529F">
      <w:pPr>
        <w:jc w:val="both"/>
        <w:rPr>
          <w:rFonts w:ascii="Garamond" w:hAnsi="Garamond"/>
        </w:rPr>
      </w:pPr>
      <w:r w:rsidRPr="00381F61">
        <w:rPr>
          <w:rFonts w:ascii="Garamond" w:hAnsi="Garamond"/>
        </w:rPr>
        <w:t xml:space="preserve">The Terms of Reference for the Retirement Commissioner’s 2019 Review made no direct reference to the issues raised in this section.  </w:t>
      </w:r>
      <w:r w:rsidR="002929C4" w:rsidRPr="00381F61">
        <w:rPr>
          <w:rFonts w:ascii="Garamond" w:hAnsi="Garamond"/>
        </w:rPr>
        <w:t>However, t</w:t>
      </w:r>
      <w:r w:rsidRPr="00381F61">
        <w:rPr>
          <w:rFonts w:ascii="Garamond" w:hAnsi="Garamond"/>
        </w:rPr>
        <w:t>he Review is asked for information with respect to:</w:t>
      </w:r>
    </w:p>
    <w:p w14:paraId="7E1F1C07" w14:textId="77777777" w:rsidR="00C943A0" w:rsidRPr="00381F61" w:rsidRDefault="00C943A0">
      <w:pPr>
        <w:jc w:val="both"/>
        <w:rPr>
          <w:rFonts w:ascii="Garamond" w:hAnsi="Garamond"/>
          <w:sz w:val="8"/>
          <w:szCs w:val="8"/>
        </w:rPr>
      </w:pPr>
    </w:p>
    <w:p w14:paraId="1BF5D9A5" w14:textId="0A83353A" w:rsidR="00C943A0" w:rsidRPr="00381F61" w:rsidRDefault="00C943A0" w:rsidP="00701CA1">
      <w:pPr>
        <w:pStyle w:val="ListParagraph"/>
        <w:widowControl w:val="0"/>
        <w:tabs>
          <w:tab w:val="left" w:pos="1187"/>
        </w:tabs>
        <w:autoSpaceDE w:val="0"/>
        <w:autoSpaceDN w:val="0"/>
        <w:ind w:left="284" w:right="-52"/>
        <w:contextualSpacing w:val="0"/>
        <w:jc w:val="both"/>
        <w:rPr>
          <w:rFonts w:ascii="Garamond" w:hAnsi="Garamond"/>
          <w:color w:val="1A1A1A"/>
          <w:sz w:val="22"/>
          <w:szCs w:val="22"/>
        </w:rPr>
      </w:pPr>
      <w:r w:rsidRPr="00381F61">
        <w:rPr>
          <w:rFonts w:ascii="Garamond" w:hAnsi="Garamond"/>
          <w:sz w:val="22"/>
          <w:szCs w:val="22"/>
        </w:rPr>
        <w:t xml:space="preserve">“1. </w:t>
      </w:r>
      <w:r w:rsidRPr="00381F61">
        <w:rPr>
          <w:rFonts w:ascii="Garamond" w:hAnsi="Garamond"/>
          <w:color w:val="1A1A1A"/>
          <w:sz w:val="22"/>
          <w:szCs w:val="22"/>
        </w:rPr>
        <w:t>An assessment of the effectiveness of current retirement policies for</w:t>
      </w:r>
      <w:r w:rsidRPr="00381F61">
        <w:rPr>
          <w:rFonts w:ascii="Garamond" w:hAnsi="Garamond"/>
          <w:color w:val="1A1A1A"/>
          <w:spacing w:val="-44"/>
          <w:sz w:val="22"/>
          <w:szCs w:val="22"/>
        </w:rPr>
        <w:t xml:space="preserve">   </w:t>
      </w:r>
      <w:r w:rsidRPr="00381F61">
        <w:rPr>
          <w:rFonts w:ascii="Garamond" w:hAnsi="Garamond"/>
          <w:color w:val="1A1A1A"/>
          <w:sz w:val="22"/>
          <w:szCs w:val="22"/>
        </w:rPr>
        <w:t>financially vulnerable and low-income groups, and recommendations for any policies that could improve their retirement</w:t>
      </w:r>
      <w:r w:rsidRPr="00381F61">
        <w:rPr>
          <w:rFonts w:ascii="Garamond" w:hAnsi="Garamond"/>
          <w:color w:val="1A1A1A"/>
          <w:spacing w:val="44"/>
          <w:sz w:val="22"/>
          <w:szCs w:val="22"/>
        </w:rPr>
        <w:t xml:space="preserve"> </w:t>
      </w:r>
      <w:r w:rsidRPr="00381F61">
        <w:rPr>
          <w:rFonts w:ascii="Garamond" w:hAnsi="Garamond"/>
          <w:color w:val="1A1A1A"/>
          <w:sz w:val="22"/>
          <w:szCs w:val="22"/>
        </w:rPr>
        <w:t>outcomes.</w:t>
      </w:r>
    </w:p>
    <w:p w14:paraId="669DAF23" w14:textId="77777777" w:rsidR="00C943A0" w:rsidRPr="00381F61" w:rsidRDefault="00C943A0" w:rsidP="00701CA1">
      <w:pPr>
        <w:pStyle w:val="ListParagraph"/>
        <w:widowControl w:val="0"/>
        <w:tabs>
          <w:tab w:val="left" w:pos="1187"/>
        </w:tabs>
        <w:autoSpaceDE w:val="0"/>
        <w:autoSpaceDN w:val="0"/>
        <w:ind w:left="284" w:right="-52"/>
        <w:contextualSpacing w:val="0"/>
        <w:jc w:val="both"/>
        <w:rPr>
          <w:rFonts w:ascii="Garamond" w:hAnsi="Garamond"/>
          <w:color w:val="1A1A1A"/>
          <w:sz w:val="8"/>
          <w:szCs w:val="8"/>
        </w:rPr>
      </w:pPr>
    </w:p>
    <w:p w14:paraId="613E3FAB" w14:textId="2E32AE9F" w:rsidR="00C943A0" w:rsidRPr="00381F61" w:rsidRDefault="00C943A0" w:rsidP="00701CA1">
      <w:pPr>
        <w:pStyle w:val="ListParagraph"/>
        <w:widowControl w:val="0"/>
        <w:tabs>
          <w:tab w:val="left" w:pos="1186"/>
          <w:tab w:val="left" w:pos="1187"/>
        </w:tabs>
        <w:autoSpaceDE w:val="0"/>
        <w:autoSpaceDN w:val="0"/>
        <w:ind w:left="284" w:right="-52"/>
        <w:contextualSpacing w:val="0"/>
        <w:jc w:val="both"/>
        <w:rPr>
          <w:rFonts w:ascii="Garamond" w:hAnsi="Garamond"/>
          <w:color w:val="1A1A1A"/>
          <w:sz w:val="22"/>
          <w:szCs w:val="22"/>
        </w:rPr>
      </w:pPr>
      <w:r w:rsidRPr="00381F61">
        <w:rPr>
          <w:rFonts w:ascii="Garamond" w:hAnsi="Garamond"/>
          <w:sz w:val="22"/>
          <w:szCs w:val="22"/>
        </w:rPr>
        <w:t xml:space="preserve">“2. </w:t>
      </w:r>
      <w:r w:rsidRPr="00381F61">
        <w:rPr>
          <w:rFonts w:ascii="Garamond" w:hAnsi="Garamond"/>
          <w:color w:val="1A1A1A"/>
          <w:sz w:val="22"/>
          <w:szCs w:val="22"/>
        </w:rPr>
        <w:t>An update and commentary on the developments and emerging trends in retirement income policy since the 2016 review, both within New Zealand and internationally.”</w:t>
      </w:r>
    </w:p>
    <w:p w14:paraId="2E0EE0DA" w14:textId="77777777" w:rsidR="0041529F" w:rsidRPr="00381F61" w:rsidRDefault="0041529F" w:rsidP="0041529F">
      <w:pPr>
        <w:jc w:val="both"/>
        <w:rPr>
          <w:rFonts w:ascii="Garamond" w:hAnsi="Garamond"/>
          <w:b/>
        </w:rPr>
      </w:pPr>
    </w:p>
    <w:p w14:paraId="0BD4CD49" w14:textId="0D159739" w:rsidR="0041529F" w:rsidRPr="00381F61" w:rsidRDefault="00C943A0" w:rsidP="0041529F">
      <w:pPr>
        <w:jc w:val="both"/>
        <w:rPr>
          <w:rFonts w:ascii="Garamond" w:hAnsi="Garamond"/>
        </w:rPr>
      </w:pPr>
      <w:r w:rsidRPr="00381F61">
        <w:rPr>
          <w:rFonts w:ascii="Garamond" w:hAnsi="Garamond"/>
        </w:rPr>
        <w:t>Neither of those “assessments” can be fully addressed without access to the kind of data provided from a full longitudinal study of the kind discussed in this section.</w:t>
      </w:r>
      <w:r w:rsidR="00BF7119" w:rsidRPr="00381F61">
        <w:rPr>
          <w:rFonts w:ascii="Garamond" w:hAnsi="Garamond"/>
        </w:rPr>
        <w:t xml:space="preserve">  We think that if the 2019 Review even raises the issue, that will be a sign of progress.</w:t>
      </w:r>
    </w:p>
    <w:p w14:paraId="11D44A04" w14:textId="77777777" w:rsidR="0090538D" w:rsidRPr="00381F61" w:rsidRDefault="0090538D" w:rsidP="00E71CEB">
      <w:pPr>
        <w:jc w:val="both"/>
        <w:rPr>
          <w:rFonts w:ascii="Garamond" w:hAnsi="Garamond"/>
        </w:rPr>
      </w:pPr>
    </w:p>
    <w:p w14:paraId="182833A7" w14:textId="6ECBE037" w:rsidR="0090538D" w:rsidRPr="00381F61" w:rsidRDefault="0090538D" w:rsidP="00E71CEB">
      <w:pPr>
        <w:jc w:val="both"/>
        <w:rPr>
          <w:rFonts w:ascii="Garamond" w:hAnsi="Garamond"/>
        </w:rPr>
      </w:pPr>
      <w:r w:rsidRPr="00381F61">
        <w:rPr>
          <w:rFonts w:ascii="Garamond" w:hAnsi="Garamond"/>
          <w:b/>
        </w:rPr>
        <w:t xml:space="preserve">Questions New Zealand </w:t>
      </w:r>
      <w:r w:rsidR="00A256AB" w:rsidRPr="00381F61">
        <w:rPr>
          <w:rFonts w:ascii="Garamond" w:hAnsi="Garamond"/>
          <w:b/>
        </w:rPr>
        <w:t xml:space="preserve">needs </w:t>
      </w:r>
      <w:r w:rsidRPr="00381F61">
        <w:rPr>
          <w:rFonts w:ascii="Garamond" w:hAnsi="Garamond"/>
          <w:b/>
        </w:rPr>
        <w:t>to discuss</w:t>
      </w:r>
      <w:r w:rsidR="00A256AB" w:rsidRPr="00381F61">
        <w:rPr>
          <w:rFonts w:ascii="Garamond" w:hAnsi="Garamond"/>
          <w:b/>
        </w:rPr>
        <w:t xml:space="preserve"> on a new longitudinal survey</w:t>
      </w:r>
      <w:r w:rsidRPr="00381F61">
        <w:rPr>
          <w:rFonts w:ascii="Garamond" w:hAnsi="Garamond"/>
          <w:b/>
        </w:rPr>
        <w:t>:</w:t>
      </w:r>
    </w:p>
    <w:p w14:paraId="44ED2ADA" w14:textId="77777777" w:rsidR="0090538D" w:rsidRPr="00381F61" w:rsidRDefault="0090538D" w:rsidP="00E71CEB">
      <w:pPr>
        <w:jc w:val="both"/>
        <w:rPr>
          <w:rFonts w:ascii="Garamond" w:hAnsi="Garamond"/>
        </w:rPr>
      </w:pPr>
    </w:p>
    <w:p w14:paraId="2D7B220E" w14:textId="710F5580" w:rsidR="0090538D" w:rsidRPr="00381F61" w:rsidRDefault="0090538D" w:rsidP="00E71CEB">
      <w:pPr>
        <w:jc w:val="both"/>
        <w:rPr>
          <w:rFonts w:ascii="Garamond" w:hAnsi="Garamond"/>
        </w:rPr>
      </w:pPr>
      <w:r w:rsidRPr="00381F61">
        <w:rPr>
          <w:rFonts w:ascii="Garamond" w:hAnsi="Garamond"/>
        </w:rPr>
        <w:t xml:space="preserve">Some of the questions that follow relate to questions raised in earlier sections of this report such as sections </w:t>
      </w:r>
      <w:r w:rsidR="000856CF" w:rsidRPr="00381F61">
        <w:rPr>
          <w:rFonts w:ascii="Garamond" w:hAnsi="Garamond"/>
        </w:rPr>
        <w:t>9</w:t>
      </w:r>
      <w:r w:rsidRPr="00381F61">
        <w:rPr>
          <w:rFonts w:ascii="Garamond" w:hAnsi="Garamond"/>
        </w:rPr>
        <w:t xml:space="preserve"> (tax subsidies), 1</w:t>
      </w:r>
      <w:r w:rsidR="000856CF" w:rsidRPr="00381F61">
        <w:rPr>
          <w:rFonts w:ascii="Garamond" w:hAnsi="Garamond"/>
        </w:rPr>
        <w:t>3</w:t>
      </w:r>
      <w:r w:rsidRPr="00381F61">
        <w:rPr>
          <w:rFonts w:ascii="Garamond" w:hAnsi="Garamond"/>
        </w:rPr>
        <w:t xml:space="preserve"> (occupational superannuation) and 1</w:t>
      </w:r>
      <w:r w:rsidR="000856CF" w:rsidRPr="00381F61">
        <w:rPr>
          <w:rFonts w:ascii="Garamond" w:hAnsi="Garamond"/>
        </w:rPr>
        <w:t>4</w:t>
      </w:r>
      <w:r w:rsidRPr="00381F61">
        <w:rPr>
          <w:rFonts w:ascii="Garamond" w:hAnsi="Garamond"/>
        </w:rPr>
        <w:t xml:space="preserve"> (KiwiSaver).</w:t>
      </w:r>
    </w:p>
    <w:p w14:paraId="67D63698" w14:textId="77777777" w:rsidR="0090538D" w:rsidRPr="00381F61" w:rsidRDefault="0090538D" w:rsidP="00E71CEB">
      <w:pPr>
        <w:jc w:val="both"/>
        <w:rPr>
          <w:rFonts w:ascii="Garamond" w:hAnsi="Garamond"/>
        </w:rPr>
      </w:pPr>
    </w:p>
    <w:p w14:paraId="6DC44EE0" w14:textId="5894ED7D" w:rsidR="00A92155" w:rsidRPr="00381F61" w:rsidRDefault="00A92155" w:rsidP="00E71CEB">
      <w:pPr>
        <w:pStyle w:val="ListParagraph"/>
        <w:numPr>
          <w:ilvl w:val="0"/>
          <w:numId w:val="35"/>
        </w:numPr>
        <w:ind w:left="709" w:hanging="349"/>
        <w:jc w:val="both"/>
        <w:rPr>
          <w:rFonts w:ascii="Garamond" w:hAnsi="Garamond"/>
        </w:rPr>
      </w:pPr>
      <w:r w:rsidRPr="00381F61">
        <w:rPr>
          <w:rFonts w:ascii="Garamond" w:hAnsi="Garamond"/>
        </w:rPr>
        <w:t>What lessons have we learned from the design and implementation of SoFIE?  Ho</w:t>
      </w:r>
      <w:r w:rsidR="00E55663" w:rsidRPr="00381F61">
        <w:rPr>
          <w:rFonts w:ascii="Garamond" w:hAnsi="Garamond"/>
        </w:rPr>
        <w:t>w can we do it better next time</w:t>
      </w:r>
      <w:r w:rsidR="00B53079" w:rsidRPr="00381F61">
        <w:rPr>
          <w:rFonts w:ascii="Garamond" w:hAnsi="Garamond"/>
        </w:rPr>
        <w:t xml:space="preserve"> (</w:t>
      </w:r>
      <w:r w:rsidR="0035450B" w:rsidRPr="00381F61">
        <w:rPr>
          <w:rFonts w:ascii="Garamond" w:hAnsi="Garamond"/>
        </w:rPr>
        <w:t xml:space="preserve">we think </w:t>
      </w:r>
      <w:r w:rsidR="00B53079" w:rsidRPr="00381F61">
        <w:rPr>
          <w:rFonts w:ascii="Garamond" w:hAnsi="Garamond"/>
        </w:rPr>
        <w:t>there must be a ‘next time’)</w:t>
      </w:r>
      <w:r w:rsidR="00E55663" w:rsidRPr="00381F61">
        <w:rPr>
          <w:rFonts w:ascii="Garamond" w:hAnsi="Garamond"/>
        </w:rPr>
        <w:t>?</w:t>
      </w:r>
    </w:p>
    <w:p w14:paraId="2BFA35BB" w14:textId="77777777" w:rsidR="00E55663" w:rsidRPr="00381F61" w:rsidRDefault="00E55663" w:rsidP="003E03E0">
      <w:pPr>
        <w:pStyle w:val="ListParagraph"/>
        <w:ind w:left="709"/>
        <w:jc w:val="both"/>
        <w:rPr>
          <w:rFonts w:ascii="Garamond" w:hAnsi="Garamond"/>
        </w:rPr>
      </w:pPr>
    </w:p>
    <w:p w14:paraId="38EC1FE0" w14:textId="63301DDA" w:rsidR="00E55663" w:rsidRPr="00381F61" w:rsidRDefault="00E55663" w:rsidP="00E71CEB">
      <w:pPr>
        <w:pStyle w:val="ListParagraph"/>
        <w:numPr>
          <w:ilvl w:val="0"/>
          <w:numId w:val="35"/>
        </w:numPr>
        <w:ind w:left="709" w:hanging="349"/>
        <w:jc w:val="both"/>
        <w:rPr>
          <w:rFonts w:ascii="Garamond" w:hAnsi="Garamond"/>
        </w:rPr>
      </w:pPr>
      <w:r w:rsidRPr="00381F61">
        <w:rPr>
          <w:rFonts w:ascii="Garamond" w:hAnsi="Garamond"/>
        </w:rPr>
        <w:t>What lessons might we learn from the longitudinal studies in Australia, Europe, the United Kingdom and the United States?</w:t>
      </w:r>
    </w:p>
    <w:p w14:paraId="47F6226A" w14:textId="77777777" w:rsidR="00E55663" w:rsidRPr="00381F61" w:rsidRDefault="00E55663" w:rsidP="003E03E0">
      <w:pPr>
        <w:ind w:left="709"/>
        <w:jc w:val="both"/>
        <w:rPr>
          <w:rFonts w:ascii="Garamond" w:hAnsi="Garamond"/>
        </w:rPr>
      </w:pPr>
    </w:p>
    <w:p w14:paraId="79C8827D" w14:textId="70AC6E04" w:rsidR="00E55663" w:rsidRPr="00381F61" w:rsidRDefault="00E55663" w:rsidP="00E71CEB">
      <w:pPr>
        <w:pStyle w:val="ListParagraph"/>
        <w:numPr>
          <w:ilvl w:val="0"/>
          <w:numId w:val="35"/>
        </w:numPr>
        <w:ind w:left="709" w:hanging="349"/>
        <w:jc w:val="both"/>
        <w:rPr>
          <w:rFonts w:ascii="Garamond" w:hAnsi="Garamond"/>
        </w:rPr>
      </w:pPr>
      <w:r w:rsidRPr="00381F61">
        <w:rPr>
          <w:rFonts w:ascii="Garamond" w:hAnsi="Garamond"/>
        </w:rPr>
        <w:t xml:space="preserve">Do we really know how </w:t>
      </w:r>
      <w:r w:rsidR="00685310" w:rsidRPr="00381F61">
        <w:rPr>
          <w:rFonts w:ascii="Garamond" w:hAnsi="Garamond"/>
        </w:rPr>
        <w:t xml:space="preserve">or how much </w:t>
      </w:r>
      <w:r w:rsidRPr="00381F61">
        <w:rPr>
          <w:rFonts w:ascii="Garamond" w:hAnsi="Garamond"/>
        </w:rPr>
        <w:t>New Zealanders save for retirement now?</w:t>
      </w:r>
      <w:r w:rsidR="002535FF" w:rsidRPr="00381F61">
        <w:rPr>
          <w:rFonts w:ascii="Garamond" w:hAnsi="Garamond"/>
        </w:rPr>
        <w:t xml:space="preserve">  Where are they getting advice and what is the </w:t>
      </w:r>
      <w:r w:rsidR="00B53079" w:rsidRPr="00381F61">
        <w:rPr>
          <w:rFonts w:ascii="Garamond" w:hAnsi="Garamond"/>
        </w:rPr>
        <w:t xml:space="preserve">extent and </w:t>
      </w:r>
      <w:r w:rsidR="002535FF" w:rsidRPr="00381F61">
        <w:rPr>
          <w:rFonts w:ascii="Garamond" w:hAnsi="Garamond"/>
        </w:rPr>
        <w:t>quality of that?</w:t>
      </w:r>
    </w:p>
    <w:p w14:paraId="7B6D7E5B" w14:textId="77777777" w:rsidR="00E55663" w:rsidRPr="00381F61" w:rsidRDefault="00E55663" w:rsidP="003E03E0">
      <w:pPr>
        <w:ind w:left="709"/>
        <w:jc w:val="both"/>
        <w:rPr>
          <w:rFonts w:ascii="Garamond" w:hAnsi="Garamond"/>
        </w:rPr>
      </w:pPr>
    </w:p>
    <w:p w14:paraId="01A24739" w14:textId="670F37A0" w:rsidR="0090538D" w:rsidRPr="00381F61" w:rsidRDefault="0090538D" w:rsidP="00E71CEB">
      <w:pPr>
        <w:pStyle w:val="ListParagraph"/>
        <w:numPr>
          <w:ilvl w:val="0"/>
          <w:numId w:val="35"/>
        </w:numPr>
        <w:ind w:left="709" w:hanging="349"/>
        <w:jc w:val="both"/>
        <w:rPr>
          <w:rFonts w:ascii="Garamond" w:hAnsi="Garamond"/>
        </w:rPr>
      </w:pPr>
      <w:r w:rsidRPr="00381F61">
        <w:rPr>
          <w:rFonts w:ascii="Garamond" w:hAnsi="Garamond"/>
        </w:rPr>
        <w:t>Do we really know whether New Zealanders need to save more for retirement than they do now?</w:t>
      </w:r>
      <w:r w:rsidR="00520ED3" w:rsidRPr="00381F61">
        <w:rPr>
          <w:rFonts w:ascii="Garamond" w:hAnsi="Garamond"/>
        </w:rPr>
        <w:t xml:space="preserve">  This will not be answered by asking New Zealanders whether they think they should be saving more but rather examining what they are doing about </w:t>
      </w:r>
      <w:r w:rsidR="00EB6E90" w:rsidRPr="00381F61">
        <w:rPr>
          <w:rFonts w:ascii="Garamond" w:hAnsi="Garamond"/>
        </w:rPr>
        <w:t>financial preparation</w:t>
      </w:r>
      <w:r w:rsidR="00520ED3" w:rsidRPr="00381F61">
        <w:rPr>
          <w:rFonts w:ascii="Garamond" w:hAnsi="Garamond"/>
        </w:rPr>
        <w:t xml:space="preserve"> for retirement (including buying and paying off the family home; </w:t>
      </w:r>
      <w:r w:rsidR="00513097" w:rsidRPr="00381F61">
        <w:rPr>
          <w:rFonts w:ascii="Garamond" w:hAnsi="Garamond"/>
        </w:rPr>
        <w:t xml:space="preserve">building a business; </w:t>
      </w:r>
      <w:r w:rsidR="00520ED3" w:rsidRPr="00381F61">
        <w:rPr>
          <w:rFonts w:ascii="Garamond" w:hAnsi="Garamond"/>
        </w:rPr>
        <w:t>acquiring skills that might suit post-‘retirement’ aspirations; potential inheritances etc</w:t>
      </w:r>
      <w:r w:rsidR="0034137A" w:rsidRPr="00381F61">
        <w:rPr>
          <w:rFonts w:ascii="Garamond" w:hAnsi="Garamond"/>
        </w:rPr>
        <w:t>.</w:t>
      </w:r>
      <w:r w:rsidR="00520ED3" w:rsidRPr="00381F61">
        <w:rPr>
          <w:rFonts w:ascii="Garamond" w:hAnsi="Garamond"/>
        </w:rPr>
        <w:t>).</w:t>
      </w:r>
    </w:p>
    <w:p w14:paraId="3A7EAC06" w14:textId="77777777" w:rsidR="00712AC1" w:rsidRPr="00381F61" w:rsidRDefault="00712AC1" w:rsidP="003E03E0">
      <w:pPr>
        <w:ind w:left="709"/>
        <w:jc w:val="both"/>
        <w:rPr>
          <w:rFonts w:ascii="Garamond" w:hAnsi="Garamond"/>
        </w:rPr>
      </w:pPr>
    </w:p>
    <w:p w14:paraId="79EAA9BD" w14:textId="5561E4AD" w:rsidR="00712AC1" w:rsidRPr="00381F61" w:rsidRDefault="00712AC1" w:rsidP="00E71CEB">
      <w:pPr>
        <w:pStyle w:val="ListParagraph"/>
        <w:numPr>
          <w:ilvl w:val="0"/>
          <w:numId w:val="35"/>
        </w:numPr>
        <w:ind w:left="709" w:hanging="349"/>
        <w:jc w:val="both"/>
        <w:rPr>
          <w:rFonts w:ascii="Garamond" w:hAnsi="Garamond"/>
        </w:rPr>
      </w:pPr>
      <w:r w:rsidRPr="00381F61">
        <w:rPr>
          <w:rFonts w:ascii="Garamond" w:hAnsi="Garamond"/>
        </w:rPr>
        <w:t xml:space="preserve">How do New Zealanders </w:t>
      </w:r>
      <w:r w:rsidR="00C74CC5" w:rsidRPr="00381F61">
        <w:rPr>
          <w:rFonts w:ascii="Garamond" w:hAnsi="Garamond"/>
        </w:rPr>
        <w:t>respond over time, both financially and behaviourally, to external changes (global and national financial conditions, labour market changes, technological changes</w:t>
      </w:r>
      <w:r w:rsidR="00317404" w:rsidRPr="00381F61">
        <w:rPr>
          <w:rFonts w:ascii="Garamond" w:hAnsi="Garamond"/>
        </w:rPr>
        <w:t>, regulatory changes</w:t>
      </w:r>
      <w:r w:rsidR="00C74CC5" w:rsidRPr="00381F61">
        <w:rPr>
          <w:rFonts w:ascii="Garamond" w:hAnsi="Garamond"/>
        </w:rPr>
        <w:t>)?</w:t>
      </w:r>
    </w:p>
    <w:p w14:paraId="2851FB43" w14:textId="77777777" w:rsidR="00885A2B" w:rsidRPr="00381F61" w:rsidRDefault="00885A2B" w:rsidP="0062635B">
      <w:pPr>
        <w:pStyle w:val="ListParagraph"/>
        <w:rPr>
          <w:rFonts w:ascii="Garamond" w:hAnsi="Garamond"/>
        </w:rPr>
      </w:pPr>
    </w:p>
    <w:p w14:paraId="278EB211" w14:textId="21CBB0F6" w:rsidR="00885A2B" w:rsidRPr="00381F61" w:rsidRDefault="00885A2B" w:rsidP="00E71CEB">
      <w:pPr>
        <w:pStyle w:val="ListParagraph"/>
        <w:numPr>
          <w:ilvl w:val="0"/>
          <w:numId w:val="35"/>
        </w:numPr>
        <w:ind w:left="709" w:hanging="349"/>
        <w:jc w:val="both"/>
        <w:rPr>
          <w:rFonts w:ascii="Garamond" w:hAnsi="Garamond"/>
        </w:rPr>
      </w:pPr>
      <w:r w:rsidRPr="00381F61">
        <w:rPr>
          <w:rFonts w:ascii="Garamond" w:hAnsi="Garamond"/>
        </w:rPr>
        <w:t>What impact do family separations and divorce have on New Zealanders’ preparations for retirement?</w:t>
      </w:r>
    </w:p>
    <w:p w14:paraId="0215F8F3" w14:textId="77777777" w:rsidR="00E55663" w:rsidRPr="00381F61" w:rsidRDefault="00E55663" w:rsidP="003E03E0">
      <w:pPr>
        <w:ind w:left="709"/>
        <w:jc w:val="both"/>
        <w:rPr>
          <w:rFonts w:ascii="Garamond" w:hAnsi="Garamond"/>
        </w:rPr>
      </w:pPr>
    </w:p>
    <w:p w14:paraId="2535B0A8" w14:textId="268DBDEA" w:rsidR="00E55663" w:rsidRPr="00381F61" w:rsidRDefault="00E55663" w:rsidP="00E71CEB">
      <w:pPr>
        <w:pStyle w:val="ListParagraph"/>
        <w:numPr>
          <w:ilvl w:val="0"/>
          <w:numId w:val="35"/>
        </w:numPr>
        <w:ind w:left="709" w:hanging="349"/>
        <w:jc w:val="both"/>
        <w:rPr>
          <w:rFonts w:ascii="Garamond" w:hAnsi="Garamond"/>
        </w:rPr>
      </w:pPr>
      <w:r w:rsidRPr="00381F61">
        <w:rPr>
          <w:rFonts w:ascii="Garamond" w:hAnsi="Garamond"/>
        </w:rPr>
        <w:t>Do we really know how New Zealanders</w:t>
      </w:r>
      <w:r w:rsidR="008767D5" w:rsidRPr="00381F61">
        <w:rPr>
          <w:rFonts w:ascii="Garamond" w:hAnsi="Garamond"/>
        </w:rPr>
        <w:t xml:space="preserve"> and their associated households</w:t>
      </w:r>
      <w:r w:rsidRPr="00381F61">
        <w:rPr>
          <w:rFonts w:ascii="Garamond" w:hAnsi="Garamond"/>
        </w:rPr>
        <w:t xml:space="preserve"> migrate financially from full-time work to full-time retirement?</w:t>
      </w:r>
    </w:p>
    <w:p w14:paraId="7EBFC4E2" w14:textId="77777777" w:rsidR="00E55663" w:rsidRPr="00381F61" w:rsidRDefault="00E55663" w:rsidP="003E03E0">
      <w:pPr>
        <w:ind w:left="709"/>
        <w:jc w:val="both"/>
        <w:rPr>
          <w:rFonts w:ascii="Garamond" w:hAnsi="Garamond"/>
        </w:rPr>
      </w:pPr>
    </w:p>
    <w:p w14:paraId="52ACCDF5" w14:textId="225C57CD" w:rsidR="00E55663" w:rsidRPr="00381F61" w:rsidRDefault="00E55663" w:rsidP="00E71CEB">
      <w:pPr>
        <w:pStyle w:val="ListParagraph"/>
        <w:numPr>
          <w:ilvl w:val="0"/>
          <w:numId w:val="35"/>
        </w:numPr>
        <w:ind w:left="709" w:hanging="349"/>
        <w:jc w:val="both"/>
        <w:rPr>
          <w:rFonts w:ascii="Garamond" w:hAnsi="Garamond"/>
        </w:rPr>
      </w:pPr>
      <w:r w:rsidRPr="00381F61">
        <w:rPr>
          <w:rFonts w:ascii="Garamond" w:hAnsi="Garamond"/>
        </w:rPr>
        <w:t>How does the state pension age of 65 affect New Zealanders’ decision-making about financial preparation for retirement and the retirement decision itself?</w:t>
      </w:r>
    </w:p>
    <w:p w14:paraId="3FA40FC7" w14:textId="77777777" w:rsidR="00685310" w:rsidRPr="00381F61" w:rsidRDefault="00685310" w:rsidP="00685310">
      <w:pPr>
        <w:jc w:val="both"/>
        <w:rPr>
          <w:rFonts w:ascii="Garamond" w:hAnsi="Garamond"/>
        </w:rPr>
      </w:pPr>
    </w:p>
    <w:p w14:paraId="04F3B156" w14:textId="744FF207" w:rsidR="00685310" w:rsidRPr="00381F61" w:rsidRDefault="00685310" w:rsidP="00685310">
      <w:pPr>
        <w:jc w:val="both"/>
        <w:rPr>
          <w:rFonts w:ascii="Garamond" w:hAnsi="Garamond"/>
        </w:rPr>
      </w:pPr>
      <w:r w:rsidRPr="00381F61">
        <w:rPr>
          <w:rFonts w:ascii="Garamond" w:hAnsi="Garamond"/>
        </w:rPr>
        <w:t>There is more on the issues associated with questions 6 and 7 in the next section 1</w:t>
      </w:r>
      <w:r w:rsidR="000856CF" w:rsidRPr="00381F61">
        <w:rPr>
          <w:rFonts w:ascii="Garamond" w:hAnsi="Garamond"/>
        </w:rPr>
        <w:t>6</w:t>
      </w:r>
      <w:r w:rsidRPr="00381F61">
        <w:rPr>
          <w:rFonts w:ascii="Garamond" w:hAnsi="Garamond"/>
        </w:rPr>
        <w:t>.</w:t>
      </w:r>
    </w:p>
    <w:p w14:paraId="4D8A56B6" w14:textId="4F2D7495" w:rsidR="00A97583" w:rsidRPr="00381F61" w:rsidRDefault="00A97583" w:rsidP="00E71CEB">
      <w:pPr>
        <w:jc w:val="both"/>
        <w:rPr>
          <w:rFonts w:ascii="Garamond" w:hAnsi="Garamond"/>
        </w:rPr>
      </w:pPr>
      <w:r w:rsidRPr="00381F61">
        <w:rPr>
          <w:rFonts w:ascii="Garamond" w:hAnsi="Garamond"/>
        </w:rPr>
        <w:br w:type="page"/>
      </w:r>
    </w:p>
    <w:p w14:paraId="3652F36C" w14:textId="3A04F15A" w:rsidR="0058000F" w:rsidRPr="00381F61" w:rsidRDefault="00A97583" w:rsidP="00E71CEB">
      <w:pPr>
        <w:ind w:left="709" w:hanging="709"/>
        <w:jc w:val="both"/>
        <w:rPr>
          <w:rFonts w:ascii="Garamond" w:hAnsi="Garamond"/>
          <w:b/>
        </w:rPr>
      </w:pPr>
      <w:r w:rsidRPr="00381F61">
        <w:rPr>
          <w:rFonts w:ascii="Garamond" w:hAnsi="Garamond"/>
          <w:b/>
        </w:rPr>
        <w:t>1</w:t>
      </w:r>
      <w:r w:rsidR="00F519BC" w:rsidRPr="00381F61">
        <w:rPr>
          <w:rFonts w:ascii="Garamond" w:hAnsi="Garamond"/>
          <w:b/>
        </w:rPr>
        <w:t>6</w:t>
      </w:r>
      <w:r w:rsidRPr="00381F61">
        <w:rPr>
          <w:rFonts w:ascii="Garamond" w:hAnsi="Garamond"/>
          <w:b/>
        </w:rPr>
        <w:t xml:space="preserve">. </w:t>
      </w:r>
      <w:r w:rsidR="00F80DA6" w:rsidRPr="00381F61">
        <w:rPr>
          <w:rFonts w:ascii="Garamond" w:hAnsi="Garamond"/>
          <w:b/>
        </w:rPr>
        <w:tab/>
      </w:r>
      <w:r w:rsidR="0058000F" w:rsidRPr="00381F61">
        <w:rPr>
          <w:rFonts w:ascii="Garamond" w:hAnsi="Garamond"/>
          <w:b/>
        </w:rPr>
        <w:t xml:space="preserve">When do New Zealanders ‘retire’?  </w:t>
      </w:r>
      <w:r w:rsidR="004D3A3C" w:rsidRPr="00381F61">
        <w:rPr>
          <w:rFonts w:ascii="Garamond" w:hAnsi="Garamond"/>
          <w:b/>
        </w:rPr>
        <w:t>The need for labour market data of New Zealanders’ labo</w:t>
      </w:r>
      <w:r w:rsidR="00513097" w:rsidRPr="00381F61">
        <w:rPr>
          <w:rFonts w:ascii="Garamond" w:hAnsi="Garamond"/>
          <w:b/>
        </w:rPr>
        <w:t>ur force participation from age</w:t>
      </w:r>
      <w:r w:rsidR="004D3A3C" w:rsidRPr="00381F61">
        <w:rPr>
          <w:rFonts w:ascii="Garamond" w:hAnsi="Garamond"/>
          <w:b/>
        </w:rPr>
        <w:t xml:space="preserve"> 50 onwards.</w:t>
      </w:r>
    </w:p>
    <w:p w14:paraId="035E6388" w14:textId="77777777" w:rsidR="001B5E3F" w:rsidRPr="00381F61" w:rsidRDefault="001B5E3F" w:rsidP="00E71CEB">
      <w:pPr>
        <w:jc w:val="both"/>
        <w:rPr>
          <w:rFonts w:ascii="Garamond" w:hAnsi="Garamond"/>
        </w:rPr>
      </w:pPr>
    </w:p>
    <w:p w14:paraId="5BD6A83D" w14:textId="2D91724E" w:rsidR="001B5E3F" w:rsidRPr="00381F61" w:rsidRDefault="00F80DA6" w:rsidP="00E71CEB">
      <w:pPr>
        <w:jc w:val="both"/>
        <w:rPr>
          <w:rFonts w:ascii="Garamond" w:hAnsi="Garamond"/>
        </w:rPr>
      </w:pPr>
      <w:r w:rsidRPr="00381F61">
        <w:rPr>
          <w:rFonts w:ascii="Garamond" w:hAnsi="Garamond"/>
        </w:rPr>
        <w:t xml:space="preserve">New Zealand Superannuation’s state pension age has a significant influence on the behaviour of older workers.  Aspects of this were covered in the RPRC’s 2012 </w:t>
      </w:r>
      <w:r w:rsidR="00DD38AE" w:rsidRPr="00381F61">
        <w:rPr>
          <w:rFonts w:ascii="Garamond" w:hAnsi="Garamond"/>
          <w:i/>
        </w:rPr>
        <w:t>PensionCommentary</w:t>
      </w:r>
      <w:r w:rsidRPr="00381F61">
        <w:rPr>
          <w:rFonts w:ascii="Garamond" w:hAnsi="Garamond"/>
          <w:i/>
        </w:rPr>
        <w:t xml:space="preserve"> 2012-4, A commentary on older workers and some HR issues facing employers</w:t>
      </w:r>
      <w:r w:rsidRPr="00381F61">
        <w:rPr>
          <w:rFonts w:ascii="Garamond" w:hAnsi="Garamond"/>
        </w:rPr>
        <w:t xml:space="preserve"> (accessible </w:t>
      </w:r>
      <w:hyperlink r:id="rId60" w:history="1">
        <w:r w:rsidRPr="00381F61">
          <w:rPr>
            <w:rStyle w:val="Hyperlink"/>
            <w:rFonts w:ascii="Garamond" w:hAnsi="Garamond"/>
          </w:rPr>
          <w:t>here</w:t>
        </w:r>
      </w:hyperlink>
      <w:r w:rsidRPr="00381F61">
        <w:rPr>
          <w:rFonts w:ascii="Garamond" w:hAnsi="Garamond"/>
        </w:rPr>
        <w:t>).</w:t>
      </w:r>
    </w:p>
    <w:p w14:paraId="1E3B25B2" w14:textId="77777777" w:rsidR="00F80DA6" w:rsidRPr="00381F61" w:rsidRDefault="00F80DA6" w:rsidP="00E71CEB">
      <w:pPr>
        <w:jc w:val="both"/>
        <w:rPr>
          <w:rFonts w:ascii="Garamond" w:hAnsi="Garamond"/>
        </w:rPr>
      </w:pPr>
    </w:p>
    <w:p w14:paraId="58383895" w14:textId="21F8A463" w:rsidR="00DD38AE" w:rsidRPr="00381F61" w:rsidRDefault="00CD4C8C" w:rsidP="00E71CEB">
      <w:pPr>
        <w:pStyle w:val="Footer"/>
        <w:jc w:val="both"/>
        <w:rPr>
          <w:rFonts w:ascii="Garamond" w:hAnsi="Garamond"/>
        </w:rPr>
      </w:pPr>
      <w:r w:rsidRPr="00381F61">
        <w:rPr>
          <w:rFonts w:ascii="Garamond" w:hAnsi="Garamond"/>
        </w:rPr>
        <w:t>Internationally, t</w:t>
      </w:r>
      <w:r w:rsidR="00DD38AE" w:rsidRPr="00381F61">
        <w:rPr>
          <w:rFonts w:ascii="Garamond" w:hAnsi="Garamond"/>
        </w:rPr>
        <w:t xml:space="preserve">he </w:t>
      </w:r>
      <w:r w:rsidR="00DD38AE" w:rsidRPr="00381F61">
        <w:rPr>
          <w:rFonts w:ascii="Garamond" w:hAnsi="Garamond"/>
          <w:i/>
        </w:rPr>
        <w:t>state pension age</w:t>
      </w:r>
      <w:r w:rsidR="00DD38AE" w:rsidRPr="00381F61">
        <w:rPr>
          <w:rFonts w:ascii="Garamond" w:hAnsi="Garamond"/>
        </w:rPr>
        <w:t xml:space="preserve"> is the eligibility age for the state pension payable at the ‘normal’ rates.  In some countries</w:t>
      </w:r>
      <w:r w:rsidR="00513097" w:rsidRPr="00381F61">
        <w:rPr>
          <w:rFonts w:ascii="Garamond" w:hAnsi="Garamond"/>
        </w:rPr>
        <w:t xml:space="preserve"> (such as </w:t>
      </w:r>
      <w:r w:rsidR="00DD38AE" w:rsidRPr="00381F61">
        <w:rPr>
          <w:rFonts w:ascii="Garamond" w:hAnsi="Garamond"/>
        </w:rPr>
        <w:t xml:space="preserve">the US), state pensions can start at a reduced rate from an earlier age </w:t>
      </w:r>
      <w:r w:rsidR="00732294" w:rsidRPr="00381F61">
        <w:rPr>
          <w:rFonts w:ascii="Garamond" w:hAnsi="Garamond"/>
        </w:rPr>
        <w:t>(62</w:t>
      </w:r>
      <w:r w:rsidR="001F4E87" w:rsidRPr="00381F61">
        <w:rPr>
          <w:rFonts w:ascii="Garamond" w:hAnsi="Garamond"/>
        </w:rPr>
        <w:t xml:space="preserve"> in the US</w:t>
      </w:r>
      <w:r w:rsidR="00F121C0" w:rsidRPr="00381F61">
        <w:rPr>
          <w:rFonts w:ascii="Garamond" w:hAnsi="Garamond"/>
        </w:rPr>
        <w:t>; 63 in Germany</w:t>
      </w:r>
      <w:r w:rsidR="00732294" w:rsidRPr="00381F61">
        <w:rPr>
          <w:rFonts w:ascii="Garamond" w:hAnsi="Garamond"/>
        </w:rPr>
        <w:t xml:space="preserve">) </w:t>
      </w:r>
      <w:r w:rsidR="00DD38AE" w:rsidRPr="00381F61">
        <w:rPr>
          <w:rFonts w:ascii="Garamond" w:hAnsi="Garamond"/>
        </w:rPr>
        <w:t>or at an increased rate from a later age</w:t>
      </w:r>
      <w:r w:rsidR="00732294" w:rsidRPr="00381F61">
        <w:rPr>
          <w:rFonts w:ascii="Garamond" w:hAnsi="Garamond"/>
        </w:rPr>
        <w:t xml:space="preserve"> (up to age 70)</w:t>
      </w:r>
      <w:r w:rsidR="001F67B8" w:rsidRPr="00381F61">
        <w:rPr>
          <w:rStyle w:val="FootnoteReference"/>
          <w:rFonts w:ascii="Garamond" w:hAnsi="Garamond"/>
        </w:rPr>
        <w:footnoteReference w:id="208"/>
      </w:r>
      <w:r w:rsidR="00DD38AE" w:rsidRPr="00381F61">
        <w:rPr>
          <w:rFonts w:ascii="Garamond" w:hAnsi="Garamond"/>
        </w:rPr>
        <w:t>.</w:t>
      </w:r>
    </w:p>
    <w:p w14:paraId="7FDF951A" w14:textId="77777777" w:rsidR="00DD38AE" w:rsidRPr="00381F61" w:rsidRDefault="00DD38AE" w:rsidP="00E71CEB">
      <w:pPr>
        <w:pStyle w:val="Footer"/>
        <w:jc w:val="both"/>
        <w:rPr>
          <w:rFonts w:ascii="Garamond" w:hAnsi="Garamond"/>
        </w:rPr>
      </w:pPr>
    </w:p>
    <w:p w14:paraId="3F67F2A4" w14:textId="09E98053" w:rsidR="00DD38AE" w:rsidRPr="00381F61" w:rsidRDefault="00DD38AE" w:rsidP="00E71CEB">
      <w:pPr>
        <w:pStyle w:val="Footer"/>
        <w:jc w:val="both"/>
        <w:rPr>
          <w:rFonts w:ascii="Garamond" w:hAnsi="Garamond"/>
        </w:rPr>
      </w:pPr>
      <w:r w:rsidRPr="00381F61">
        <w:rPr>
          <w:rFonts w:ascii="Garamond" w:hAnsi="Garamond"/>
        </w:rPr>
        <w:t xml:space="preserve">The </w:t>
      </w:r>
      <w:r w:rsidRPr="00381F61">
        <w:rPr>
          <w:rFonts w:ascii="Garamond" w:hAnsi="Garamond"/>
          <w:i/>
        </w:rPr>
        <w:t>retirement age</w:t>
      </w:r>
      <w:r w:rsidRPr="00381F61">
        <w:rPr>
          <w:rFonts w:ascii="Garamond" w:hAnsi="Garamond"/>
        </w:rPr>
        <w:t xml:space="preserve"> is when workers stop their </w:t>
      </w:r>
      <w:r w:rsidR="00513097" w:rsidRPr="00381F61">
        <w:rPr>
          <w:rFonts w:ascii="Garamond" w:hAnsi="Garamond"/>
        </w:rPr>
        <w:t xml:space="preserve">‘main’ </w:t>
      </w:r>
      <w:r w:rsidRPr="00381F61">
        <w:rPr>
          <w:rFonts w:ascii="Garamond" w:hAnsi="Garamond"/>
        </w:rPr>
        <w:t>paid employment and start to depend on income from pensions or other resources.  There is often no clear break between ‘work’ and ‘retirement’, with some workers gradually reducing their paid hours in the transition from full-time work to ‘full-time’ retirement.  Also, many change ‘careers’ as part of the work/retirement transition.  Nevertheless, some workers have no choice about ‘retirement’ as sickness, unemployment or family duties force the transition.</w:t>
      </w:r>
    </w:p>
    <w:p w14:paraId="11D46282" w14:textId="77777777" w:rsidR="00DD38AE" w:rsidRPr="00381F61" w:rsidRDefault="00DD38AE" w:rsidP="00E71CEB">
      <w:pPr>
        <w:pStyle w:val="Footer"/>
        <w:jc w:val="both"/>
        <w:rPr>
          <w:rFonts w:ascii="Garamond" w:hAnsi="Garamond"/>
        </w:rPr>
      </w:pPr>
    </w:p>
    <w:p w14:paraId="1BD3E268" w14:textId="77777777" w:rsidR="00DD38AE" w:rsidRPr="00381F61" w:rsidRDefault="00DD38AE" w:rsidP="00E71CEB">
      <w:pPr>
        <w:pStyle w:val="Footer"/>
        <w:jc w:val="both"/>
        <w:rPr>
          <w:rFonts w:ascii="Garamond" w:hAnsi="Garamond"/>
        </w:rPr>
      </w:pPr>
      <w:r w:rsidRPr="00381F61">
        <w:rPr>
          <w:rFonts w:ascii="Garamond" w:hAnsi="Garamond"/>
        </w:rPr>
        <w:t>In recent decades, the retirement age in the developed world tended to be earlier than the state pension age as labour force participation rates amongst older workers reduced.  The gap has narrowed recently</w:t>
      </w:r>
      <w:r w:rsidRPr="00381F61">
        <w:rPr>
          <w:rStyle w:val="FootnoteReference"/>
          <w:rFonts w:ascii="Garamond" w:hAnsi="Garamond"/>
        </w:rPr>
        <w:footnoteReference w:id="209"/>
      </w:r>
      <w:r w:rsidRPr="00381F61">
        <w:rPr>
          <w:rFonts w:ascii="Garamond" w:hAnsi="Garamond"/>
        </w:rPr>
        <w:t>.  In part, that has been caused by economic conditions but changes to state pension systems have also directly influenced change.  Longer healthy lives are also a factor.</w:t>
      </w:r>
    </w:p>
    <w:p w14:paraId="2AA166B5" w14:textId="77777777" w:rsidR="00DD38AE" w:rsidRPr="00381F61" w:rsidRDefault="00DD38AE" w:rsidP="00E71CEB">
      <w:pPr>
        <w:pStyle w:val="Footer"/>
        <w:jc w:val="both"/>
        <w:rPr>
          <w:rFonts w:ascii="Garamond" w:hAnsi="Garamond"/>
        </w:rPr>
      </w:pPr>
    </w:p>
    <w:p w14:paraId="0CEDE6B4" w14:textId="472C988E" w:rsidR="00DD38AE" w:rsidRPr="00381F61" w:rsidRDefault="00DD38AE" w:rsidP="00E71CEB">
      <w:pPr>
        <w:pStyle w:val="Footer"/>
        <w:jc w:val="both"/>
        <w:rPr>
          <w:rFonts w:ascii="Garamond" w:hAnsi="Garamond"/>
        </w:rPr>
      </w:pPr>
      <w:r w:rsidRPr="00381F61">
        <w:rPr>
          <w:rFonts w:ascii="Garamond" w:hAnsi="Garamond"/>
        </w:rPr>
        <w:t>As New Zealand’s baby boomers are now entering the retirement ‘window’, what they decide to do about retirement will have very large fiscal, labour force and investment consequences.  Baby boomers have had significant impacts on New Zealand’s social, economic and fiscal experiences since the first of them were born in 1946.  As New Zealand experiences the process of their retirement, we must anticipate similar impacts on pensions, savings decumulation, housing and age-care services.</w:t>
      </w:r>
    </w:p>
    <w:p w14:paraId="108AA587" w14:textId="77777777" w:rsidR="00EC60D2" w:rsidRPr="00381F61" w:rsidRDefault="00EC60D2" w:rsidP="00E71CEB">
      <w:pPr>
        <w:pStyle w:val="Footer"/>
        <w:jc w:val="both"/>
        <w:rPr>
          <w:rFonts w:ascii="Garamond" w:hAnsi="Garamond"/>
        </w:rPr>
      </w:pPr>
    </w:p>
    <w:p w14:paraId="31FCEE95" w14:textId="1576342B" w:rsidR="00EC60D2" w:rsidRPr="00381F61" w:rsidRDefault="00EC60D2" w:rsidP="00E71CEB">
      <w:pPr>
        <w:pStyle w:val="Footer"/>
        <w:jc w:val="both"/>
        <w:rPr>
          <w:rFonts w:ascii="Garamond" w:hAnsi="Garamond"/>
        </w:rPr>
      </w:pPr>
      <w:r w:rsidRPr="00381F61">
        <w:rPr>
          <w:rFonts w:ascii="Garamond" w:hAnsi="Garamond"/>
        </w:rPr>
        <w:t xml:space="preserve">The RPRC’s </w:t>
      </w:r>
      <w:r w:rsidRPr="00381F61">
        <w:rPr>
          <w:rFonts w:ascii="Garamond" w:hAnsi="Garamond"/>
          <w:i/>
        </w:rPr>
        <w:t xml:space="preserve">Updating data on older workers </w:t>
      </w:r>
      <w:r w:rsidRPr="00381F61">
        <w:rPr>
          <w:rFonts w:ascii="Garamond" w:hAnsi="Garamond"/>
        </w:rPr>
        <w:t>(</w:t>
      </w:r>
      <w:r w:rsidRPr="00381F61">
        <w:rPr>
          <w:rFonts w:ascii="Garamond" w:hAnsi="Garamond"/>
          <w:i/>
        </w:rPr>
        <w:t>PensionBriefing 2014-4</w:t>
      </w:r>
      <w:r w:rsidRPr="00381F61">
        <w:rPr>
          <w:rFonts w:ascii="Garamond" w:hAnsi="Garamond"/>
        </w:rPr>
        <w:t xml:space="preserve">, accessible </w:t>
      </w:r>
      <w:hyperlink r:id="rId61" w:history="1">
        <w:r w:rsidRPr="00381F61">
          <w:rPr>
            <w:rStyle w:val="Hyperlink"/>
            <w:rFonts w:ascii="Garamond" w:hAnsi="Garamond"/>
          </w:rPr>
          <w:t>here</w:t>
        </w:r>
      </w:hyperlink>
      <w:r w:rsidRPr="00381F61">
        <w:rPr>
          <w:rFonts w:ascii="Garamond" w:hAnsi="Garamond"/>
        </w:rPr>
        <w:t>) summarised data on labour force participation rates of older workers</w:t>
      </w:r>
      <w:r w:rsidR="00CE4E91" w:rsidRPr="00381F61">
        <w:rPr>
          <w:rFonts w:ascii="Garamond" w:hAnsi="Garamond"/>
        </w:rPr>
        <w:t>:</w:t>
      </w:r>
    </w:p>
    <w:p w14:paraId="42FEE6F1" w14:textId="77777777" w:rsidR="00CE4E91" w:rsidRPr="00381F61" w:rsidRDefault="00CE4E91" w:rsidP="00E71CEB">
      <w:pPr>
        <w:pStyle w:val="Footer"/>
        <w:jc w:val="both"/>
        <w:rPr>
          <w:rFonts w:ascii="Garamond" w:hAnsi="Garamond"/>
          <w:sz w:val="8"/>
          <w:szCs w:val="8"/>
        </w:rPr>
      </w:pPr>
    </w:p>
    <w:p w14:paraId="1815F87C" w14:textId="666E1292" w:rsidR="00CE4E91" w:rsidRPr="00381F61" w:rsidRDefault="00CE4E91" w:rsidP="00E71CEB">
      <w:pPr>
        <w:ind w:left="709"/>
        <w:jc w:val="both"/>
        <w:rPr>
          <w:rFonts w:ascii="Garamond" w:hAnsi="Garamond"/>
          <w:sz w:val="22"/>
          <w:szCs w:val="22"/>
        </w:rPr>
      </w:pPr>
      <w:r w:rsidRPr="00381F61">
        <w:rPr>
          <w:rFonts w:ascii="Garamond" w:hAnsi="Garamond"/>
          <w:sz w:val="22"/>
          <w:szCs w:val="22"/>
        </w:rPr>
        <w:t>“In 2013, about 130,000 people aged 65+ were labour force participants, about six times the number of 27 years earlier.  The population aged 65+ grew by 77% over this period… while the population as a whole increased by only 30% (from 3.27 million in 1986 to 4.24 million in 2013).”</w:t>
      </w:r>
    </w:p>
    <w:p w14:paraId="2B786581" w14:textId="77777777" w:rsidR="00CE4E91" w:rsidRPr="00381F61" w:rsidRDefault="00CE4E91" w:rsidP="00E71CEB">
      <w:pPr>
        <w:pStyle w:val="Footer"/>
        <w:jc w:val="both"/>
        <w:rPr>
          <w:rFonts w:ascii="Garamond" w:hAnsi="Garamond"/>
        </w:rPr>
      </w:pPr>
    </w:p>
    <w:p w14:paraId="5E21CE84" w14:textId="676A7F4A" w:rsidR="00F80DA6" w:rsidRPr="00381F61" w:rsidRDefault="00CE4E91" w:rsidP="00E71CEB">
      <w:pPr>
        <w:jc w:val="both"/>
        <w:rPr>
          <w:rFonts w:ascii="Garamond" w:hAnsi="Garamond"/>
        </w:rPr>
      </w:pPr>
      <w:r w:rsidRPr="00381F61">
        <w:rPr>
          <w:rFonts w:ascii="Garamond" w:hAnsi="Garamond"/>
        </w:rPr>
        <w:t xml:space="preserve">Participation rates of an increasing number of New Zealanders in the age 65+ group should be of </w:t>
      </w:r>
      <w:r w:rsidR="00EC6CD5" w:rsidRPr="00381F61">
        <w:rPr>
          <w:rFonts w:ascii="Garamond" w:hAnsi="Garamond"/>
        </w:rPr>
        <w:t>interest to policymakers</w:t>
      </w:r>
      <w:r w:rsidR="0018680D" w:rsidRPr="00381F61">
        <w:rPr>
          <w:rFonts w:ascii="Garamond" w:hAnsi="Garamond"/>
        </w:rPr>
        <w:t>,</w:t>
      </w:r>
      <w:r w:rsidR="00EC6CD5" w:rsidRPr="00381F61">
        <w:rPr>
          <w:rFonts w:ascii="Garamond" w:hAnsi="Garamond"/>
        </w:rPr>
        <w:t xml:space="preserve"> but we do not know enough about this group</w:t>
      </w:r>
      <w:r w:rsidR="00CE71CB" w:rsidRPr="00381F61">
        <w:rPr>
          <w:rStyle w:val="FootnoteReference"/>
          <w:rFonts w:ascii="Garamond" w:hAnsi="Garamond"/>
        </w:rPr>
        <w:footnoteReference w:id="210"/>
      </w:r>
      <w:r w:rsidR="00EC6CD5" w:rsidRPr="00381F61">
        <w:rPr>
          <w:rFonts w:ascii="Garamond" w:hAnsi="Garamond"/>
        </w:rPr>
        <w:t>.</w:t>
      </w:r>
      <w:r w:rsidR="000D1EC6" w:rsidRPr="00381F61">
        <w:rPr>
          <w:rFonts w:ascii="Garamond" w:hAnsi="Garamond"/>
        </w:rPr>
        <w:t xml:space="preserve">  We know that New Zealanders are, on average, stopping paid employment at later ages than 20 years ago; also</w:t>
      </w:r>
      <w:r w:rsidR="0018680D" w:rsidRPr="00381F61">
        <w:rPr>
          <w:rFonts w:ascii="Garamond" w:hAnsi="Garamond"/>
        </w:rPr>
        <w:t>,</w:t>
      </w:r>
      <w:r w:rsidR="000D1EC6" w:rsidRPr="00381F61">
        <w:rPr>
          <w:rFonts w:ascii="Garamond" w:hAnsi="Garamond"/>
        </w:rPr>
        <w:t xml:space="preserve"> that some of those changes are probably influenced by the changes to the state pension age between 1977 and 2001.  The anti-discrimination provisions of the Human Rights Act</w:t>
      </w:r>
      <w:r w:rsidR="00751D18" w:rsidRPr="00381F61">
        <w:rPr>
          <w:rFonts w:ascii="Garamond" w:hAnsi="Garamond"/>
        </w:rPr>
        <w:t xml:space="preserve"> 1993</w:t>
      </w:r>
      <w:r w:rsidR="00751D18" w:rsidRPr="00381F61">
        <w:rPr>
          <w:rStyle w:val="FootnoteReference"/>
          <w:rFonts w:ascii="Garamond" w:hAnsi="Garamond"/>
        </w:rPr>
        <w:footnoteReference w:id="211"/>
      </w:r>
      <w:r w:rsidR="000D1EC6" w:rsidRPr="00381F61">
        <w:rPr>
          <w:rFonts w:ascii="Garamond" w:hAnsi="Garamond"/>
        </w:rPr>
        <w:t xml:space="preserve"> were also likely to have been an influence.</w:t>
      </w:r>
    </w:p>
    <w:p w14:paraId="52890FDF" w14:textId="77777777" w:rsidR="000D1EC6" w:rsidRPr="00381F61" w:rsidRDefault="000D1EC6" w:rsidP="00E71CEB">
      <w:pPr>
        <w:jc w:val="both"/>
        <w:rPr>
          <w:rFonts w:ascii="Garamond" w:hAnsi="Garamond"/>
        </w:rPr>
      </w:pPr>
    </w:p>
    <w:p w14:paraId="4D16A67A" w14:textId="330F16E6" w:rsidR="00D10EBE" w:rsidRPr="00381F61" w:rsidRDefault="00B73336" w:rsidP="00E71CEB">
      <w:pPr>
        <w:jc w:val="both"/>
        <w:rPr>
          <w:rFonts w:ascii="Garamond" w:hAnsi="Garamond"/>
          <w:bCs/>
        </w:rPr>
      </w:pPr>
      <w:r w:rsidRPr="00381F61">
        <w:rPr>
          <w:rFonts w:ascii="Garamond" w:hAnsi="Garamond"/>
          <w:bCs/>
        </w:rPr>
        <w:t>Some</w:t>
      </w:r>
      <w:r w:rsidR="000D1EC6" w:rsidRPr="00381F61">
        <w:rPr>
          <w:rFonts w:ascii="Garamond" w:hAnsi="Garamond"/>
          <w:bCs/>
        </w:rPr>
        <w:t xml:space="preserve"> work </w:t>
      </w:r>
      <w:r w:rsidRPr="00381F61">
        <w:rPr>
          <w:rFonts w:ascii="Garamond" w:hAnsi="Garamond"/>
          <w:bCs/>
        </w:rPr>
        <w:t xml:space="preserve">has been done </w:t>
      </w:r>
      <w:r w:rsidR="000D1EC6" w:rsidRPr="00381F61">
        <w:rPr>
          <w:rFonts w:ascii="Garamond" w:hAnsi="Garamond"/>
          <w:bCs/>
        </w:rPr>
        <w:t>to understand the main drivers for New Zealanders’ ‘retirement’ decisions</w:t>
      </w:r>
      <w:r w:rsidRPr="00381F61">
        <w:rPr>
          <w:rFonts w:ascii="Garamond" w:hAnsi="Garamond"/>
          <w:bCs/>
        </w:rPr>
        <w:t>.  Gorman, Scobie and Towers</w:t>
      </w:r>
      <w:r w:rsidR="000D1EC6" w:rsidRPr="00381F61">
        <w:rPr>
          <w:rFonts w:ascii="Garamond" w:hAnsi="Garamond"/>
          <w:bCs/>
        </w:rPr>
        <w:t xml:space="preserve"> used three waves of data (2006, 2008 and 2010) from the Survey of Family</w:t>
      </w:r>
      <w:r w:rsidRPr="00381F61">
        <w:rPr>
          <w:rFonts w:ascii="Garamond" w:hAnsi="Garamond"/>
          <w:bCs/>
        </w:rPr>
        <w:t xml:space="preserve"> Income and Employment (SoFIE) and </w:t>
      </w:r>
      <w:r w:rsidR="000D1EC6" w:rsidRPr="00381F61">
        <w:rPr>
          <w:rFonts w:ascii="Garamond" w:hAnsi="Garamond"/>
          <w:bCs/>
        </w:rPr>
        <w:t>concluded:</w:t>
      </w:r>
    </w:p>
    <w:p w14:paraId="279B2271" w14:textId="77777777" w:rsidR="000D1EC6" w:rsidRPr="00381F61" w:rsidRDefault="000D1EC6" w:rsidP="00E71CEB">
      <w:pPr>
        <w:jc w:val="both"/>
        <w:rPr>
          <w:rFonts w:ascii="Garamond" w:hAnsi="Garamond"/>
          <w:bCs/>
          <w:sz w:val="8"/>
        </w:rPr>
      </w:pPr>
    </w:p>
    <w:p w14:paraId="05850526" w14:textId="15DF495C" w:rsidR="000D1EC6" w:rsidRPr="00381F61" w:rsidRDefault="000D1EC6" w:rsidP="00E71CEB">
      <w:pPr>
        <w:ind w:left="709"/>
        <w:jc w:val="both"/>
        <w:rPr>
          <w:rFonts w:ascii="Garamond" w:hAnsi="Garamond"/>
          <w:sz w:val="22"/>
        </w:rPr>
      </w:pPr>
      <w:r w:rsidRPr="00381F61">
        <w:rPr>
          <w:rFonts w:ascii="Garamond" w:hAnsi="Garamond"/>
          <w:sz w:val="22"/>
        </w:rPr>
        <w:t>“In summary, we find poor health and eligibility for benefits or pensions to encourage exit from the labour force for both males and females; whilst continued employment of a spouse is associated with further participation for males.  For females, financial security appears to be a relatively important factor: higher household net wealth is associated with earlier retirement, and the dissolution of marriage with a higher likelihood of participation.  Additionally, we find that unobservable effects, specific to the individual, explain a substantial proportion of the retirement decision.”</w:t>
      </w:r>
      <w:r w:rsidR="00B73336" w:rsidRPr="00381F61">
        <w:rPr>
          <w:rStyle w:val="FootnoteReference"/>
          <w:rFonts w:ascii="Garamond" w:hAnsi="Garamond"/>
          <w:sz w:val="22"/>
        </w:rPr>
        <w:footnoteReference w:id="212"/>
      </w:r>
    </w:p>
    <w:p w14:paraId="5B2329D7" w14:textId="4B6AA8E8" w:rsidR="000D1EC6" w:rsidRPr="00381F61" w:rsidRDefault="000D1EC6" w:rsidP="00E71CEB">
      <w:pPr>
        <w:jc w:val="both"/>
        <w:rPr>
          <w:rFonts w:ascii="Garamond" w:hAnsi="Garamond"/>
          <w:bCs/>
        </w:rPr>
      </w:pPr>
    </w:p>
    <w:p w14:paraId="6F090F4B" w14:textId="6D5B2831" w:rsidR="000D1EC6" w:rsidRPr="00381F61" w:rsidRDefault="000D1EC6" w:rsidP="00E71CEB">
      <w:pPr>
        <w:jc w:val="both"/>
        <w:rPr>
          <w:rFonts w:ascii="Garamond" w:hAnsi="Garamond"/>
          <w:bCs/>
        </w:rPr>
      </w:pPr>
      <w:r w:rsidRPr="00381F61">
        <w:rPr>
          <w:rFonts w:ascii="Garamond" w:hAnsi="Garamond"/>
          <w:bCs/>
        </w:rPr>
        <w:t>Other influences beyond individual circumstances include:</w:t>
      </w:r>
    </w:p>
    <w:p w14:paraId="499CA98E" w14:textId="77777777" w:rsidR="000D1EC6" w:rsidRPr="00381F61" w:rsidRDefault="000D1EC6" w:rsidP="00E71CEB">
      <w:pPr>
        <w:jc w:val="both"/>
        <w:rPr>
          <w:rFonts w:ascii="Garamond" w:hAnsi="Garamond"/>
          <w:bCs/>
          <w:sz w:val="8"/>
        </w:rPr>
      </w:pPr>
    </w:p>
    <w:p w14:paraId="1A21896D" w14:textId="7BB1C31A" w:rsidR="000D1EC6" w:rsidRPr="00381F61" w:rsidRDefault="000D1EC6" w:rsidP="00E71CEB">
      <w:pPr>
        <w:ind w:left="709"/>
        <w:jc w:val="both"/>
        <w:rPr>
          <w:rFonts w:ascii="Garamond" w:hAnsi="Garamond"/>
          <w:bCs/>
          <w:sz w:val="22"/>
        </w:rPr>
      </w:pPr>
      <w:r w:rsidRPr="00381F61">
        <w:rPr>
          <w:rFonts w:ascii="Garamond" w:hAnsi="Garamond"/>
          <w:bCs/>
          <w:sz w:val="22"/>
        </w:rPr>
        <w:t>“…growth of service industries, increased opportunities for part-time or contractual work, skill shortages and a more buoyant economy in the early years of the new millennium…” (Khawaja and Boddington, 2009, p.75)</w:t>
      </w:r>
      <w:r w:rsidR="00B73336" w:rsidRPr="00381F61">
        <w:rPr>
          <w:rStyle w:val="FootnoteReference"/>
          <w:rFonts w:ascii="Garamond" w:hAnsi="Garamond"/>
          <w:bCs/>
          <w:sz w:val="22"/>
        </w:rPr>
        <w:footnoteReference w:id="213"/>
      </w:r>
    </w:p>
    <w:p w14:paraId="13A1D019" w14:textId="77777777" w:rsidR="000D1EC6" w:rsidRPr="00381F61" w:rsidRDefault="000D1EC6" w:rsidP="00E71CEB">
      <w:pPr>
        <w:jc w:val="both"/>
        <w:rPr>
          <w:rFonts w:ascii="Garamond" w:hAnsi="Garamond"/>
          <w:bCs/>
        </w:rPr>
      </w:pPr>
    </w:p>
    <w:p w14:paraId="6F32B2D4" w14:textId="23251F6B" w:rsidR="000D1EC6" w:rsidRPr="00381F61" w:rsidRDefault="000D1EC6" w:rsidP="00E71CEB">
      <w:pPr>
        <w:jc w:val="both"/>
        <w:rPr>
          <w:rFonts w:ascii="Garamond" w:hAnsi="Garamond"/>
          <w:bCs/>
        </w:rPr>
      </w:pPr>
      <w:r w:rsidRPr="00381F61">
        <w:rPr>
          <w:rFonts w:ascii="Garamond" w:hAnsi="Garamond"/>
          <w:bCs/>
        </w:rPr>
        <w:t>U</w:t>
      </w:r>
      <w:r w:rsidR="003133D5" w:rsidRPr="00381F61">
        <w:rPr>
          <w:rFonts w:ascii="Garamond" w:hAnsi="Garamond"/>
          <w:bCs/>
        </w:rPr>
        <w:t>nited States</w:t>
      </w:r>
      <w:r w:rsidRPr="00381F61">
        <w:rPr>
          <w:rFonts w:ascii="Garamond" w:hAnsi="Garamond"/>
          <w:bCs/>
        </w:rPr>
        <w:t xml:space="preserve"> evidence suggests that the state of the local job market also has an influence.  The higher the local unemployment rate, the lower the rate of voluntary retirements.  That is possibly because retirees want different or part-time work as part of their transition to retirement and if that isn’t available, they prefer to stay put.  As a consequence, the lower the rate of voluntary retirements, the higher is the rate of ‘forced’ retirements</w:t>
      </w:r>
      <w:r w:rsidR="00B73336" w:rsidRPr="00381F61">
        <w:rPr>
          <w:rStyle w:val="FootnoteReference"/>
          <w:rFonts w:ascii="Garamond" w:hAnsi="Garamond"/>
          <w:bCs/>
        </w:rPr>
        <w:footnoteReference w:id="214"/>
      </w:r>
      <w:r w:rsidR="00B73336" w:rsidRPr="00381F61">
        <w:rPr>
          <w:rFonts w:ascii="Garamond" w:hAnsi="Garamond"/>
          <w:bCs/>
        </w:rPr>
        <w:t>.</w:t>
      </w:r>
    </w:p>
    <w:p w14:paraId="09CA0638" w14:textId="39358E7B" w:rsidR="00B73336" w:rsidRPr="00381F61" w:rsidRDefault="00B73336" w:rsidP="00E71CEB">
      <w:pPr>
        <w:jc w:val="both"/>
        <w:rPr>
          <w:rFonts w:ascii="Garamond" w:hAnsi="Garamond"/>
          <w:bCs/>
        </w:rPr>
      </w:pPr>
    </w:p>
    <w:p w14:paraId="6310092D" w14:textId="2D4820A0" w:rsidR="00B73336" w:rsidRPr="00381F61" w:rsidRDefault="00B73336" w:rsidP="00E71CEB">
      <w:pPr>
        <w:jc w:val="both"/>
        <w:rPr>
          <w:rFonts w:ascii="Garamond" w:hAnsi="Garamond"/>
        </w:rPr>
      </w:pPr>
      <w:r w:rsidRPr="00381F61">
        <w:rPr>
          <w:rFonts w:ascii="Garamond" w:hAnsi="Garamond"/>
        </w:rPr>
        <w:t>The changes in New Zealand’s state pension age between 1977 (red</w:t>
      </w:r>
      <w:r w:rsidR="00AF7D59" w:rsidRPr="00381F61">
        <w:rPr>
          <w:rFonts w:ascii="Garamond" w:hAnsi="Garamond"/>
        </w:rPr>
        <w:t xml:space="preserve">uced from 65 to 60) and 1991 to </w:t>
      </w:r>
      <w:r w:rsidR="00D10EBE" w:rsidRPr="00381F61">
        <w:rPr>
          <w:rFonts w:ascii="Garamond" w:hAnsi="Garamond"/>
        </w:rPr>
        <w:t>200</w:t>
      </w:r>
      <w:r w:rsidRPr="00381F61">
        <w:rPr>
          <w:rFonts w:ascii="Garamond" w:hAnsi="Garamond"/>
        </w:rPr>
        <w:t>1 (increased back to 65) were a natural experiment o</w:t>
      </w:r>
      <w:r w:rsidR="00524828" w:rsidRPr="00381F61">
        <w:rPr>
          <w:rFonts w:ascii="Garamond" w:hAnsi="Garamond"/>
        </w:rPr>
        <w:t xml:space="preserve">n the impact of the pension age on labour force participation rates.  </w:t>
      </w:r>
      <w:r w:rsidR="00C7673A" w:rsidRPr="00381F61">
        <w:rPr>
          <w:rFonts w:ascii="Garamond" w:hAnsi="Garamond"/>
        </w:rPr>
        <w:t xml:space="preserve">Roger </w:t>
      </w:r>
      <w:r w:rsidR="00524828" w:rsidRPr="00381F61">
        <w:rPr>
          <w:rFonts w:ascii="Garamond" w:hAnsi="Garamond"/>
        </w:rPr>
        <w:t>Hurnard (2005)</w:t>
      </w:r>
      <w:r w:rsidR="00524828" w:rsidRPr="00381F61">
        <w:rPr>
          <w:rStyle w:val="FootnoteReference"/>
          <w:rFonts w:ascii="Garamond" w:hAnsi="Garamond"/>
        </w:rPr>
        <w:footnoteReference w:id="215"/>
      </w:r>
      <w:r w:rsidR="00524828" w:rsidRPr="00381F61">
        <w:rPr>
          <w:rFonts w:ascii="Garamond" w:hAnsi="Garamond"/>
        </w:rPr>
        <w:t xml:space="preserve"> </w:t>
      </w:r>
      <w:r w:rsidR="00F94B68" w:rsidRPr="00381F61">
        <w:rPr>
          <w:rFonts w:ascii="Garamond" w:hAnsi="Garamond"/>
        </w:rPr>
        <w:t xml:space="preserve">found </w:t>
      </w:r>
      <w:r w:rsidR="00524828" w:rsidRPr="00381F61">
        <w:rPr>
          <w:rFonts w:ascii="Garamond" w:hAnsi="Garamond"/>
        </w:rPr>
        <w:t>that being becoming eligible for NZS dropped the participation rate for males by about 21 percentage points and by 7 percentage points for females.  For females, there is another inflection point that sees another “drop of a further 11 percentage points” a few years before the state pension age.  This presumably reflects the typical age difference between partners where the older male reaches state pension age first.  Hurnard also suggested that, because of the relative generosity of NZS, the state pension age may have a larger influence on the retirement age than in other countries with a relatively larger private component to retirement incomes.</w:t>
      </w:r>
    </w:p>
    <w:p w14:paraId="1457699D" w14:textId="426065B6" w:rsidR="00524828" w:rsidRPr="00381F61" w:rsidRDefault="00524828" w:rsidP="00E71CEB">
      <w:pPr>
        <w:jc w:val="both"/>
        <w:rPr>
          <w:rFonts w:ascii="Garamond" w:hAnsi="Garamond"/>
        </w:rPr>
      </w:pPr>
    </w:p>
    <w:p w14:paraId="787B582A" w14:textId="4006BBD9" w:rsidR="00524828" w:rsidRPr="00381F61" w:rsidRDefault="00524828" w:rsidP="00E71CEB">
      <w:pPr>
        <w:jc w:val="both"/>
        <w:rPr>
          <w:rFonts w:ascii="Garamond" w:hAnsi="Garamond"/>
        </w:rPr>
      </w:pPr>
      <w:r w:rsidRPr="00381F61">
        <w:rPr>
          <w:rFonts w:ascii="Garamond" w:hAnsi="Garamond"/>
        </w:rPr>
        <w:t xml:space="preserve">The state pension age was not the only influence in those changes to the labour force as </w:t>
      </w:r>
      <w:r w:rsidR="009B5110" w:rsidRPr="00381F61">
        <w:rPr>
          <w:rFonts w:ascii="Garamond" w:hAnsi="Garamond"/>
        </w:rPr>
        <w:t xml:space="preserve">major economic changes happened in the mid-1980s </w:t>
      </w:r>
      <w:r w:rsidR="004E575E" w:rsidRPr="00381F61">
        <w:rPr>
          <w:rFonts w:ascii="Garamond" w:hAnsi="Garamond"/>
        </w:rPr>
        <w:t>when</w:t>
      </w:r>
      <w:r w:rsidR="009B5110" w:rsidRPr="00381F61">
        <w:rPr>
          <w:rFonts w:ascii="Garamond" w:hAnsi="Garamond"/>
        </w:rPr>
        <w:t xml:space="preserve"> New Zealand’s economy was opened up.  That resulted in significant changes to the labour market.  The availability of NZS </w:t>
      </w:r>
      <w:r w:rsidR="004E575E" w:rsidRPr="00381F61">
        <w:rPr>
          <w:rFonts w:ascii="Garamond" w:hAnsi="Garamond"/>
        </w:rPr>
        <w:t xml:space="preserve">then </w:t>
      </w:r>
      <w:r w:rsidR="009B5110" w:rsidRPr="00381F61">
        <w:rPr>
          <w:rFonts w:ascii="Garamond" w:hAnsi="Garamond"/>
        </w:rPr>
        <w:t>from age 60 would have helped many through that transition.</w:t>
      </w:r>
    </w:p>
    <w:p w14:paraId="527F4F70" w14:textId="054F54E2" w:rsidR="009B5110" w:rsidRPr="00381F61" w:rsidRDefault="009B5110" w:rsidP="00E71CEB">
      <w:pPr>
        <w:jc w:val="both"/>
        <w:rPr>
          <w:rFonts w:ascii="Garamond" w:hAnsi="Garamond"/>
        </w:rPr>
      </w:pPr>
    </w:p>
    <w:p w14:paraId="3F50078C" w14:textId="496B2648" w:rsidR="00317188" w:rsidRPr="00381F61" w:rsidRDefault="00317188" w:rsidP="00E71CEB">
      <w:pPr>
        <w:jc w:val="both"/>
        <w:rPr>
          <w:rFonts w:ascii="Garamond" w:hAnsi="Garamond"/>
        </w:rPr>
      </w:pPr>
      <w:r w:rsidRPr="00381F61">
        <w:rPr>
          <w:rFonts w:ascii="Garamond" w:hAnsi="Garamond"/>
        </w:rPr>
        <w:t>The chart</w:t>
      </w:r>
      <w:r w:rsidR="008D29C8" w:rsidRPr="00381F61">
        <w:rPr>
          <w:rFonts w:ascii="Garamond" w:hAnsi="Garamond"/>
        </w:rPr>
        <w:t xml:space="preserve"> on the next page</w:t>
      </w:r>
      <w:r w:rsidRPr="00381F61">
        <w:rPr>
          <w:rFonts w:ascii="Garamond" w:hAnsi="Garamond"/>
        </w:rPr>
        <w:t xml:space="preserve"> illustrates the changes </w:t>
      </w:r>
      <w:r w:rsidR="00A80597" w:rsidRPr="00381F61">
        <w:rPr>
          <w:rFonts w:ascii="Garamond" w:hAnsi="Garamond"/>
        </w:rPr>
        <w:t xml:space="preserve">in older-age participation rates </w:t>
      </w:r>
      <w:r w:rsidR="007E771E" w:rsidRPr="00381F61">
        <w:rPr>
          <w:rFonts w:ascii="Garamond" w:hAnsi="Garamond"/>
        </w:rPr>
        <w:t xml:space="preserve">in New Zealand </w:t>
      </w:r>
      <w:r w:rsidR="00A80597" w:rsidRPr="00381F61">
        <w:rPr>
          <w:rFonts w:ascii="Garamond" w:hAnsi="Garamond"/>
        </w:rPr>
        <w:t>in the last 30 years:</w:t>
      </w:r>
    </w:p>
    <w:p w14:paraId="4383C546" w14:textId="77777777" w:rsidR="008D29C8" w:rsidRPr="00381F61" w:rsidRDefault="008D29C8" w:rsidP="00E71CEB">
      <w:pPr>
        <w:jc w:val="both"/>
        <w:rPr>
          <w:rFonts w:ascii="Garamond" w:hAnsi="Garamond"/>
        </w:rPr>
      </w:pPr>
    </w:p>
    <w:p w14:paraId="3133EBF1" w14:textId="4438AD05" w:rsidR="008D29C8" w:rsidRPr="00381F61" w:rsidRDefault="008D29C8" w:rsidP="00E71CEB">
      <w:pPr>
        <w:jc w:val="both"/>
        <w:rPr>
          <w:rFonts w:ascii="Garamond" w:hAnsi="Garamond"/>
        </w:rPr>
      </w:pPr>
      <w:r w:rsidRPr="00F766D5">
        <w:rPr>
          <w:rFonts w:ascii="Garamond" w:hAnsi="Garamond"/>
          <w:noProof/>
        </w:rPr>
        <mc:AlternateContent>
          <mc:Choice Requires="wps">
            <w:drawing>
              <wp:anchor distT="0" distB="0" distL="114300" distR="114300" simplePos="0" relativeHeight="251661312" behindDoc="0" locked="0" layoutInCell="1" allowOverlap="1" wp14:anchorId="46B4AC25" wp14:editId="129CBC8A">
                <wp:simplePos x="0" y="0"/>
                <wp:positionH relativeFrom="column">
                  <wp:posOffset>1080135</wp:posOffset>
                </wp:positionH>
                <wp:positionV relativeFrom="paragraph">
                  <wp:posOffset>114935</wp:posOffset>
                </wp:positionV>
                <wp:extent cx="3272790" cy="2631440"/>
                <wp:effectExtent l="0" t="0" r="29210" b="35560"/>
                <wp:wrapSquare wrapText="bothSides"/>
                <wp:docPr id="5" name="Text Box 5"/>
                <wp:cNvGraphicFramePr/>
                <a:graphic xmlns:a="http://schemas.openxmlformats.org/drawingml/2006/main">
                  <a:graphicData uri="http://schemas.microsoft.com/office/word/2010/wordprocessingShape">
                    <wps:wsp>
                      <wps:cNvSpPr txBox="1"/>
                      <wps:spPr>
                        <a:xfrm>
                          <a:off x="0" y="0"/>
                          <a:ext cx="3272790" cy="2631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2552C1" w14:textId="77777777" w:rsidR="00CD6F06" w:rsidRDefault="00CD6F06" w:rsidP="008D29C8">
                            <w:pPr>
                              <w:jc w:val="center"/>
                              <w:rPr>
                                <w:lang w:val="en-US"/>
                              </w:rPr>
                            </w:pPr>
                          </w:p>
                          <w:p w14:paraId="1FE49AF8" w14:textId="77777777" w:rsidR="00CD6F06" w:rsidRPr="008D29C8" w:rsidRDefault="00CD6F06" w:rsidP="008D29C8">
                            <w:pPr>
                              <w:jc w:val="center"/>
                              <w:rPr>
                                <w:lang w:val="en-US"/>
                              </w:rPr>
                            </w:pPr>
                            <w:r w:rsidRPr="0039327A">
                              <w:rPr>
                                <w:noProof/>
                              </w:rPr>
                              <w:drawing>
                                <wp:inline distT="0" distB="0" distL="0" distR="0" wp14:anchorId="2019E24E" wp14:editId="1C0B8562">
                                  <wp:extent cx="2921635" cy="22177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49140" cy="2238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4AC25" id="Text Box 5" o:spid="_x0000_s1027" type="#_x0000_t202" style="position:absolute;left:0;text-align:left;margin-left:85.05pt;margin-top:9.05pt;width:257.7pt;height:20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" filled="f" strokecolor="black [3213]">
                <v:textbox>
                  <w:txbxContent>
                    <w:p w14:paraId="512552C1" w14:textId="77777777" w:rsidR="00CD6F06" w:rsidRDefault="00CD6F06" w:rsidP="008D29C8">
                      <w:pPr>
                        <w:jc w:val="center"/>
                        <w:rPr>
                          <w:lang w:val="en-US"/>
                        </w:rPr>
                      </w:pPr>
                    </w:p>
                    <w:p w14:paraId="1FE49AF8" w14:textId="77777777" w:rsidR="00CD6F06" w:rsidRPr="008D29C8" w:rsidRDefault="00CD6F06" w:rsidP="008D29C8">
                      <w:pPr>
                        <w:jc w:val="center"/>
                        <w:rPr>
                          <w:lang w:val="en-US"/>
                        </w:rPr>
                      </w:pPr>
                      <w:r w:rsidRPr="0039327A">
                        <w:rPr>
                          <w:noProof/>
                        </w:rPr>
                        <w:drawing>
                          <wp:inline distT="0" distB="0" distL="0" distR="0" wp14:anchorId="2019E24E" wp14:editId="1C0B8562">
                            <wp:extent cx="2921635" cy="22177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49140" cy="2238665"/>
                                    </a:xfrm>
                                    <a:prstGeom prst="rect">
                                      <a:avLst/>
                                    </a:prstGeom>
                                  </pic:spPr>
                                </pic:pic>
                              </a:graphicData>
                            </a:graphic>
                          </wp:inline>
                        </w:drawing>
                      </w:r>
                    </w:p>
                  </w:txbxContent>
                </v:textbox>
                <w10:wrap type="square"/>
              </v:shape>
            </w:pict>
          </mc:Fallback>
        </mc:AlternateContent>
      </w:r>
    </w:p>
    <w:p w14:paraId="2FEF55DE" w14:textId="3393B2A2" w:rsidR="008D29C8" w:rsidRPr="00381F61" w:rsidRDefault="008D29C8" w:rsidP="00E71CEB">
      <w:pPr>
        <w:jc w:val="both"/>
        <w:rPr>
          <w:rFonts w:ascii="Garamond" w:hAnsi="Garamond"/>
        </w:rPr>
      </w:pPr>
    </w:p>
    <w:p w14:paraId="0BBDECE9" w14:textId="54FD988F" w:rsidR="008D29C8" w:rsidRPr="00381F61" w:rsidRDefault="008D29C8" w:rsidP="00E71CEB">
      <w:pPr>
        <w:jc w:val="both"/>
        <w:rPr>
          <w:rFonts w:ascii="Garamond" w:hAnsi="Garamond"/>
        </w:rPr>
      </w:pPr>
    </w:p>
    <w:p w14:paraId="10365028" w14:textId="104D151A" w:rsidR="008D29C8" w:rsidRPr="00381F61" w:rsidRDefault="008D29C8" w:rsidP="00E71CEB">
      <w:pPr>
        <w:jc w:val="both"/>
        <w:rPr>
          <w:rFonts w:ascii="Garamond" w:hAnsi="Garamond"/>
        </w:rPr>
      </w:pPr>
    </w:p>
    <w:p w14:paraId="0EADDA23" w14:textId="56BFD486" w:rsidR="008D29C8" w:rsidRPr="00381F61" w:rsidRDefault="008D29C8" w:rsidP="00E71CEB">
      <w:pPr>
        <w:jc w:val="both"/>
        <w:rPr>
          <w:rFonts w:ascii="Garamond" w:hAnsi="Garamond"/>
        </w:rPr>
      </w:pPr>
    </w:p>
    <w:p w14:paraId="3E962EC2" w14:textId="087F9323" w:rsidR="008D29C8" w:rsidRPr="00381F61" w:rsidRDefault="008D29C8" w:rsidP="00E71CEB">
      <w:pPr>
        <w:jc w:val="both"/>
        <w:rPr>
          <w:rFonts w:ascii="Garamond" w:hAnsi="Garamond"/>
        </w:rPr>
      </w:pPr>
    </w:p>
    <w:p w14:paraId="4E570FAD" w14:textId="57B0DBD3" w:rsidR="00A80597" w:rsidRPr="00381F61" w:rsidRDefault="00A80597" w:rsidP="00E71CEB">
      <w:pPr>
        <w:jc w:val="both"/>
        <w:rPr>
          <w:rFonts w:ascii="Garamond" w:hAnsi="Garamond"/>
        </w:rPr>
      </w:pPr>
    </w:p>
    <w:p w14:paraId="4B7A68C3" w14:textId="77777777" w:rsidR="008D29C8" w:rsidRPr="00381F61" w:rsidRDefault="008D29C8" w:rsidP="00E71CEB">
      <w:pPr>
        <w:jc w:val="both"/>
        <w:rPr>
          <w:rFonts w:ascii="Garamond" w:hAnsi="Garamond"/>
        </w:rPr>
      </w:pPr>
    </w:p>
    <w:p w14:paraId="0E65EF74" w14:textId="77777777" w:rsidR="008D29C8" w:rsidRPr="00381F61" w:rsidRDefault="008D29C8" w:rsidP="00E71CEB">
      <w:pPr>
        <w:jc w:val="both"/>
        <w:rPr>
          <w:rFonts w:ascii="Garamond" w:hAnsi="Garamond"/>
        </w:rPr>
      </w:pPr>
    </w:p>
    <w:p w14:paraId="779FFDBE" w14:textId="77777777" w:rsidR="008D29C8" w:rsidRPr="00381F61" w:rsidRDefault="008D29C8" w:rsidP="00E71CEB">
      <w:pPr>
        <w:jc w:val="both"/>
        <w:rPr>
          <w:rFonts w:ascii="Garamond" w:hAnsi="Garamond"/>
        </w:rPr>
      </w:pPr>
    </w:p>
    <w:p w14:paraId="4FD6629A" w14:textId="77777777" w:rsidR="008D29C8" w:rsidRPr="00381F61" w:rsidRDefault="008D29C8" w:rsidP="00E71CEB">
      <w:pPr>
        <w:jc w:val="both"/>
        <w:rPr>
          <w:rFonts w:ascii="Garamond" w:hAnsi="Garamond"/>
        </w:rPr>
      </w:pPr>
    </w:p>
    <w:p w14:paraId="6E917C18" w14:textId="77777777" w:rsidR="008D29C8" w:rsidRPr="00381F61" w:rsidRDefault="008D29C8" w:rsidP="00E71CEB">
      <w:pPr>
        <w:jc w:val="both"/>
        <w:rPr>
          <w:rFonts w:ascii="Garamond" w:hAnsi="Garamond"/>
        </w:rPr>
      </w:pPr>
    </w:p>
    <w:p w14:paraId="5E528FDD" w14:textId="77777777" w:rsidR="008D29C8" w:rsidRPr="00381F61" w:rsidRDefault="008D29C8" w:rsidP="00E71CEB">
      <w:pPr>
        <w:jc w:val="both"/>
        <w:rPr>
          <w:rFonts w:ascii="Garamond" w:hAnsi="Garamond"/>
        </w:rPr>
      </w:pPr>
    </w:p>
    <w:p w14:paraId="206607E6" w14:textId="77777777" w:rsidR="008D29C8" w:rsidRPr="00381F61" w:rsidRDefault="008D29C8" w:rsidP="00E71CEB">
      <w:pPr>
        <w:jc w:val="both"/>
        <w:rPr>
          <w:rFonts w:ascii="Garamond" w:hAnsi="Garamond"/>
        </w:rPr>
      </w:pPr>
    </w:p>
    <w:p w14:paraId="0549CAA4" w14:textId="77777777" w:rsidR="008D29C8" w:rsidRPr="00381F61" w:rsidRDefault="008D29C8" w:rsidP="00E71CEB">
      <w:pPr>
        <w:jc w:val="both"/>
        <w:rPr>
          <w:rFonts w:ascii="Garamond" w:hAnsi="Garamond"/>
        </w:rPr>
      </w:pPr>
    </w:p>
    <w:p w14:paraId="7AEF9F03" w14:textId="77777777" w:rsidR="008D29C8" w:rsidRPr="00381F61" w:rsidRDefault="008D29C8" w:rsidP="00E71CEB">
      <w:pPr>
        <w:jc w:val="both"/>
        <w:rPr>
          <w:rFonts w:ascii="Garamond" w:hAnsi="Garamond"/>
        </w:rPr>
      </w:pPr>
    </w:p>
    <w:p w14:paraId="55B42116" w14:textId="77777777" w:rsidR="008D29C8" w:rsidRPr="00381F61" w:rsidRDefault="008D29C8" w:rsidP="00E71CEB">
      <w:pPr>
        <w:jc w:val="both"/>
        <w:rPr>
          <w:rFonts w:ascii="Garamond" w:hAnsi="Garamond"/>
          <w:sz w:val="8"/>
          <w:szCs w:val="8"/>
        </w:rPr>
      </w:pPr>
    </w:p>
    <w:p w14:paraId="2385AE1B" w14:textId="5547B025" w:rsidR="00A80597" w:rsidRPr="00381F61" w:rsidRDefault="00A80597" w:rsidP="008D29C8">
      <w:pPr>
        <w:ind w:left="1701"/>
        <w:jc w:val="both"/>
        <w:rPr>
          <w:rFonts w:ascii="Garamond" w:hAnsi="Garamond"/>
          <w:sz w:val="20"/>
          <w:szCs w:val="20"/>
        </w:rPr>
      </w:pPr>
      <w:r w:rsidRPr="00381F61">
        <w:rPr>
          <w:rFonts w:ascii="Garamond" w:hAnsi="Garamond"/>
          <w:sz w:val="20"/>
          <w:szCs w:val="20"/>
        </w:rPr>
        <w:t>Source: Stat</w:t>
      </w:r>
      <w:r w:rsidR="004E575E" w:rsidRPr="00381F61">
        <w:rPr>
          <w:rFonts w:ascii="Garamond" w:hAnsi="Garamond"/>
          <w:sz w:val="20"/>
          <w:szCs w:val="20"/>
        </w:rPr>
        <w:t>s</w:t>
      </w:r>
      <w:r w:rsidRPr="00381F61">
        <w:rPr>
          <w:rFonts w:ascii="Garamond" w:hAnsi="Garamond"/>
          <w:sz w:val="20"/>
          <w:szCs w:val="20"/>
        </w:rPr>
        <w:t xml:space="preserve">NZ data </w:t>
      </w:r>
      <w:r w:rsidR="00527CBE" w:rsidRPr="00381F61">
        <w:rPr>
          <w:rFonts w:ascii="Garamond" w:hAnsi="Garamond"/>
          <w:sz w:val="20"/>
          <w:szCs w:val="20"/>
        </w:rPr>
        <w:t>(</w:t>
      </w:r>
      <w:r w:rsidR="00527CBE" w:rsidRPr="00381F61">
        <w:rPr>
          <w:rFonts w:ascii="Garamond" w:hAnsi="Garamond"/>
          <w:i/>
          <w:sz w:val="20"/>
          <w:szCs w:val="20"/>
        </w:rPr>
        <w:t>NZ Social Indicators</w:t>
      </w:r>
      <w:r w:rsidR="00527CBE" w:rsidRPr="00381F61">
        <w:rPr>
          <w:rFonts w:ascii="Garamond" w:hAnsi="Garamond"/>
          <w:sz w:val="20"/>
          <w:szCs w:val="20"/>
        </w:rPr>
        <w:t xml:space="preserve">) </w:t>
      </w:r>
      <w:r w:rsidRPr="00381F61">
        <w:rPr>
          <w:rFonts w:ascii="Garamond" w:hAnsi="Garamond"/>
          <w:sz w:val="20"/>
          <w:szCs w:val="20"/>
        </w:rPr>
        <w:t xml:space="preserve">accessible </w:t>
      </w:r>
      <w:hyperlink r:id="rId64" w:history="1">
        <w:r w:rsidRPr="00381F61">
          <w:rPr>
            <w:rStyle w:val="Hyperlink"/>
            <w:rFonts w:ascii="Garamond" w:hAnsi="Garamond"/>
            <w:sz w:val="20"/>
            <w:szCs w:val="20"/>
          </w:rPr>
          <w:t>here</w:t>
        </w:r>
      </w:hyperlink>
      <w:r w:rsidRPr="00381F61">
        <w:rPr>
          <w:rFonts w:ascii="Garamond" w:hAnsi="Garamond"/>
          <w:sz w:val="20"/>
          <w:szCs w:val="20"/>
        </w:rPr>
        <w:t>.</w:t>
      </w:r>
      <w:r w:rsidR="00801E47" w:rsidRPr="00381F61">
        <w:rPr>
          <w:rFonts w:ascii="Garamond" w:hAnsi="Garamond"/>
          <w:sz w:val="20"/>
          <w:szCs w:val="20"/>
        </w:rPr>
        <w:t xml:space="preserve"> </w:t>
      </w:r>
    </w:p>
    <w:p w14:paraId="0ABB944C" w14:textId="67ACA2CE" w:rsidR="00A80597" w:rsidRPr="00381F61" w:rsidRDefault="00A80597" w:rsidP="00E71CEB">
      <w:pPr>
        <w:jc w:val="both"/>
        <w:rPr>
          <w:rFonts w:ascii="Garamond" w:hAnsi="Garamond"/>
        </w:rPr>
      </w:pPr>
    </w:p>
    <w:p w14:paraId="79175F90" w14:textId="5A700D3E" w:rsidR="009B5110" w:rsidRPr="00381F61" w:rsidRDefault="00FD28F8" w:rsidP="00E71CEB">
      <w:pPr>
        <w:jc w:val="both"/>
        <w:rPr>
          <w:rFonts w:ascii="Garamond" w:hAnsi="Garamond"/>
        </w:rPr>
      </w:pPr>
      <w:r w:rsidRPr="00381F61">
        <w:rPr>
          <w:rFonts w:ascii="Garamond" w:hAnsi="Garamond"/>
        </w:rPr>
        <w:t>W</w:t>
      </w:r>
      <w:r w:rsidR="009B5110" w:rsidRPr="00381F61">
        <w:rPr>
          <w:rFonts w:ascii="Garamond" w:hAnsi="Garamond"/>
        </w:rPr>
        <w:t xml:space="preserve">e know very little about the present transitions of New Zealanders from fulltime work to </w:t>
      </w:r>
      <w:r w:rsidR="00C7673A" w:rsidRPr="00381F61">
        <w:rPr>
          <w:rFonts w:ascii="Garamond" w:hAnsi="Garamond"/>
        </w:rPr>
        <w:t>‘</w:t>
      </w:r>
      <w:r w:rsidR="009B5110" w:rsidRPr="00381F61">
        <w:rPr>
          <w:rFonts w:ascii="Garamond" w:hAnsi="Garamond"/>
        </w:rPr>
        <w:t>fulltime</w:t>
      </w:r>
      <w:r w:rsidR="00C7673A" w:rsidRPr="00381F61">
        <w:rPr>
          <w:rFonts w:ascii="Garamond" w:hAnsi="Garamond"/>
        </w:rPr>
        <w:t>’</w:t>
      </w:r>
      <w:r w:rsidR="009B5110" w:rsidRPr="00381F61">
        <w:rPr>
          <w:rFonts w:ascii="Garamond" w:hAnsi="Garamond"/>
        </w:rPr>
        <w:t xml:space="preserve"> retirement.  We do know that more New Zealanders, aged 65 and older, are working and that those proportions are still increasing</w:t>
      </w:r>
      <w:r w:rsidR="00C03766" w:rsidRPr="00381F61">
        <w:rPr>
          <w:rStyle w:val="FootnoteReference"/>
          <w:rFonts w:ascii="Garamond" w:hAnsi="Garamond"/>
        </w:rPr>
        <w:footnoteReference w:id="216"/>
      </w:r>
      <w:r w:rsidR="009B5110" w:rsidRPr="00381F61">
        <w:rPr>
          <w:rFonts w:ascii="Garamond" w:hAnsi="Garamond"/>
        </w:rPr>
        <w:t>; also</w:t>
      </w:r>
      <w:r w:rsidR="00CC3BB2" w:rsidRPr="00381F61">
        <w:rPr>
          <w:rFonts w:ascii="Garamond" w:hAnsi="Garamond"/>
        </w:rPr>
        <w:t>,</w:t>
      </w:r>
      <w:r w:rsidR="009B5110" w:rsidRPr="00381F61">
        <w:rPr>
          <w:rFonts w:ascii="Garamond" w:hAnsi="Garamond"/>
        </w:rPr>
        <w:t xml:space="preserve"> that the men’s participation rate is significantly higher than </w:t>
      </w:r>
      <w:r w:rsidR="00A63332" w:rsidRPr="00381F61">
        <w:rPr>
          <w:rFonts w:ascii="Garamond" w:hAnsi="Garamond"/>
        </w:rPr>
        <w:t>for women: 1.4x at ages 65-69 through to 2.1x at ages 81-85 (for a very small group at these oldest ages).</w:t>
      </w:r>
    </w:p>
    <w:p w14:paraId="158A0135" w14:textId="5B020D13" w:rsidR="005D02F5" w:rsidRPr="00381F61" w:rsidRDefault="005D02F5" w:rsidP="00E71CEB">
      <w:pPr>
        <w:jc w:val="both"/>
        <w:rPr>
          <w:rFonts w:ascii="Garamond" w:hAnsi="Garamond"/>
        </w:rPr>
      </w:pPr>
    </w:p>
    <w:p w14:paraId="1798EE4C" w14:textId="24EF2692" w:rsidR="00A2629D" w:rsidRPr="00381F61" w:rsidRDefault="00C14077" w:rsidP="00E71CEB">
      <w:pPr>
        <w:jc w:val="both"/>
        <w:rPr>
          <w:rFonts w:ascii="Garamond" w:hAnsi="Garamond"/>
        </w:rPr>
      </w:pPr>
      <w:r w:rsidRPr="00381F61">
        <w:rPr>
          <w:rFonts w:ascii="Garamond" w:hAnsi="Garamond"/>
        </w:rPr>
        <w:t>The ageing workforce carries with it a number of challenges</w:t>
      </w:r>
      <w:r w:rsidR="00B06C65" w:rsidRPr="00381F61">
        <w:rPr>
          <w:rFonts w:ascii="Garamond" w:hAnsi="Garamond"/>
        </w:rPr>
        <w:t xml:space="preserve"> that will have a direct bearing on ‘quality of life’ issues for older New Zealanders.  It also has significant implications for New Zealand’s employers as skilled</w:t>
      </w:r>
      <w:r w:rsidR="00A2629D" w:rsidRPr="00381F61">
        <w:rPr>
          <w:rFonts w:ascii="Garamond" w:hAnsi="Garamond"/>
        </w:rPr>
        <w:t>/knowledgeable workers retire.</w:t>
      </w:r>
      <w:r w:rsidR="00C7673A" w:rsidRPr="00381F61">
        <w:rPr>
          <w:rFonts w:ascii="Garamond" w:hAnsi="Garamond"/>
        </w:rPr>
        <w:t xml:space="preserve">  Employers should be thinking of strategies to retain (or retain access to) skilled older employees.</w:t>
      </w:r>
      <w:r w:rsidR="0057179A" w:rsidRPr="00381F61">
        <w:rPr>
          <w:rFonts w:ascii="Garamond" w:hAnsi="Garamond"/>
        </w:rPr>
        <w:t xml:space="preserve">  It would be interesting to see whether employers are doing anything about that.</w:t>
      </w:r>
    </w:p>
    <w:p w14:paraId="08BE02C0" w14:textId="77777777" w:rsidR="00A2629D" w:rsidRPr="00381F61" w:rsidRDefault="00A2629D" w:rsidP="00E71CEB">
      <w:pPr>
        <w:jc w:val="both"/>
        <w:rPr>
          <w:rFonts w:ascii="Garamond" w:hAnsi="Garamond"/>
        </w:rPr>
      </w:pPr>
    </w:p>
    <w:p w14:paraId="6A5D0361" w14:textId="1F1F4B2A" w:rsidR="005D02F5" w:rsidRPr="00381F61" w:rsidRDefault="00B06C65" w:rsidP="00E71CEB">
      <w:pPr>
        <w:jc w:val="both"/>
        <w:rPr>
          <w:rFonts w:ascii="Garamond" w:hAnsi="Garamond"/>
        </w:rPr>
      </w:pPr>
      <w:r w:rsidRPr="00381F61">
        <w:rPr>
          <w:rFonts w:ascii="Garamond" w:hAnsi="Garamond"/>
        </w:rPr>
        <w:t xml:space="preserve">Participation rates at older ages </w:t>
      </w:r>
      <w:r w:rsidR="00A40ABA" w:rsidRPr="00381F61">
        <w:rPr>
          <w:rFonts w:ascii="Garamond" w:hAnsi="Garamond"/>
        </w:rPr>
        <w:t>affect</w:t>
      </w:r>
      <w:r w:rsidRPr="00381F61">
        <w:rPr>
          <w:rFonts w:ascii="Garamond" w:hAnsi="Garamond"/>
        </w:rPr>
        <w:t xml:space="preserve"> the debate we need to have on the state pension age and on the size of the NZS pension itself.</w:t>
      </w:r>
      <w:r w:rsidR="008C37A4" w:rsidRPr="00381F61">
        <w:rPr>
          <w:rStyle w:val="FootnoteReference"/>
          <w:rFonts w:ascii="Garamond" w:hAnsi="Garamond"/>
        </w:rPr>
        <w:footnoteReference w:id="217"/>
      </w:r>
      <w:r w:rsidRPr="00381F61">
        <w:rPr>
          <w:rFonts w:ascii="Garamond" w:hAnsi="Garamond"/>
        </w:rPr>
        <w:t xml:space="preserve">  While some of those challenges are for employers to deal with, the government also has a role.  As explained in section 1</w:t>
      </w:r>
      <w:r w:rsidR="000856CF" w:rsidRPr="00381F61">
        <w:rPr>
          <w:rFonts w:ascii="Garamond" w:hAnsi="Garamond"/>
        </w:rPr>
        <w:t>1</w:t>
      </w:r>
      <w:r w:rsidRPr="00381F61">
        <w:rPr>
          <w:rFonts w:ascii="Garamond" w:hAnsi="Garamond"/>
        </w:rPr>
        <w:t xml:space="preserve"> (the role of</w:t>
      </w:r>
      <w:r w:rsidR="00062DC9" w:rsidRPr="00381F61">
        <w:rPr>
          <w:rFonts w:ascii="Garamond" w:hAnsi="Garamond"/>
        </w:rPr>
        <w:t xml:space="preserve"> the</w:t>
      </w:r>
      <w:r w:rsidRPr="00381F61">
        <w:rPr>
          <w:rFonts w:ascii="Garamond" w:hAnsi="Garamond"/>
        </w:rPr>
        <w:t xml:space="preserve"> government) only the government can deliver “impeccable, deep, accessible information on population trends, saving and investment behaviour and poverty issues associated with ageing.”</w:t>
      </w:r>
    </w:p>
    <w:p w14:paraId="09591899" w14:textId="77777777" w:rsidR="00B06C65" w:rsidRPr="00381F61" w:rsidRDefault="00B06C65" w:rsidP="00E71CEB">
      <w:pPr>
        <w:jc w:val="both"/>
        <w:rPr>
          <w:rFonts w:ascii="Garamond" w:hAnsi="Garamond"/>
        </w:rPr>
      </w:pPr>
    </w:p>
    <w:p w14:paraId="7C2106C1" w14:textId="77777777" w:rsidR="001D550C" w:rsidRPr="00381F61" w:rsidRDefault="001D550C" w:rsidP="001D550C">
      <w:pPr>
        <w:jc w:val="both"/>
        <w:rPr>
          <w:rFonts w:ascii="Garamond" w:hAnsi="Garamond"/>
        </w:rPr>
      </w:pPr>
      <w:r w:rsidRPr="00381F61">
        <w:rPr>
          <w:rFonts w:ascii="Garamond" w:hAnsi="Garamond"/>
          <w:b/>
        </w:rPr>
        <w:t>Terms of reference for 2019 Review</w:t>
      </w:r>
    </w:p>
    <w:p w14:paraId="1A0D1393" w14:textId="77777777" w:rsidR="001D550C" w:rsidRPr="00381F61" w:rsidRDefault="001D550C" w:rsidP="001D550C">
      <w:pPr>
        <w:jc w:val="both"/>
        <w:rPr>
          <w:rFonts w:ascii="Garamond" w:hAnsi="Garamond"/>
        </w:rPr>
      </w:pPr>
    </w:p>
    <w:p w14:paraId="02B4B2D1" w14:textId="51FA9B53" w:rsidR="001D550C" w:rsidRPr="00381F61" w:rsidRDefault="001D550C" w:rsidP="001D550C">
      <w:pPr>
        <w:jc w:val="both"/>
        <w:rPr>
          <w:rFonts w:ascii="Garamond" w:hAnsi="Garamond"/>
        </w:rPr>
      </w:pPr>
      <w:r w:rsidRPr="00381F61">
        <w:rPr>
          <w:rFonts w:ascii="Garamond" w:hAnsi="Garamond"/>
        </w:rPr>
        <w:t>The Terms of Reference for the Retirement Commissioner’s 2019 Review asked for information with respect to:</w:t>
      </w:r>
    </w:p>
    <w:p w14:paraId="693CA92E" w14:textId="77777777" w:rsidR="001D550C" w:rsidRPr="00381F61" w:rsidRDefault="001D550C" w:rsidP="001D550C">
      <w:pPr>
        <w:jc w:val="both"/>
        <w:rPr>
          <w:rFonts w:ascii="Garamond" w:hAnsi="Garamond"/>
          <w:sz w:val="8"/>
          <w:szCs w:val="8"/>
        </w:rPr>
      </w:pPr>
    </w:p>
    <w:p w14:paraId="1F71A4CE" w14:textId="3A264481" w:rsidR="001D550C" w:rsidRPr="00381F61" w:rsidRDefault="001D550C" w:rsidP="00891E0F">
      <w:pPr>
        <w:pStyle w:val="ListParagraph"/>
        <w:widowControl w:val="0"/>
        <w:tabs>
          <w:tab w:val="left" w:pos="1186"/>
          <w:tab w:val="left" w:pos="1187"/>
        </w:tabs>
        <w:autoSpaceDE w:val="0"/>
        <w:autoSpaceDN w:val="0"/>
        <w:ind w:left="284" w:right="-52"/>
        <w:contextualSpacing w:val="0"/>
        <w:jc w:val="both"/>
        <w:rPr>
          <w:rFonts w:ascii="Garamond" w:hAnsi="Garamond"/>
          <w:color w:val="1A1A1A"/>
          <w:sz w:val="22"/>
          <w:szCs w:val="22"/>
        </w:rPr>
      </w:pPr>
      <w:r w:rsidRPr="00381F61">
        <w:rPr>
          <w:rFonts w:ascii="Garamond" w:hAnsi="Garamond"/>
          <w:color w:val="1A1A1A"/>
          <w:sz w:val="22"/>
          <w:szCs w:val="22"/>
        </w:rPr>
        <w:t>“3 An</w:t>
      </w:r>
      <w:r w:rsidRPr="00381F61">
        <w:rPr>
          <w:rFonts w:ascii="Garamond" w:hAnsi="Garamond"/>
          <w:color w:val="1A1A1A"/>
          <w:spacing w:val="-10"/>
          <w:sz w:val="22"/>
          <w:szCs w:val="22"/>
        </w:rPr>
        <w:t xml:space="preserve"> </w:t>
      </w:r>
      <w:r w:rsidRPr="00381F61">
        <w:rPr>
          <w:rFonts w:ascii="Garamond" w:hAnsi="Garamond"/>
          <w:color w:val="1A1A1A"/>
          <w:sz w:val="22"/>
          <w:szCs w:val="22"/>
        </w:rPr>
        <w:t>assessment</w:t>
      </w:r>
      <w:r w:rsidRPr="00381F61">
        <w:rPr>
          <w:rFonts w:ascii="Garamond" w:hAnsi="Garamond"/>
          <w:color w:val="1A1A1A"/>
          <w:spacing w:val="1"/>
          <w:sz w:val="22"/>
          <w:szCs w:val="22"/>
        </w:rPr>
        <w:t xml:space="preserve"> </w:t>
      </w:r>
      <w:r w:rsidRPr="00381F61">
        <w:rPr>
          <w:rFonts w:ascii="Garamond" w:hAnsi="Garamond"/>
          <w:color w:val="1A1A1A"/>
          <w:sz w:val="22"/>
          <w:szCs w:val="22"/>
        </w:rPr>
        <w:t>of</w:t>
      </w:r>
      <w:r w:rsidRPr="00381F61">
        <w:rPr>
          <w:rFonts w:ascii="Garamond" w:hAnsi="Garamond"/>
          <w:color w:val="1A1A1A"/>
          <w:spacing w:val="-6"/>
          <w:sz w:val="22"/>
          <w:szCs w:val="22"/>
        </w:rPr>
        <w:t xml:space="preserve"> </w:t>
      </w:r>
      <w:r w:rsidRPr="00381F61">
        <w:rPr>
          <w:rFonts w:ascii="Garamond" w:hAnsi="Garamond"/>
          <w:color w:val="1A1A1A"/>
          <w:sz w:val="22"/>
          <w:szCs w:val="22"/>
        </w:rPr>
        <w:t>the</w:t>
      </w:r>
      <w:r w:rsidRPr="00381F61">
        <w:rPr>
          <w:rFonts w:ascii="Garamond" w:hAnsi="Garamond"/>
          <w:color w:val="1A1A1A"/>
          <w:spacing w:val="-11"/>
          <w:sz w:val="22"/>
          <w:szCs w:val="22"/>
        </w:rPr>
        <w:t xml:space="preserve"> </w:t>
      </w:r>
      <w:r w:rsidRPr="00381F61">
        <w:rPr>
          <w:rFonts w:ascii="Garamond" w:hAnsi="Garamond"/>
          <w:color w:val="1A1A1A"/>
          <w:sz w:val="22"/>
          <w:szCs w:val="22"/>
        </w:rPr>
        <w:t>impact that</w:t>
      </w:r>
      <w:r w:rsidRPr="00381F61">
        <w:rPr>
          <w:rFonts w:ascii="Garamond" w:hAnsi="Garamond"/>
          <w:color w:val="1A1A1A"/>
          <w:spacing w:val="-6"/>
          <w:sz w:val="22"/>
          <w:szCs w:val="22"/>
        </w:rPr>
        <w:t xml:space="preserve"> </w:t>
      </w:r>
      <w:r w:rsidRPr="00381F61">
        <w:rPr>
          <w:rFonts w:ascii="Garamond" w:hAnsi="Garamond"/>
          <w:color w:val="1A1A1A"/>
          <w:sz w:val="22"/>
          <w:szCs w:val="22"/>
        </w:rPr>
        <w:t>the</w:t>
      </w:r>
      <w:r w:rsidRPr="00381F61">
        <w:rPr>
          <w:rFonts w:ascii="Garamond" w:hAnsi="Garamond"/>
          <w:color w:val="1A1A1A"/>
          <w:spacing w:val="-8"/>
          <w:sz w:val="22"/>
          <w:szCs w:val="22"/>
        </w:rPr>
        <w:t xml:space="preserve"> </w:t>
      </w:r>
      <w:r w:rsidRPr="00381F61">
        <w:rPr>
          <w:rFonts w:ascii="Garamond" w:hAnsi="Garamond"/>
          <w:color w:val="1A1A1A"/>
          <w:sz w:val="22"/>
          <w:szCs w:val="22"/>
        </w:rPr>
        <w:t>following</w:t>
      </w:r>
      <w:r w:rsidRPr="00381F61">
        <w:rPr>
          <w:rFonts w:ascii="Garamond" w:hAnsi="Garamond"/>
          <w:color w:val="1A1A1A"/>
          <w:spacing w:val="7"/>
          <w:sz w:val="22"/>
          <w:szCs w:val="22"/>
        </w:rPr>
        <w:t xml:space="preserve"> </w:t>
      </w:r>
      <w:r w:rsidRPr="00381F61">
        <w:rPr>
          <w:rFonts w:ascii="Garamond" w:hAnsi="Garamond"/>
          <w:color w:val="1A1A1A"/>
          <w:sz w:val="22"/>
          <w:szCs w:val="22"/>
        </w:rPr>
        <w:t>will</w:t>
      </w:r>
      <w:r w:rsidRPr="00381F61">
        <w:rPr>
          <w:rFonts w:ascii="Garamond" w:hAnsi="Garamond"/>
          <w:color w:val="1A1A1A"/>
          <w:spacing w:val="-12"/>
          <w:sz w:val="22"/>
          <w:szCs w:val="22"/>
        </w:rPr>
        <w:t xml:space="preserve"> </w:t>
      </w:r>
      <w:r w:rsidRPr="00381F61">
        <w:rPr>
          <w:rFonts w:ascii="Garamond" w:hAnsi="Garamond"/>
          <w:color w:val="1A1A1A"/>
          <w:sz w:val="22"/>
          <w:szCs w:val="22"/>
        </w:rPr>
        <w:t>have</w:t>
      </w:r>
      <w:r w:rsidRPr="00381F61">
        <w:rPr>
          <w:rFonts w:ascii="Garamond" w:hAnsi="Garamond"/>
          <w:color w:val="1A1A1A"/>
          <w:spacing w:val="-3"/>
          <w:sz w:val="22"/>
          <w:szCs w:val="22"/>
        </w:rPr>
        <w:t xml:space="preserve"> </w:t>
      </w:r>
      <w:r w:rsidRPr="00381F61">
        <w:rPr>
          <w:rFonts w:ascii="Garamond" w:hAnsi="Garamond"/>
          <w:color w:val="1A1A1A"/>
          <w:sz w:val="22"/>
          <w:szCs w:val="22"/>
        </w:rPr>
        <w:t>on</w:t>
      </w:r>
      <w:r w:rsidRPr="00381F61">
        <w:rPr>
          <w:rFonts w:ascii="Garamond" w:hAnsi="Garamond"/>
          <w:color w:val="1A1A1A"/>
          <w:spacing w:val="-12"/>
          <w:sz w:val="22"/>
          <w:szCs w:val="22"/>
        </w:rPr>
        <w:t xml:space="preserve"> </w:t>
      </w:r>
      <w:r w:rsidRPr="00381F61">
        <w:rPr>
          <w:rFonts w:ascii="Garamond" w:hAnsi="Garamond"/>
          <w:color w:val="1A1A1A"/>
          <w:sz w:val="22"/>
          <w:szCs w:val="22"/>
        </w:rPr>
        <w:t>government retirement income policies, including KiwiSaver and New Zealand superannuation:</w:t>
      </w:r>
    </w:p>
    <w:p w14:paraId="65CC43AE" w14:textId="085726EF" w:rsidR="001D550C" w:rsidRPr="00381F61" w:rsidRDefault="001D550C" w:rsidP="00891E0F">
      <w:pPr>
        <w:pStyle w:val="ListParagraph"/>
        <w:widowControl w:val="0"/>
        <w:tabs>
          <w:tab w:val="left" w:pos="1906"/>
          <w:tab w:val="left" w:pos="1907"/>
        </w:tabs>
        <w:autoSpaceDE w:val="0"/>
        <w:autoSpaceDN w:val="0"/>
        <w:ind w:left="567" w:right="-52"/>
        <w:contextualSpacing w:val="0"/>
        <w:jc w:val="both"/>
        <w:rPr>
          <w:rFonts w:ascii="Garamond" w:hAnsi="Garamond"/>
          <w:color w:val="1A1A1A"/>
          <w:sz w:val="22"/>
          <w:szCs w:val="22"/>
        </w:rPr>
      </w:pPr>
      <w:r w:rsidRPr="00381F61">
        <w:rPr>
          <w:rFonts w:ascii="Garamond" w:hAnsi="Garamond"/>
          <w:color w:val="1A1A1A"/>
          <w:sz w:val="22"/>
          <w:szCs w:val="22"/>
        </w:rPr>
        <w:t>“(a) The changing nature of work, including the increasing number of people who are self-employed and/or working in temporary and flexible</w:t>
      </w:r>
      <w:r w:rsidRPr="00381F61">
        <w:rPr>
          <w:rFonts w:ascii="Garamond" w:hAnsi="Garamond"/>
          <w:color w:val="1A1A1A"/>
          <w:spacing w:val="14"/>
          <w:sz w:val="22"/>
          <w:szCs w:val="22"/>
        </w:rPr>
        <w:t xml:space="preserve"> </w:t>
      </w:r>
      <w:r w:rsidRPr="00381F61">
        <w:rPr>
          <w:rFonts w:ascii="Garamond" w:hAnsi="Garamond"/>
          <w:color w:val="1A1A1A"/>
          <w:sz w:val="22"/>
          <w:szCs w:val="22"/>
        </w:rPr>
        <w:t>jobs;</w:t>
      </w:r>
    </w:p>
    <w:p w14:paraId="684D6A09" w14:textId="77777777" w:rsidR="001D550C" w:rsidRPr="00381F61" w:rsidRDefault="001D550C" w:rsidP="00891E0F">
      <w:pPr>
        <w:widowControl w:val="0"/>
        <w:tabs>
          <w:tab w:val="left" w:pos="1906"/>
          <w:tab w:val="left" w:pos="1907"/>
        </w:tabs>
        <w:autoSpaceDE w:val="0"/>
        <w:autoSpaceDN w:val="0"/>
        <w:ind w:left="283" w:right="331"/>
        <w:jc w:val="both"/>
        <w:rPr>
          <w:rFonts w:ascii="Garamond" w:hAnsi="Garamond"/>
          <w:color w:val="1A1A1A"/>
          <w:sz w:val="8"/>
          <w:szCs w:val="8"/>
        </w:rPr>
      </w:pPr>
    </w:p>
    <w:p w14:paraId="7CE9D6D3" w14:textId="25C3E93A" w:rsidR="001D550C" w:rsidRPr="00381F61" w:rsidRDefault="001D550C" w:rsidP="00891E0F">
      <w:pPr>
        <w:pStyle w:val="ListParagraph"/>
        <w:widowControl w:val="0"/>
        <w:tabs>
          <w:tab w:val="left" w:pos="1903"/>
          <w:tab w:val="left" w:pos="1904"/>
        </w:tabs>
        <w:autoSpaceDE w:val="0"/>
        <w:autoSpaceDN w:val="0"/>
        <w:ind w:left="567"/>
        <w:contextualSpacing w:val="0"/>
        <w:jc w:val="both"/>
        <w:rPr>
          <w:rFonts w:ascii="Garamond" w:hAnsi="Garamond"/>
          <w:color w:val="1A1A1A"/>
          <w:sz w:val="22"/>
          <w:szCs w:val="22"/>
        </w:rPr>
      </w:pPr>
      <w:r w:rsidRPr="00381F61">
        <w:rPr>
          <w:rFonts w:ascii="Garamond" w:hAnsi="Garamond"/>
          <w:color w:val="1A1A1A"/>
          <w:sz w:val="22"/>
          <w:szCs w:val="22"/>
        </w:rPr>
        <w:t>…</w:t>
      </w:r>
    </w:p>
    <w:p w14:paraId="31E34AA6" w14:textId="77777777" w:rsidR="001D550C" w:rsidRPr="00381F61" w:rsidRDefault="001D550C" w:rsidP="00891E0F">
      <w:pPr>
        <w:pStyle w:val="BodyText"/>
        <w:spacing w:after="0"/>
        <w:ind w:left="567" w:hanging="284"/>
        <w:jc w:val="both"/>
        <w:rPr>
          <w:rFonts w:ascii="Garamond" w:hAnsi="Garamond"/>
          <w:sz w:val="8"/>
          <w:szCs w:val="8"/>
        </w:rPr>
      </w:pPr>
    </w:p>
    <w:p w14:paraId="77B38EA7" w14:textId="668069E9" w:rsidR="001D550C" w:rsidRPr="00381F61" w:rsidRDefault="001D550C" w:rsidP="00891E0F">
      <w:pPr>
        <w:pStyle w:val="ListParagraph"/>
        <w:widowControl w:val="0"/>
        <w:tabs>
          <w:tab w:val="left" w:pos="1909"/>
          <w:tab w:val="left" w:pos="1910"/>
        </w:tabs>
        <w:autoSpaceDE w:val="0"/>
        <w:autoSpaceDN w:val="0"/>
        <w:ind w:left="567"/>
        <w:contextualSpacing w:val="0"/>
        <w:jc w:val="both"/>
        <w:rPr>
          <w:rFonts w:ascii="Garamond" w:hAnsi="Garamond"/>
          <w:color w:val="1A1A1A"/>
          <w:sz w:val="22"/>
          <w:szCs w:val="22"/>
        </w:rPr>
      </w:pPr>
      <w:r w:rsidRPr="00381F61">
        <w:rPr>
          <w:rFonts w:ascii="Garamond" w:hAnsi="Garamond"/>
          <w:color w:val="1A1A1A"/>
          <w:sz w:val="22"/>
          <w:szCs w:val="22"/>
        </w:rPr>
        <w:t>“(c) Changes in labour market participation of those 65 years and</w:t>
      </w:r>
      <w:r w:rsidRPr="00381F61">
        <w:rPr>
          <w:rFonts w:ascii="Garamond" w:hAnsi="Garamond"/>
          <w:color w:val="1A1A1A"/>
          <w:spacing w:val="-26"/>
          <w:sz w:val="22"/>
          <w:szCs w:val="22"/>
        </w:rPr>
        <w:t xml:space="preserve"> </w:t>
      </w:r>
      <w:r w:rsidRPr="00381F61">
        <w:rPr>
          <w:rFonts w:ascii="Garamond" w:hAnsi="Garamond"/>
          <w:color w:val="1A1A1A"/>
          <w:sz w:val="22"/>
          <w:szCs w:val="22"/>
        </w:rPr>
        <w:t>older.”</w:t>
      </w:r>
    </w:p>
    <w:p w14:paraId="561D1B98" w14:textId="77777777" w:rsidR="001D550C" w:rsidRPr="00381F61" w:rsidRDefault="001D550C" w:rsidP="001D550C">
      <w:pPr>
        <w:jc w:val="both"/>
        <w:rPr>
          <w:rFonts w:ascii="Garamond" w:hAnsi="Garamond"/>
          <w:b/>
        </w:rPr>
      </w:pPr>
    </w:p>
    <w:p w14:paraId="7770FD20" w14:textId="77777777" w:rsidR="00BF7119" w:rsidRPr="00381F61" w:rsidRDefault="001D550C" w:rsidP="00E71CEB">
      <w:pPr>
        <w:jc w:val="both"/>
        <w:rPr>
          <w:rFonts w:ascii="Garamond" w:hAnsi="Garamond"/>
        </w:rPr>
      </w:pPr>
      <w:r w:rsidRPr="00381F61">
        <w:rPr>
          <w:rFonts w:ascii="Garamond" w:hAnsi="Garamond"/>
        </w:rPr>
        <w:t>If the more detailed questions we suggest below are addressed, the government’s assessment request will be covered.</w:t>
      </w:r>
    </w:p>
    <w:p w14:paraId="070EDFC1" w14:textId="77777777" w:rsidR="00BF7119" w:rsidRPr="00381F61" w:rsidRDefault="00BF7119" w:rsidP="00E71CEB">
      <w:pPr>
        <w:jc w:val="both"/>
        <w:rPr>
          <w:rFonts w:ascii="Garamond" w:hAnsi="Garamond"/>
          <w:b/>
        </w:rPr>
      </w:pPr>
    </w:p>
    <w:p w14:paraId="3A1156BC" w14:textId="44AB9F66" w:rsidR="00B06C65" w:rsidRPr="00381F61" w:rsidRDefault="00B06C65" w:rsidP="00E71CEB">
      <w:pPr>
        <w:jc w:val="both"/>
        <w:rPr>
          <w:rFonts w:ascii="Garamond" w:hAnsi="Garamond"/>
          <w:b/>
        </w:rPr>
      </w:pPr>
      <w:r w:rsidRPr="00381F61">
        <w:rPr>
          <w:rFonts w:ascii="Garamond" w:hAnsi="Garamond"/>
          <w:b/>
        </w:rPr>
        <w:t>Questions New Zealand needs to discuss</w:t>
      </w:r>
      <w:r w:rsidR="00A256AB" w:rsidRPr="00381F61">
        <w:rPr>
          <w:rFonts w:ascii="Garamond" w:hAnsi="Garamond"/>
          <w:b/>
        </w:rPr>
        <w:t xml:space="preserve"> on retirement </w:t>
      </w:r>
      <w:r w:rsidR="00CC0BC7" w:rsidRPr="00381F61">
        <w:rPr>
          <w:rFonts w:ascii="Garamond" w:hAnsi="Garamond"/>
          <w:b/>
        </w:rPr>
        <w:t>data and experiences</w:t>
      </w:r>
      <w:r w:rsidRPr="00381F61">
        <w:rPr>
          <w:rFonts w:ascii="Garamond" w:hAnsi="Garamond"/>
          <w:b/>
        </w:rPr>
        <w:t>:</w:t>
      </w:r>
    </w:p>
    <w:p w14:paraId="61BAC346" w14:textId="77777777" w:rsidR="00B06C65" w:rsidRPr="00381F61" w:rsidRDefault="00B06C65" w:rsidP="00E71CEB">
      <w:pPr>
        <w:jc w:val="both"/>
        <w:rPr>
          <w:rFonts w:ascii="Garamond" w:hAnsi="Garamond"/>
          <w:b/>
        </w:rPr>
      </w:pPr>
    </w:p>
    <w:p w14:paraId="46394A21" w14:textId="796985DF" w:rsidR="00B06C65" w:rsidRPr="00381F61" w:rsidRDefault="00B06C65" w:rsidP="00E71CEB">
      <w:pPr>
        <w:pStyle w:val="ListParagraph"/>
        <w:numPr>
          <w:ilvl w:val="0"/>
          <w:numId w:val="36"/>
        </w:numPr>
        <w:ind w:left="709" w:hanging="349"/>
        <w:jc w:val="both"/>
        <w:rPr>
          <w:rFonts w:ascii="Garamond" w:hAnsi="Garamond"/>
        </w:rPr>
      </w:pPr>
      <w:r w:rsidRPr="00381F61">
        <w:rPr>
          <w:rFonts w:ascii="Garamond" w:hAnsi="Garamond"/>
        </w:rPr>
        <w:t>We need to know much more about workforce participation of New Zealanders from age 50 onwards – when does the ‘career’ stop and the ‘retirement’ process begin and how does it progress?</w:t>
      </w:r>
      <w:r w:rsidR="00C7673A" w:rsidRPr="00381F61">
        <w:rPr>
          <w:rFonts w:ascii="Garamond" w:hAnsi="Garamond"/>
        </w:rPr>
        <w:t xml:space="preserve">  At those older ages, the analysis should be detailed – say, by each year of age and longitudinal (tracking particular workers).</w:t>
      </w:r>
    </w:p>
    <w:p w14:paraId="60C24772" w14:textId="77777777" w:rsidR="00976244" w:rsidRPr="00381F61" w:rsidRDefault="00976244" w:rsidP="003E03E0">
      <w:pPr>
        <w:pStyle w:val="ListParagraph"/>
        <w:ind w:left="709"/>
        <w:jc w:val="both"/>
        <w:rPr>
          <w:rFonts w:ascii="Garamond" w:hAnsi="Garamond"/>
        </w:rPr>
      </w:pPr>
    </w:p>
    <w:p w14:paraId="6147096B" w14:textId="3A3D50C9" w:rsidR="00B06C65" w:rsidRPr="00381F61" w:rsidRDefault="00B06C65" w:rsidP="00E71CEB">
      <w:pPr>
        <w:pStyle w:val="ListParagraph"/>
        <w:numPr>
          <w:ilvl w:val="0"/>
          <w:numId w:val="36"/>
        </w:numPr>
        <w:ind w:left="709" w:hanging="349"/>
        <w:jc w:val="both"/>
        <w:rPr>
          <w:rFonts w:ascii="Garamond" w:hAnsi="Garamond"/>
        </w:rPr>
      </w:pPr>
      <w:r w:rsidRPr="00381F61">
        <w:rPr>
          <w:rFonts w:ascii="Garamond" w:hAnsi="Garamond"/>
        </w:rPr>
        <w:t>What happens</w:t>
      </w:r>
      <w:r w:rsidR="001D2415" w:rsidRPr="00381F61">
        <w:rPr>
          <w:rFonts w:ascii="Garamond" w:hAnsi="Garamond"/>
        </w:rPr>
        <w:t xml:space="preserve"> now</w:t>
      </w:r>
      <w:r w:rsidRPr="00381F61">
        <w:rPr>
          <w:rFonts w:ascii="Garamond" w:hAnsi="Garamond"/>
        </w:rPr>
        <w:t xml:space="preserve"> at about the state pension age?  In other words, how does the start of NZS affect decisions about paid employment (and so, how might changes to the state pension age affect those decisions)?</w:t>
      </w:r>
      <w:r w:rsidR="00C52A92" w:rsidRPr="00381F61">
        <w:rPr>
          <w:rFonts w:ascii="Garamond" w:hAnsi="Garamond"/>
        </w:rPr>
        <w:t xml:space="preserve">  </w:t>
      </w:r>
      <w:r w:rsidR="00682300" w:rsidRPr="00381F61">
        <w:rPr>
          <w:rFonts w:ascii="Garamond" w:hAnsi="Garamond"/>
        </w:rPr>
        <w:t>This information could form the basis of a model that allow</w:t>
      </w:r>
      <w:r w:rsidR="00FD6304" w:rsidRPr="00381F61">
        <w:rPr>
          <w:rFonts w:ascii="Garamond" w:hAnsi="Garamond"/>
        </w:rPr>
        <w:t>s</w:t>
      </w:r>
      <w:r w:rsidR="00682300" w:rsidRPr="00381F61">
        <w:rPr>
          <w:rFonts w:ascii="Garamond" w:hAnsi="Garamond"/>
        </w:rPr>
        <w:t xml:space="preserve"> New Zealand to have a proper discussion about the state pension age.</w:t>
      </w:r>
      <w:r w:rsidR="00637828" w:rsidRPr="00381F61">
        <w:rPr>
          <w:rFonts w:ascii="Garamond" w:hAnsi="Garamond"/>
        </w:rPr>
        <w:t xml:space="preserve">  A data-driven discussion of this key public policy issue was absent from the recommendations of the </w:t>
      </w:r>
      <w:r w:rsidR="001D2415" w:rsidRPr="00381F61">
        <w:rPr>
          <w:rFonts w:ascii="Garamond" w:hAnsi="Garamond"/>
        </w:rPr>
        <w:t xml:space="preserve">Retirement Commissioner’s </w:t>
      </w:r>
      <w:r w:rsidR="00637828" w:rsidRPr="00381F61">
        <w:rPr>
          <w:rFonts w:ascii="Garamond" w:hAnsi="Garamond"/>
        </w:rPr>
        <w:t xml:space="preserve">2016 Review </w:t>
      </w:r>
      <w:r w:rsidR="001D550C" w:rsidRPr="00381F61">
        <w:rPr>
          <w:rFonts w:ascii="Garamond" w:hAnsi="Garamond"/>
        </w:rPr>
        <w:t>(</w:t>
      </w:r>
      <w:r w:rsidR="00637828" w:rsidRPr="00381F61">
        <w:rPr>
          <w:rFonts w:ascii="Garamond" w:hAnsi="Garamond"/>
        </w:rPr>
        <w:t xml:space="preserve">and </w:t>
      </w:r>
      <w:r w:rsidR="00C7673A" w:rsidRPr="00381F61">
        <w:rPr>
          <w:rFonts w:ascii="Garamond" w:hAnsi="Garamond"/>
        </w:rPr>
        <w:t xml:space="preserve">also from </w:t>
      </w:r>
      <w:r w:rsidR="00637828" w:rsidRPr="00381F61">
        <w:rPr>
          <w:rFonts w:ascii="Garamond" w:hAnsi="Garamond"/>
        </w:rPr>
        <w:t xml:space="preserve">the </w:t>
      </w:r>
      <w:r w:rsidR="001D550C" w:rsidRPr="00381F61">
        <w:rPr>
          <w:rFonts w:ascii="Garamond" w:hAnsi="Garamond"/>
        </w:rPr>
        <w:t xml:space="preserve">last </w:t>
      </w:r>
      <w:r w:rsidR="00637828" w:rsidRPr="00381F61">
        <w:rPr>
          <w:rFonts w:ascii="Garamond" w:hAnsi="Garamond"/>
        </w:rPr>
        <w:t>government’s announcement ab</w:t>
      </w:r>
      <w:r w:rsidR="00C7673A" w:rsidRPr="00381F61">
        <w:rPr>
          <w:rFonts w:ascii="Garamond" w:hAnsi="Garamond"/>
        </w:rPr>
        <w:t>out the</w:t>
      </w:r>
      <w:r w:rsidR="001D550C" w:rsidRPr="00381F61">
        <w:rPr>
          <w:rFonts w:ascii="Garamond" w:hAnsi="Garamond"/>
        </w:rPr>
        <w:t xml:space="preserve"> proposed increase to age 67 by 2040).</w:t>
      </w:r>
    </w:p>
    <w:p w14:paraId="183BC771" w14:textId="77777777" w:rsidR="00976244" w:rsidRPr="00381F61" w:rsidRDefault="00976244" w:rsidP="003E03E0">
      <w:pPr>
        <w:ind w:left="709"/>
        <w:jc w:val="both"/>
        <w:rPr>
          <w:rFonts w:ascii="Garamond" w:hAnsi="Garamond"/>
        </w:rPr>
      </w:pPr>
    </w:p>
    <w:p w14:paraId="4971CDB5" w14:textId="4BE7AEE2" w:rsidR="00B06C65" w:rsidRPr="00381F61" w:rsidRDefault="00976244" w:rsidP="00E71CEB">
      <w:pPr>
        <w:pStyle w:val="ListParagraph"/>
        <w:numPr>
          <w:ilvl w:val="0"/>
          <w:numId w:val="36"/>
        </w:numPr>
        <w:ind w:left="709" w:hanging="349"/>
        <w:jc w:val="both"/>
        <w:rPr>
          <w:rFonts w:ascii="Garamond" w:hAnsi="Garamond"/>
        </w:rPr>
      </w:pPr>
      <w:r w:rsidRPr="00381F61">
        <w:rPr>
          <w:rFonts w:ascii="Garamond" w:hAnsi="Garamond"/>
        </w:rPr>
        <w:t>What influences the choice of work during the ‘retirement’ period and is that different in different parts of the country, for different groups of New Zealanders and for different ‘working life’ skills/qualifications?</w:t>
      </w:r>
    </w:p>
    <w:p w14:paraId="108BD04D" w14:textId="77777777" w:rsidR="002567D9" w:rsidRPr="00381F61" w:rsidRDefault="002567D9" w:rsidP="003E03E0">
      <w:pPr>
        <w:ind w:left="709"/>
        <w:jc w:val="both"/>
        <w:rPr>
          <w:rFonts w:ascii="Garamond" w:hAnsi="Garamond"/>
        </w:rPr>
      </w:pPr>
    </w:p>
    <w:p w14:paraId="4BB8EDE9" w14:textId="2F145CDA" w:rsidR="002567D9" w:rsidRPr="00381F61" w:rsidRDefault="002567D9" w:rsidP="00E71CEB">
      <w:pPr>
        <w:pStyle w:val="ListParagraph"/>
        <w:numPr>
          <w:ilvl w:val="0"/>
          <w:numId w:val="36"/>
        </w:numPr>
        <w:ind w:left="709" w:hanging="349"/>
        <w:jc w:val="both"/>
        <w:rPr>
          <w:rFonts w:ascii="Garamond" w:hAnsi="Garamond"/>
        </w:rPr>
      </w:pPr>
      <w:r w:rsidRPr="00381F61">
        <w:rPr>
          <w:rFonts w:ascii="Garamond" w:hAnsi="Garamond"/>
        </w:rPr>
        <w:t xml:space="preserve">How does </w:t>
      </w:r>
      <w:r w:rsidR="000F4FDE" w:rsidRPr="00381F61">
        <w:rPr>
          <w:rFonts w:ascii="Garamond" w:hAnsi="Garamond"/>
        </w:rPr>
        <w:t xml:space="preserve">paid </w:t>
      </w:r>
      <w:r w:rsidRPr="00381F61">
        <w:rPr>
          <w:rFonts w:ascii="Garamond" w:hAnsi="Garamond"/>
        </w:rPr>
        <w:t xml:space="preserve">work post-‘retirement’ help in financial preparations for </w:t>
      </w:r>
      <w:r w:rsidR="00001CC6" w:rsidRPr="00381F61">
        <w:rPr>
          <w:rFonts w:ascii="Garamond" w:hAnsi="Garamond"/>
        </w:rPr>
        <w:t xml:space="preserve">‘part-time’ and ‘full-time’ </w:t>
      </w:r>
      <w:r w:rsidRPr="00381F61">
        <w:rPr>
          <w:rFonts w:ascii="Garamond" w:hAnsi="Garamond"/>
        </w:rPr>
        <w:t>retirement?</w:t>
      </w:r>
      <w:r w:rsidR="007E771E" w:rsidRPr="00381F61">
        <w:rPr>
          <w:rFonts w:ascii="Garamond" w:hAnsi="Garamond"/>
        </w:rPr>
        <w:t xml:space="preserve">  What lessons might New Zealanders learn from the experiences of current older workers?</w:t>
      </w:r>
    </w:p>
    <w:p w14:paraId="01A651B0" w14:textId="77777777" w:rsidR="0057179A" w:rsidRPr="00381F61" w:rsidRDefault="0057179A" w:rsidP="003E03E0">
      <w:pPr>
        <w:ind w:left="709"/>
        <w:jc w:val="both"/>
        <w:rPr>
          <w:rFonts w:ascii="Garamond" w:hAnsi="Garamond"/>
        </w:rPr>
      </w:pPr>
    </w:p>
    <w:p w14:paraId="05A763A5" w14:textId="1B1157F1" w:rsidR="0057179A" w:rsidRPr="00381F61" w:rsidRDefault="0057179A" w:rsidP="00E71CEB">
      <w:pPr>
        <w:pStyle w:val="ListParagraph"/>
        <w:numPr>
          <w:ilvl w:val="0"/>
          <w:numId w:val="36"/>
        </w:numPr>
        <w:ind w:left="709" w:hanging="349"/>
        <w:jc w:val="both"/>
        <w:rPr>
          <w:rFonts w:ascii="Garamond" w:hAnsi="Garamond"/>
        </w:rPr>
      </w:pPr>
      <w:r w:rsidRPr="00381F61">
        <w:rPr>
          <w:rFonts w:ascii="Garamond" w:hAnsi="Garamond"/>
        </w:rPr>
        <w:t>What, if anything, are employers doing about retaining access to the skills of baby-boomer retirees?</w:t>
      </w:r>
      <w:r w:rsidR="00FD6304" w:rsidRPr="00381F61">
        <w:rPr>
          <w:rFonts w:ascii="Garamond" w:hAnsi="Garamond"/>
        </w:rPr>
        <w:t xml:space="preserve">  Is this an issue of ‘public’ importance?</w:t>
      </w:r>
    </w:p>
    <w:p w14:paraId="1EC3AFF9" w14:textId="77777777" w:rsidR="00976244" w:rsidRPr="00381F61" w:rsidRDefault="00976244" w:rsidP="003E03E0">
      <w:pPr>
        <w:ind w:left="709"/>
        <w:jc w:val="both"/>
        <w:rPr>
          <w:rFonts w:ascii="Garamond" w:hAnsi="Garamond"/>
        </w:rPr>
      </w:pPr>
    </w:p>
    <w:p w14:paraId="46DA9DE2" w14:textId="122CEE65" w:rsidR="00976244" w:rsidRPr="00381F61" w:rsidRDefault="00976244" w:rsidP="00E71CEB">
      <w:pPr>
        <w:pStyle w:val="ListParagraph"/>
        <w:numPr>
          <w:ilvl w:val="0"/>
          <w:numId w:val="36"/>
        </w:numPr>
        <w:ind w:left="709" w:hanging="349"/>
        <w:jc w:val="both"/>
        <w:rPr>
          <w:rFonts w:ascii="Garamond" w:hAnsi="Garamond"/>
        </w:rPr>
      </w:pPr>
      <w:r w:rsidRPr="00381F61">
        <w:rPr>
          <w:rFonts w:ascii="Garamond" w:hAnsi="Garamond"/>
        </w:rPr>
        <w:t>How might the government help employers and New Zealanders to bridge information gaps?</w:t>
      </w:r>
    </w:p>
    <w:p w14:paraId="34888399" w14:textId="77777777" w:rsidR="000D1EC6" w:rsidRPr="00381F61" w:rsidRDefault="000D1EC6" w:rsidP="00E71CEB">
      <w:pPr>
        <w:jc w:val="both"/>
        <w:rPr>
          <w:rFonts w:ascii="Garamond" w:hAnsi="Garamond"/>
          <w:b/>
        </w:rPr>
      </w:pPr>
      <w:r w:rsidRPr="00381F61">
        <w:rPr>
          <w:rFonts w:ascii="Garamond" w:hAnsi="Garamond"/>
          <w:b/>
        </w:rPr>
        <w:br w:type="page"/>
      </w:r>
    </w:p>
    <w:p w14:paraId="2DA806C4" w14:textId="4E5FEFC4" w:rsidR="007E5319" w:rsidRPr="00381F61" w:rsidRDefault="00A97583" w:rsidP="00E564C1">
      <w:pPr>
        <w:ind w:left="851" w:hanging="851"/>
        <w:jc w:val="both"/>
        <w:rPr>
          <w:rFonts w:ascii="Garamond" w:hAnsi="Garamond"/>
          <w:b/>
        </w:rPr>
      </w:pPr>
      <w:r w:rsidRPr="00381F61">
        <w:rPr>
          <w:rFonts w:ascii="Garamond" w:hAnsi="Garamond"/>
          <w:b/>
        </w:rPr>
        <w:t>1</w:t>
      </w:r>
      <w:r w:rsidR="00F519BC" w:rsidRPr="00381F61">
        <w:rPr>
          <w:rFonts w:ascii="Garamond" w:hAnsi="Garamond"/>
          <w:b/>
        </w:rPr>
        <w:t>7</w:t>
      </w:r>
      <w:r w:rsidRPr="00381F61">
        <w:rPr>
          <w:rFonts w:ascii="Garamond" w:hAnsi="Garamond"/>
          <w:b/>
        </w:rPr>
        <w:t>.</w:t>
      </w:r>
      <w:r w:rsidR="00E564C1" w:rsidRPr="00381F61">
        <w:rPr>
          <w:rFonts w:ascii="Garamond" w:hAnsi="Garamond"/>
          <w:b/>
        </w:rPr>
        <w:tab/>
      </w:r>
      <w:r w:rsidR="007E5319" w:rsidRPr="00381F61">
        <w:rPr>
          <w:rFonts w:ascii="Garamond" w:hAnsi="Garamond"/>
          <w:b/>
        </w:rPr>
        <w:t>Income tax and saving vehicles</w:t>
      </w:r>
      <w:r w:rsidR="003E7437" w:rsidRPr="00381F61">
        <w:rPr>
          <w:rFonts w:ascii="Garamond" w:hAnsi="Garamond"/>
          <w:b/>
        </w:rPr>
        <w:t xml:space="preserve"> – all ‘income’ should be taxed at the appropriate marginal rates</w:t>
      </w:r>
      <w:r w:rsidR="00321602" w:rsidRPr="00381F61">
        <w:rPr>
          <w:rStyle w:val="FootnoteReference"/>
          <w:rFonts w:ascii="Garamond" w:hAnsi="Garamond"/>
        </w:rPr>
        <w:footnoteReference w:id="218"/>
      </w:r>
    </w:p>
    <w:p w14:paraId="6B44A4C2" w14:textId="77777777" w:rsidR="00911A42" w:rsidRPr="00381F61" w:rsidRDefault="00911A42" w:rsidP="00E71CEB">
      <w:pPr>
        <w:jc w:val="both"/>
        <w:rPr>
          <w:rFonts w:ascii="Garamond" w:hAnsi="Garamond"/>
          <w:b/>
        </w:rPr>
      </w:pPr>
    </w:p>
    <w:p w14:paraId="5933EA53" w14:textId="2068A8BE" w:rsidR="00401C3D" w:rsidRPr="00381F61" w:rsidRDefault="00401C3D" w:rsidP="00401C3D">
      <w:pPr>
        <w:jc w:val="both"/>
        <w:rPr>
          <w:rFonts w:ascii="Garamond" w:hAnsi="Garamond"/>
        </w:rPr>
      </w:pPr>
      <w:r w:rsidRPr="00381F61">
        <w:rPr>
          <w:rFonts w:ascii="Garamond" w:hAnsi="Garamond"/>
        </w:rPr>
        <w:t xml:space="preserve">There was no comment in the Retirement Commissioner’s </w:t>
      </w:r>
      <w:r w:rsidRPr="00381F61">
        <w:rPr>
          <w:rFonts w:ascii="Garamond" w:hAnsi="Garamond"/>
          <w:i/>
        </w:rPr>
        <w:t>2016 Review</w:t>
      </w:r>
      <w:r w:rsidRPr="00381F61">
        <w:rPr>
          <w:rFonts w:ascii="Garamond" w:hAnsi="Garamond"/>
        </w:rPr>
        <w:t xml:space="preserve"> on tax matters </w:t>
      </w:r>
      <w:r w:rsidRPr="00381F61">
        <w:rPr>
          <w:rFonts w:ascii="Garamond" w:eastAsia="Calibri" w:hAnsi="Garamond"/>
          <w:i/>
          <w:lang w:eastAsia="en-NZ"/>
        </w:rPr>
        <w:t xml:space="preserve"> </w:t>
      </w:r>
      <w:r w:rsidRPr="00381F61">
        <w:rPr>
          <w:rFonts w:ascii="Garamond" w:eastAsia="Calibri" w:hAnsi="Garamond"/>
          <w:lang w:eastAsia="en-NZ"/>
        </w:rPr>
        <w:t xml:space="preserve">(accessible </w:t>
      </w:r>
      <w:hyperlink r:id="rId65" w:history="1">
        <w:r w:rsidRPr="00381F61">
          <w:rPr>
            <w:rStyle w:val="Hyperlink"/>
            <w:rFonts w:ascii="Garamond" w:eastAsia="Calibri" w:hAnsi="Garamond"/>
            <w:lang w:eastAsia="en-NZ"/>
          </w:rPr>
          <w:t>here</w:t>
        </w:r>
      </w:hyperlink>
      <w:r w:rsidRPr="00381F61">
        <w:rPr>
          <w:rFonts w:ascii="Garamond" w:eastAsia="Calibri" w:hAnsi="Garamond"/>
          <w:lang w:eastAsia="en-NZ"/>
        </w:rPr>
        <w:t>)</w:t>
      </w:r>
      <w:r w:rsidRPr="00381F61">
        <w:rPr>
          <w:rFonts w:ascii="Garamond" w:hAnsi="Garamond"/>
        </w:rPr>
        <w:t>.</w:t>
      </w:r>
    </w:p>
    <w:p w14:paraId="3DDFA93F" w14:textId="663AC5DD" w:rsidR="00401C3D" w:rsidRPr="00381F61" w:rsidRDefault="00401C3D" w:rsidP="00E71CEB">
      <w:pPr>
        <w:jc w:val="both"/>
        <w:rPr>
          <w:rFonts w:ascii="Garamond" w:eastAsia="Calibri" w:hAnsi="Garamond"/>
          <w:lang w:eastAsia="en-NZ"/>
        </w:rPr>
      </w:pPr>
    </w:p>
    <w:p w14:paraId="34750A35" w14:textId="77777777" w:rsidR="00371BD5" w:rsidRPr="00381F61" w:rsidRDefault="00371BD5" w:rsidP="00F66CFF">
      <w:pPr>
        <w:jc w:val="both"/>
        <w:rPr>
          <w:rFonts w:ascii="Garamond" w:eastAsia="Calibri" w:hAnsi="Garamond"/>
          <w:lang w:eastAsia="en-NZ"/>
        </w:rPr>
      </w:pPr>
      <w:r w:rsidRPr="00381F61">
        <w:rPr>
          <w:rFonts w:ascii="Garamond" w:eastAsia="Calibri" w:hAnsi="Garamond"/>
          <w:b/>
          <w:lang w:eastAsia="en-NZ"/>
        </w:rPr>
        <w:t>Tax Working Group’s report</w:t>
      </w:r>
    </w:p>
    <w:p w14:paraId="1232CF7E" w14:textId="77777777" w:rsidR="00371BD5" w:rsidRPr="00381F61" w:rsidRDefault="00371BD5" w:rsidP="00F66CFF">
      <w:pPr>
        <w:jc w:val="both"/>
        <w:rPr>
          <w:rFonts w:ascii="Garamond" w:eastAsia="Calibri" w:hAnsi="Garamond"/>
          <w:lang w:eastAsia="en-NZ"/>
        </w:rPr>
      </w:pPr>
    </w:p>
    <w:p w14:paraId="7340DEBB" w14:textId="59046C57" w:rsidR="00F66CFF" w:rsidRPr="00381F61" w:rsidRDefault="00F66CFF" w:rsidP="00F66CFF">
      <w:pPr>
        <w:jc w:val="both"/>
        <w:rPr>
          <w:rFonts w:ascii="Garamond" w:eastAsia="Calibri" w:hAnsi="Garamond"/>
          <w:lang w:eastAsia="en-NZ"/>
        </w:rPr>
      </w:pPr>
      <w:r w:rsidRPr="00381F61">
        <w:rPr>
          <w:rFonts w:ascii="Garamond" w:eastAsia="Calibri" w:hAnsi="Garamond"/>
          <w:lang w:eastAsia="en-NZ"/>
        </w:rPr>
        <w:t xml:space="preserve">Since the 2016 review, the government established </w:t>
      </w:r>
      <w:r w:rsidR="00801E47" w:rsidRPr="00381F61">
        <w:rPr>
          <w:rFonts w:ascii="Garamond" w:eastAsia="Calibri" w:hAnsi="Garamond"/>
          <w:lang w:eastAsia="en-NZ"/>
        </w:rPr>
        <w:t>the</w:t>
      </w:r>
      <w:r w:rsidRPr="00381F61">
        <w:rPr>
          <w:rFonts w:ascii="Garamond" w:eastAsia="Calibri" w:hAnsi="Garamond"/>
          <w:lang w:eastAsia="en-NZ"/>
        </w:rPr>
        <w:t xml:space="preserve"> Tax Working Group (TWG) to look at the issues of tax fairness and capital gains tax in particular.  As part of the TWG’s recommendations it </w:t>
      </w:r>
      <w:r w:rsidR="00801E47" w:rsidRPr="00381F61">
        <w:rPr>
          <w:rFonts w:ascii="Garamond" w:eastAsia="Calibri" w:hAnsi="Garamond"/>
          <w:lang w:eastAsia="en-NZ"/>
        </w:rPr>
        <w:t xml:space="preserve">suggested </w:t>
      </w:r>
      <w:r w:rsidRPr="00381F61">
        <w:rPr>
          <w:rFonts w:ascii="Garamond" w:eastAsia="Calibri" w:hAnsi="Garamond"/>
          <w:lang w:eastAsia="en-NZ"/>
        </w:rPr>
        <w:t>an offset of part of the tax revenue raised by a capital gains tax with additional tax subsidies/concessions for retirement income, particularly targeted at the lower</w:t>
      </w:r>
      <w:r w:rsidR="00801E47" w:rsidRPr="00381F61">
        <w:rPr>
          <w:rFonts w:ascii="Garamond" w:eastAsia="Calibri" w:hAnsi="Garamond"/>
          <w:lang w:eastAsia="en-NZ"/>
        </w:rPr>
        <w:t>-</w:t>
      </w:r>
      <w:r w:rsidRPr="00381F61">
        <w:rPr>
          <w:rFonts w:ascii="Garamond" w:eastAsia="Calibri" w:hAnsi="Garamond"/>
          <w:lang w:eastAsia="en-NZ"/>
        </w:rPr>
        <w:t>paid.  We have already commented on that evidence-free recommendation in section 9 (On tax subsidies for saving).</w:t>
      </w:r>
    </w:p>
    <w:p w14:paraId="1AAD9702" w14:textId="77777777" w:rsidR="00F66CFF" w:rsidRPr="00381F61" w:rsidRDefault="00F66CFF" w:rsidP="00F66CFF">
      <w:pPr>
        <w:jc w:val="both"/>
        <w:rPr>
          <w:rFonts w:ascii="Garamond" w:eastAsia="Calibri" w:hAnsi="Garamond"/>
          <w:lang w:eastAsia="en-NZ"/>
        </w:rPr>
      </w:pPr>
    </w:p>
    <w:p w14:paraId="16F4AEA1" w14:textId="77777777" w:rsidR="00F66CFF" w:rsidRPr="00381F61" w:rsidRDefault="00F66CFF" w:rsidP="00F66CFF">
      <w:pPr>
        <w:jc w:val="both"/>
        <w:rPr>
          <w:rFonts w:ascii="Garamond" w:eastAsia="Calibri" w:hAnsi="Garamond"/>
          <w:lang w:eastAsia="en-NZ"/>
        </w:rPr>
      </w:pPr>
      <w:r w:rsidRPr="00381F61">
        <w:rPr>
          <w:rFonts w:ascii="Garamond" w:eastAsia="Calibri" w:hAnsi="Garamond"/>
          <w:lang w:eastAsia="en-NZ"/>
        </w:rPr>
        <w:t>The government responded on the proposed capital gains tax as follows:</w:t>
      </w:r>
    </w:p>
    <w:p w14:paraId="6A9CA43B" w14:textId="77777777" w:rsidR="00F66CFF" w:rsidRPr="00381F61" w:rsidRDefault="00F66CFF" w:rsidP="00F66CFF">
      <w:pPr>
        <w:jc w:val="both"/>
        <w:rPr>
          <w:rFonts w:ascii="Garamond" w:eastAsia="Calibri" w:hAnsi="Garamond"/>
          <w:sz w:val="8"/>
          <w:szCs w:val="8"/>
          <w:lang w:eastAsia="en-NZ"/>
        </w:rPr>
      </w:pPr>
    </w:p>
    <w:p w14:paraId="7504186A" w14:textId="65F84E86" w:rsidR="00F66CFF" w:rsidRPr="00381F61" w:rsidRDefault="00F66CFF" w:rsidP="0062635B">
      <w:pPr>
        <w:ind w:left="709"/>
        <w:jc w:val="both"/>
        <w:rPr>
          <w:rFonts w:ascii="Garamond" w:hAnsi="Garamond"/>
          <w:color w:val="000000" w:themeColor="text1"/>
          <w:sz w:val="22"/>
          <w:szCs w:val="22"/>
        </w:rPr>
      </w:pPr>
      <w:r w:rsidRPr="00381F61">
        <w:rPr>
          <w:rFonts w:ascii="Garamond" w:eastAsia="Calibri" w:hAnsi="Garamond"/>
          <w:color w:val="000000" w:themeColor="text1"/>
          <w:sz w:val="22"/>
          <w:szCs w:val="22"/>
          <w:lang w:eastAsia="en-NZ"/>
        </w:rPr>
        <w:t>“</w:t>
      </w:r>
      <w:r w:rsidRPr="00381F61">
        <w:rPr>
          <w:rFonts w:ascii="Garamond" w:hAnsi="Garamond"/>
          <w:color w:val="000000" w:themeColor="text1"/>
          <w:sz w:val="22"/>
          <w:szCs w:val="22"/>
          <w:shd w:val="clear" w:color="auto" w:fill="FFFFFF"/>
        </w:rPr>
        <w:t>The Government is not adopting any of the recommendations on capital gains taxation and has agreed no further work is necessary on that aspect of the report.”</w:t>
      </w:r>
      <w:r w:rsidRPr="00381F61">
        <w:rPr>
          <w:rStyle w:val="FootnoteReference"/>
          <w:rFonts w:ascii="Garamond" w:hAnsi="Garamond"/>
          <w:color w:val="000000" w:themeColor="text1"/>
          <w:sz w:val="22"/>
          <w:szCs w:val="22"/>
          <w:shd w:val="clear" w:color="auto" w:fill="FFFFFF"/>
        </w:rPr>
        <w:footnoteReference w:id="219"/>
      </w:r>
    </w:p>
    <w:p w14:paraId="29F108CE" w14:textId="77777777" w:rsidR="00F66CFF" w:rsidRPr="00381F61" w:rsidRDefault="00F66CFF" w:rsidP="00F66CFF">
      <w:pPr>
        <w:jc w:val="both"/>
        <w:rPr>
          <w:rFonts w:ascii="Garamond" w:eastAsia="Calibri" w:hAnsi="Garamond"/>
          <w:lang w:eastAsia="en-NZ"/>
        </w:rPr>
      </w:pPr>
    </w:p>
    <w:p w14:paraId="1086F0EF" w14:textId="5E91BFE7" w:rsidR="00F66CFF" w:rsidRPr="00381F61" w:rsidRDefault="00F66CFF" w:rsidP="00F66CFF">
      <w:pPr>
        <w:jc w:val="both"/>
        <w:rPr>
          <w:rFonts w:ascii="Garamond" w:eastAsia="Calibri" w:hAnsi="Garamond"/>
          <w:lang w:eastAsia="en-NZ"/>
        </w:rPr>
      </w:pPr>
      <w:r w:rsidRPr="00381F61">
        <w:rPr>
          <w:rFonts w:ascii="Garamond" w:eastAsia="Calibri" w:hAnsi="Garamond"/>
          <w:lang w:eastAsia="en-NZ"/>
        </w:rPr>
        <w:t>The government did not eliminate introducing some of the other recommendations of the TWG.  It stated:</w:t>
      </w:r>
    </w:p>
    <w:p w14:paraId="187BEC98" w14:textId="6530375E" w:rsidR="00F66CFF" w:rsidRPr="00381F61" w:rsidRDefault="00F66CFF" w:rsidP="00F66CFF">
      <w:pPr>
        <w:jc w:val="both"/>
        <w:rPr>
          <w:rFonts w:ascii="Garamond" w:eastAsia="Calibri" w:hAnsi="Garamond"/>
          <w:sz w:val="8"/>
          <w:szCs w:val="8"/>
          <w:lang w:eastAsia="en-NZ"/>
        </w:rPr>
      </w:pPr>
    </w:p>
    <w:p w14:paraId="0652AC52" w14:textId="77777777" w:rsidR="00F66CFF" w:rsidRPr="00381F61" w:rsidRDefault="00F66CFF" w:rsidP="0062635B">
      <w:pPr>
        <w:ind w:left="709"/>
        <w:jc w:val="both"/>
        <w:rPr>
          <w:rFonts w:ascii="Garamond" w:hAnsi="Garamond"/>
          <w:color w:val="000000" w:themeColor="text1"/>
          <w:sz w:val="22"/>
          <w:szCs w:val="22"/>
        </w:rPr>
      </w:pPr>
      <w:r w:rsidRPr="00381F61">
        <w:rPr>
          <w:rFonts w:ascii="Garamond" w:hAnsi="Garamond"/>
          <w:color w:val="000000" w:themeColor="text1"/>
          <w:sz w:val="22"/>
          <w:szCs w:val="22"/>
          <w:shd w:val="clear" w:color="auto" w:fill="FFFFFF"/>
        </w:rPr>
        <w:t>“The final report covered all aspects of the tax system, and a number of the recommendations will now be considered for inclusion in the Government’s Tax Policy Work Programme,”</w:t>
      </w:r>
    </w:p>
    <w:p w14:paraId="77C59DBA" w14:textId="77777777" w:rsidR="00F66CFF" w:rsidRPr="00381F61" w:rsidRDefault="00F66CFF" w:rsidP="00E71CEB">
      <w:pPr>
        <w:jc w:val="both"/>
        <w:rPr>
          <w:rFonts w:ascii="Garamond" w:eastAsia="Calibri" w:hAnsi="Garamond"/>
          <w:lang w:eastAsia="en-NZ"/>
        </w:rPr>
      </w:pPr>
    </w:p>
    <w:p w14:paraId="55470B20" w14:textId="77777777" w:rsidR="00F66CFF" w:rsidRPr="00381F61" w:rsidRDefault="00F66CFF" w:rsidP="00E71CEB">
      <w:pPr>
        <w:jc w:val="both"/>
        <w:rPr>
          <w:rFonts w:ascii="Garamond" w:eastAsia="Calibri" w:hAnsi="Garamond"/>
          <w:lang w:eastAsia="en-NZ"/>
        </w:rPr>
      </w:pPr>
      <w:r w:rsidRPr="00381F61">
        <w:rPr>
          <w:rFonts w:ascii="Garamond" w:eastAsia="Calibri" w:hAnsi="Garamond"/>
          <w:lang w:eastAsia="en-NZ"/>
        </w:rPr>
        <w:t>Those recommendations could include the KiwiSaver-related changes we discuss in section 9.</w:t>
      </w:r>
    </w:p>
    <w:p w14:paraId="2C289830" w14:textId="77777777" w:rsidR="00F66CFF" w:rsidRPr="00381F61" w:rsidRDefault="00F66CFF" w:rsidP="00E71CEB">
      <w:pPr>
        <w:jc w:val="both"/>
        <w:rPr>
          <w:rFonts w:ascii="Garamond" w:eastAsia="Calibri" w:hAnsi="Garamond"/>
          <w:lang w:eastAsia="en-NZ"/>
        </w:rPr>
      </w:pPr>
    </w:p>
    <w:p w14:paraId="6B56E247" w14:textId="77777777" w:rsidR="00F66CFF" w:rsidRPr="00381F61" w:rsidRDefault="00F66CFF" w:rsidP="00E71CEB">
      <w:pPr>
        <w:jc w:val="both"/>
        <w:rPr>
          <w:rFonts w:ascii="Garamond" w:eastAsia="Calibri" w:hAnsi="Garamond"/>
          <w:b/>
          <w:lang w:eastAsia="en-NZ"/>
        </w:rPr>
      </w:pPr>
      <w:r w:rsidRPr="00381F61">
        <w:rPr>
          <w:rFonts w:ascii="Garamond" w:eastAsia="Calibri" w:hAnsi="Garamond"/>
          <w:b/>
          <w:lang w:eastAsia="en-NZ"/>
        </w:rPr>
        <w:t>The main income tax issues for saving vehicles</w:t>
      </w:r>
    </w:p>
    <w:p w14:paraId="7CF049B2" w14:textId="77777777" w:rsidR="00F66CFF" w:rsidRPr="00381F61" w:rsidRDefault="00F66CFF" w:rsidP="00E71CEB">
      <w:pPr>
        <w:jc w:val="both"/>
        <w:rPr>
          <w:rFonts w:ascii="Garamond" w:eastAsia="Calibri" w:hAnsi="Garamond"/>
          <w:lang w:eastAsia="en-NZ"/>
        </w:rPr>
      </w:pPr>
    </w:p>
    <w:p w14:paraId="683A9AB2" w14:textId="7F33AFE8" w:rsidR="00D00F09" w:rsidRPr="00381F61" w:rsidRDefault="00D00F09" w:rsidP="00E71CEB">
      <w:pPr>
        <w:jc w:val="both"/>
        <w:rPr>
          <w:rFonts w:ascii="Garamond" w:eastAsia="Calibri" w:hAnsi="Garamond"/>
          <w:lang w:eastAsia="en-NZ"/>
        </w:rPr>
      </w:pPr>
      <w:r w:rsidRPr="00381F61">
        <w:rPr>
          <w:rFonts w:ascii="Garamond" w:eastAsia="Calibri" w:hAnsi="Garamond"/>
          <w:lang w:eastAsia="en-NZ"/>
        </w:rPr>
        <w:t>The following summarise the main issues that New Zealand faces on income tax associated with ‘collective investment vehicles’ (CIVs):</w:t>
      </w:r>
    </w:p>
    <w:p w14:paraId="76D1C2B9" w14:textId="77777777" w:rsidR="00D00F09" w:rsidRPr="00381F61" w:rsidRDefault="00D00F09" w:rsidP="00E71CEB">
      <w:pPr>
        <w:jc w:val="both"/>
        <w:rPr>
          <w:rFonts w:ascii="Garamond" w:eastAsia="Calibri" w:hAnsi="Garamond"/>
          <w:sz w:val="8"/>
          <w:szCs w:val="8"/>
          <w:lang w:eastAsia="en-NZ"/>
        </w:rPr>
      </w:pPr>
    </w:p>
    <w:p w14:paraId="40DDDA41" w14:textId="4DB6359F" w:rsidR="00D00F09" w:rsidRPr="00381F61" w:rsidRDefault="00D00F09" w:rsidP="00563816">
      <w:pPr>
        <w:pStyle w:val="ListParagraph"/>
        <w:numPr>
          <w:ilvl w:val="0"/>
          <w:numId w:val="63"/>
        </w:numPr>
        <w:jc w:val="both"/>
        <w:rPr>
          <w:rFonts w:ascii="Garamond" w:eastAsia="Calibri" w:hAnsi="Garamond"/>
          <w:lang w:eastAsia="en-NZ"/>
        </w:rPr>
      </w:pPr>
      <w:r w:rsidRPr="00381F61">
        <w:rPr>
          <w:rFonts w:ascii="Garamond" w:eastAsia="Calibri" w:hAnsi="Garamond"/>
          <w:lang w:eastAsia="en-NZ"/>
        </w:rPr>
        <w:t>Different categories of CIV pay different rates of tax;</w:t>
      </w:r>
    </w:p>
    <w:p w14:paraId="68282159" w14:textId="77777777" w:rsidR="00D00F09" w:rsidRPr="00381F61" w:rsidRDefault="00D00F09" w:rsidP="00563816">
      <w:pPr>
        <w:pStyle w:val="ListParagraph"/>
        <w:jc w:val="both"/>
        <w:rPr>
          <w:rFonts w:ascii="Garamond" w:eastAsia="Calibri" w:hAnsi="Garamond"/>
          <w:sz w:val="8"/>
          <w:szCs w:val="8"/>
          <w:lang w:eastAsia="en-NZ"/>
        </w:rPr>
      </w:pPr>
    </w:p>
    <w:p w14:paraId="1F34F560" w14:textId="7E4F705D" w:rsidR="00D00F09" w:rsidRPr="00381F61" w:rsidRDefault="00D00F09" w:rsidP="00563816">
      <w:pPr>
        <w:pStyle w:val="ListParagraph"/>
        <w:numPr>
          <w:ilvl w:val="0"/>
          <w:numId w:val="63"/>
        </w:numPr>
        <w:jc w:val="both"/>
        <w:rPr>
          <w:rFonts w:ascii="Garamond" w:eastAsia="Calibri" w:hAnsi="Garamond"/>
          <w:lang w:eastAsia="en-NZ"/>
        </w:rPr>
      </w:pPr>
      <w:r w:rsidRPr="00381F61">
        <w:rPr>
          <w:rFonts w:ascii="Garamond" w:eastAsia="Calibri" w:hAnsi="Garamond"/>
          <w:lang w:eastAsia="en-NZ"/>
        </w:rPr>
        <w:t>Different tax regimes apply to different types of asset;</w:t>
      </w:r>
    </w:p>
    <w:p w14:paraId="66945422" w14:textId="77777777" w:rsidR="00D00F09" w:rsidRPr="00381F61" w:rsidRDefault="00D00F09" w:rsidP="00563816">
      <w:pPr>
        <w:ind w:left="426"/>
        <w:jc w:val="both"/>
        <w:rPr>
          <w:rFonts w:ascii="Garamond" w:eastAsia="Calibri" w:hAnsi="Garamond"/>
          <w:sz w:val="8"/>
          <w:szCs w:val="8"/>
          <w:lang w:eastAsia="en-NZ"/>
        </w:rPr>
      </w:pPr>
    </w:p>
    <w:p w14:paraId="6233F51E" w14:textId="1E658BE7" w:rsidR="00D00F09" w:rsidRPr="00381F61" w:rsidRDefault="00D00F09" w:rsidP="00563816">
      <w:pPr>
        <w:pStyle w:val="ListParagraph"/>
        <w:numPr>
          <w:ilvl w:val="0"/>
          <w:numId w:val="63"/>
        </w:numPr>
        <w:jc w:val="both"/>
        <w:rPr>
          <w:rFonts w:ascii="Garamond" w:eastAsia="Calibri" w:hAnsi="Garamond"/>
          <w:lang w:eastAsia="en-NZ"/>
        </w:rPr>
      </w:pPr>
      <w:r w:rsidRPr="00381F61">
        <w:rPr>
          <w:rFonts w:ascii="Garamond" w:eastAsia="Calibri" w:hAnsi="Garamond"/>
          <w:lang w:eastAsia="en-NZ"/>
        </w:rPr>
        <w:t xml:space="preserve">Tax applies to </w:t>
      </w:r>
      <w:r w:rsidR="008C799C" w:rsidRPr="00381F61">
        <w:rPr>
          <w:rFonts w:ascii="Garamond" w:eastAsia="Calibri" w:hAnsi="Garamond"/>
          <w:lang w:eastAsia="en-NZ"/>
        </w:rPr>
        <w:t>investments</w:t>
      </w:r>
      <w:r w:rsidRPr="00381F61">
        <w:rPr>
          <w:rFonts w:ascii="Garamond" w:eastAsia="Calibri" w:hAnsi="Garamond"/>
          <w:lang w:eastAsia="en-NZ"/>
        </w:rPr>
        <w:t xml:space="preserve"> differently for CIV</w:t>
      </w:r>
      <w:r w:rsidR="00CC3BB2" w:rsidRPr="00381F61">
        <w:rPr>
          <w:rFonts w:ascii="Garamond" w:eastAsia="Calibri" w:hAnsi="Garamond"/>
          <w:lang w:eastAsia="en-NZ"/>
        </w:rPr>
        <w:t>s</w:t>
      </w:r>
      <w:r w:rsidRPr="00381F61">
        <w:rPr>
          <w:rFonts w:ascii="Garamond" w:eastAsia="Calibri" w:hAnsi="Garamond"/>
          <w:lang w:eastAsia="en-NZ"/>
        </w:rPr>
        <w:t xml:space="preserve"> when compared to individual savers.</w:t>
      </w:r>
    </w:p>
    <w:p w14:paraId="5AE5E70E" w14:textId="77777777" w:rsidR="00D00F09" w:rsidRPr="00381F61" w:rsidRDefault="00D00F09" w:rsidP="00E71CEB">
      <w:pPr>
        <w:jc w:val="both"/>
        <w:rPr>
          <w:rFonts w:ascii="Garamond" w:eastAsia="Calibri" w:hAnsi="Garamond"/>
          <w:lang w:eastAsia="en-NZ"/>
        </w:rPr>
      </w:pPr>
    </w:p>
    <w:p w14:paraId="246DAB13" w14:textId="424EE000" w:rsidR="00D00F09" w:rsidRPr="00381F61" w:rsidRDefault="00D00F09" w:rsidP="00E71CEB">
      <w:pPr>
        <w:jc w:val="both"/>
        <w:rPr>
          <w:rFonts w:ascii="Garamond" w:eastAsia="Calibri" w:hAnsi="Garamond"/>
          <w:lang w:eastAsia="en-NZ"/>
        </w:rPr>
      </w:pPr>
      <w:r w:rsidRPr="00381F61">
        <w:rPr>
          <w:rFonts w:ascii="Garamond" w:eastAsia="Calibri" w:hAnsi="Garamond"/>
          <w:lang w:eastAsia="en-NZ"/>
        </w:rPr>
        <w:t>We think the Retirement Commissioner should have considered the implications of this fragmented and inconsistent approach to the tax treatment of investment income.  Instead, there was no mention of this issue in the 2016 Review</w:t>
      </w:r>
      <w:r w:rsidR="00401C3D" w:rsidRPr="00381F61">
        <w:rPr>
          <w:rFonts w:ascii="Garamond" w:eastAsia="Calibri" w:hAnsi="Garamond"/>
          <w:i/>
          <w:lang w:eastAsia="en-NZ"/>
        </w:rPr>
        <w:t>.</w:t>
      </w:r>
    </w:p>
    <w:p w14:paraId="66F447EC" w14:textId="44782677" w:rsidR="00371BD5" w:rsidRPr="00381F61" w:rsidRDefault="00371BD5" w:rsidP="00E71CEB">
      <w:pPr>
        <w:jc w:val="both"/>
        <w:rPr>
          <w:rFonts w:ascii="Garamond" w:eastAsia="Calibri" w:hAnsi="Garamond"/>
          <w:lang w:eastAsia="en-NZ"/>
        </w:rPr>
      </w:pPr>
    </w:p>
    <w:p w14:paraId="50687520" w14:textId="74620AB6" w:rsidR="00371BD5" w:rsidRPr="00381F61" w:rsidRDefault="00371BD5" w:rsidP="00E71CEB">
      <w:pPr>
        <w:jc w:val="both"/>
        <w:rPr>
          <w:rFonts w:ascii="Garamond" w:eastAsia="Calibri" w:hAnsi="Garamond"/>
          <w:lang w:eastAsia="en-NZ"/>
        </w:rPr>
      </w:pPr>
      <w:r w:rsidRPr="00381F61">
        <w:rPr>
          <w:rFonts w:ascii="Garamond" w:eastAsia="Calibri" w:hAnsi="Garamond"/>
          <w:lang w:eastAsia="en-NZ"/>
        </w:rPr>
        <w:t>The Tax Working Group, on the other hand, did touch on the way CIVs are treated for tax purposes.  It stated:</w:t>
      </w:r>
    </w:p>
    <w:p w14:paraId="7041E22C" w14:textId="2A8EAE24" w:rsidR="00371BD5" w:rsidRPr="00381F61" w:rsidRDefault="00371BD5" w:rsidP="00E71CEB">
      <w:pPr>
        <w:jc w:val="both"/>
        <w:rPr>
          <w:rFonts w:ascii="Garamond" w:eastAsia="Calibri" w:hAnsi="Garamond"/>
          <w:sz w:val="8"/>
          <w:szCs w:val="8"/>
          <w:lang w:eastAsia="en-NZ"/>
        </w:rPr>
      </w:pPr>
    </w:p>
    <w:p w14:paraId="3EBB742B" w14:textId="390972ED" w:rsidR="00371BD5" w:rsidRPr="00381F61" w:rsidRDefault="00371BD5" w:rsidP="00891E0F">
      <w:pPr>
        <w:ind w:left="426"/>
        <w:jc w:val="both"/>
        <w:rPr>
          <w:rFonts w:ascii="Garamond" w:eastAsia="Calibri" w:hAnsi="Garamond"/>
          <w:sz w:val="22"/>
          <w:szCs w:val="22"/>
          <w:lang w:eastAsia="en-NZ"/>
        </w:rPr>
      </w:pPr>
      <w:r w:rsidRPr="00381F61">
        <w:rPr>
          <w:rFonts w:ascii="Garamond" w:eastAsia="Calibri" w:hAnsi="Garamond"/>
          <w:sz w:val="22"/>
          <w:szCs w:val="22"/>
          <w:lang w:eastAsia="en-NZ"/>
        </w:rPr>
        <w:t>“The current rules offer a relatively consistent tax treatment of investors, irrespective of the entity through which investments are made.”</w:t>
      </w:r>
      <w:r w:rsidRPr="00381F61">
        <w:rPr>
          <w:rStyle w:val="FootnoteReference"/>
          <w:rFonts w:ascii="Garamond" w:eastAsia="Calibri" w:hAnsi="Garamond"/>
          <w:sz w:val="22"/>
          <w:szCs w:val="22"/>
          <w:lang w:eastAsia="en-NZ"/>
        </w:rPr>
        <w:footnoteReference w:id="220"/>
      </w:r>
      <w:r w:rsidRPr="00381F61">
        <w:rPr>
          <w:rFonts w:ascii="Garamond" w:eastAsia="Calibri" w:hAnsi="Garamond"/>
          <w:sz w:val="22"/>
          <w:szCs w:val="22"/>
          <w:lang w:eastAsia="en-NZ"/>
        </w:rPr>
        <w:t xml:space="preserve"> </w:t>
      </w:r>
    </w:p>
    <w:p w14:paraId="671CA04D" w14:textId="6EB1CF5C" w:rsidR="00D00F09" w:rsidRPr="00381F61" w:rsidRDefault="00D00F09" w:rsidP="00E71CEB">
      <w:pPr>
        <w:jc w:val="both"/>
        <w:rPr>
          <w:rFonts w:ascii="Garamond" w:eastAsia="Calibri" w:hAnsi="Garamond"/>
          <w:lang w:eastAsia="en-NZ"/>
        </w:rPr>
      </w:pPr>
    </w:p>
    <w:p w14:paraId="366CFE33" w14:textId="46D397A3" w:rsidR="00371BD5" w:rsidRPr="00381F61" w:rsidRDefault="00371BD5" w:rsidP="00E71CEB">
      <w:pPr>
        <w:jc w:val="both"/>
        <w:rPr>
          <w:rFonts w:ascii="Garamond" w:eastAsia="Calibri" w:hAnsi="Garamond"/>
          <w:lang w:eastAsia="en-NZ"/>
        </w:rPr>
      </w:pPr>
      <w:r w:rsidRPr="00381F61">
        <w:rPr>
          <w:rFonts w:ascii="Garamond" w:eastAsia="Calibri" w:hAnsi="Garamond"/>
          <w:lang w:eastAsia="en-NZ"/>
        </w:rPr>
        <w:t>For the reasons explained in this section, that statement is wrong both as between individual investors and CIVs as a group and also as between different types of CIV.  New Zealand’s tax system deserved better than this superficial summary.</w:t>
      </w:r>
    </w:p>
    <w:p w14:paraId="2A978DEA" w14:textId="77777777" w:rsidR="00371BD5" w:rsidRPr="00381F61" w:rsidRDefault="00371BD5" w:rsidP="00E71CEB">
      <w:pPr>
        <w:jc w:val="both"/>
        <w:rPr>
          <w:rFonts w:ascii="Garamond" w:eastAsia="Calibri" w:hAnsi="Garamond"/>
          <w:b/>
          <w:lang w:eastAsia="en-NZ"/>
        </w:rPr>
      </w:pPr>
    </w:p>
    <w:p w14:paraId="59FA51C5" w14:textId="3E7DE80D" w:rsidR="00371BD5" w:rsidRPr="00381F61" w:rsidRDefault="00371BD5" w:rsidP="00E71CEB">
      <w:pPr>
        <w:jc w:val="both"/>
        <w:rPr>
          <w:rFonts w:ascii="Garamond" w:eastAsia="Calibri" w:hAnsi="Garamond"/>
          <w:b/>
          <w:lang w:eastAsia="en-NZ"/>
        </w:rPr>
      </w:pPr>
      <w:r w:rsidRPr="00381F61">
        <w:rPr>
          <w:rFonts w:ascii="Garamond" w:eastAsia="Calibri" w:hAnsi="Garamond"/>
          <w:b/>
          <w:lang w:eastAsia="en-NZ"/>
        </w:rPr>
        <w:t>Our 2010 Working Paper</w:t>
      </w:r>
    </w:p>
    <w:p w14:paraId="1C9F2D94" w14:textId="77777777" w:rsidR="00371BD5" w:rsidRPr="00381F61" w:rsidRDefault="00371BD5" w:rsidP="00E71CEB">
      <w:pPr>
        <w:jc w:val="both"/>
        <w:rPr>
          <w:rFonts w:ascii="Garamond" w:eastAsia="Calibri" w:hAnsi="Garamond"/>
          <w:lang w:eastAsia="en-NZ"/>
        </w:rPr>
      </w:pPr>
    </w:p>
    <w:p w14:paraId="1E133F9F" w14:textId="54DDD62F" w:rsidR="00401C3D" w:rsidRPr="00381F61" w:rsidRDefault="00401C3D" w:rsidP="00E71CEB">
      <w:pPr>
        <w:jc w:val="both"/>
        <w:rPr>
          <w:rFonts w:ascii="Garamond" w:eastAsia="Calibri" w:hAnsi="Garamond"/>
          <w:lang w:eastAsia="en-NZ"/>
        </w:rPr>
      </w:pPr>
      <w:r w:rsidRPr="00381F61">
        <w:rPr>
          <w:rFonts w:ascii="Garamond" w:eastAsia="Calibri" w:hAnsi="Garamond"/>
          <w:lang w:eastAsia="en-NZ"/>
        </w:rPr>
        <w:t>In 2010, we reviewed the income tax regime of CIVs and the relationship between ‘income’ and the income-tested welfare benefits.  In essence, nothing has</w:t>
      </w:r>
      <w:r w:rsidR="00EC78AC" w:rsidRPr="00381F61">
        <w:rPr>
          <w:rFonts w:ascii="Garamond" w:eastAsia="Calibri" w:hAnsi="Garamond"/>
          <w:lang w:eastAsia="en-NZ"/>
        </w:rPr>
        <w:t xml:space="preserve"> materially</w:t>
      </w:r>
      <w:r w:rsidRPr="00381F61">
        <w:rPr>
          <w:rFonts w:ascii="Garamond" w:eastAsia="Calibri" w:hAnsi="Garamond"/>
          <w:lang w:eastAsia="en-NZ"/>
        </w:rPr>
        <w:t xml:space="preserve"> changed so what follows summarises our findings of </w:t>
      </w:r>
      <w:r w:rsidR="001D550C" w:rsidRPr="00381F61">
        <w:rPr>
          <w:rFonts w:ascii="Garamond" w:eastAsia="Calibri" w:hAnsi="Garamond"/>
          <w:lang w:eastAsia="en-NZ"/>
        </w:rPr>
        <w:t xml:space="preserve">nine </w:t>
      </w:r>
      <w:r w:rsidRPr="00381F61">
        <w:rPr>
          <w:rFonts w:ascii="Garamond" w:eastAsia="Calibri" w:hAnsi="Garamond"/>
          <w:lang w:eastAsia="en-NZ"/>
        </w:rPr>
        <w:t>years ago.</w:t>
      </w:r>
    </w:p>
    <w:p w14:paraId="3A76F4DD" w14:textId="77777777" w:rsidR="00401C3D" w:rsidRPr="00381F61" w:rsidRDefault="00401C3D" w:rsidP="00E71CEB">
      <w:pPr>
        <w:jc w:val="both"/>
        <w:rPr>
          <w:rFonts w:ascii="Garamond" w:eastAsia="Calibri" w:hAnsi="Garamond"/>
          <w:lang w:eastAsia="en-NZ"/>
        </w:rPr>
      </w:pPr>
    </w:p>
    <w:p w14:paraId="612A1CFE" w14:textId="0EB8D93A" w:rsidR="00823B23" w:rsidRPr="00381F61" w:rsidRDefault="00823B23" w:rsidP="00E71CEB">
      <w:pPr>
        <w:jc w:val="both"/>
        <w:rPr>
          <w:rFonts w:ascii="Garamond" w:eastAsia="Calibri" w:hAnsi="Garamond"/>
          <w:lang w:eastAsia="en-NZ"/>
        </w:rPr>
      </w:pPr>
      <w:r w:rsidRPr="00381F61">
        <w:rPr>
          <w:rFonts w:ascii="Garamond" w:eastAsia="Calibri" w:hAnsi="Garamond"/>
          <w:lang w:eastAsia="en-NZ"/>
        </w:rPr>
        <w:t xml:space="preserve">Until 2000, New Zealand had a relatively simple tax treatment of CIVs where the CIV’s income was taxed at the top personal rate of tax (33%) that was also the corporate tax rate and the rate that applied to trusts.  Under the TTE regime (see section 9 – On tax subsidies for saving), </w:t>
      </w:r>
      <w:r w:rsidR="00E7427E" w:rsidRPr="00381F61">
        <w:rPr>
          <w:rFonts w:ascii="Garamond" w:eastAsia="Calibri" w:hAnsi="Garamond"/>
          <w:lang w:eastAsia="en-NZ"/>
        </w:rPr>
        <w:t xml:space="preserve">members’ </w:t>
      </w:r>
      <w:r w:rsidRPr="00381F61">
        <w:rPr>
          <w:rFonts w:ascii="Garamond" w:eastAsia="Calibri" w:hAnsi="Garamond"/>
          <w:lang w:eastAsia="en-NZ"/>
        </w:rPr>
        <w:t>contributions to CIVs that were workplace superannuation schemes were made out of the employee’s after-tax income (the employer’s contributions were also taxed at 33%) and withdrawals were treated as tax-paid capital.</w:t>
      </w:r>
    </w:p>
    <w:p w14:paraId="2F85DA03" w14:textId="77777777" w:rsidR="00823B23" w:rsidRPr="00381F61" w:rsidRDefault="00823B23" w:rsidP="00E71CEB">
      <w:pPr>
        <w:jc w:val="both"/>
        <w:rPr>
          <w:rFonts w:ascii="Garamond" w:eastAsia="Calibri" w:hAnsi="Garamond"/>
          <w:lang w:eastAsia="en-NZ"/>
        </w:rPr>
      </w:pPr>
    </w:p>
    <w:p w14:paraId="63101C8A" w14:textId="6E347845" w:rsidR="00AF78A7" w:rsidRPr="00381F61" w:rsidRDefault="00AF78A7" w:rsidP="00E71CEB">
      <w:pPr>
        <w:jc w:val="both"/>
        <w:rPr>
          <w:rFonts w:ascii="Garamond" w:hAnsi="Garamond"/>
        </w:rPr>
      </w:pPr>
      <w:r w:rsidRPr="00381F61">
        <w:rPr>
          <w:rFonts w:ascii="Garamond" w:hAnsi="Garamond"/>
        </w:rPr>
        <w:t xml:space="preserve">An Inland Revenue 2005 </w:t>
      </w:r>
      <w:r w:rsidRPr="00381F61">
        <w:rPr>
          <w:rFonts w:ascii="Garamond" w:hAnsi="Garamond"/>
          <w:i/>
        </w:rPr>
        <w:t>Discussion Document</w:t>
      </w:r>
      <w:r w:rsidRPr="00381F61">
        <w:rPr>
          <w:rStyle w:val="FootnoteReference"/>
          <w:rFonts w:ascii="Garamond" w:hAnsi="Garamond"/>
        </w:rPr>
        <w:footnoteReference w:id="221"/>
      </w:r>
      <w:r w:rsidRPr="00381F61">
        <w:rPr>
          <w:rFonts w:ascii="Garamond" w:hAnsi="Garamond"/>
        </w:rPr>
        <w:t xml:space="preserve"> stated:</w:t>
      </w:r>
    </w:p>
    <w:p w14:paraId="48ACFADA" w14:textId="77777777" w:rsidR="00AF78A7" w:rsidRPr="00381F61" w:rsidRDefault="00AF78A7" w:rsidP="00E71CEB">
      <w:pPr>
        <w:jc w:val="both"/>
        <w:rPr>
          <w:rFonts w:ascii="Garamond" w:hAnsi="Garamond"/>
          <w:sz w:val="8"/>
          <w:szCs w:val="8"/>
        </w:rPr>
      </w:pPr>
    </w:p>
    <w:p w14:paraId="6DF6D80A" w14:textId="77777777" w:rsidR="00AF78A7" w:rsidRPr="00381F61" w:rsidRDefault="00AF78A7" w:rsidP="00563816">
      <w:pPr>
        <w:pStyle w:val="BodyTextIndent"/>
        <w:spacing w:after="0"/>
        <w:ind w:left="284"/>
        <w:jc w:val="both"/>
        <w:rPr>
          <w:rFonts w:ascii="Garamond" w:hAnsi="Garamond"/>
          <w:sz w:val="22"/>
          <w:szCs w:val="22"/>
        </w:rPr>
      </w:pPr>
      <w:r w:rsidRPr="00381F61">
        <w:rPr>
          <w:rFonts w:ascii="Garamond" w:hAnsi="Garamond"/>
          <w:sz w:val="22"/>
          <w:szCs w:val="22"/>
        </w:rPr>
        <w:t>“…it is important that the tax rules for investment income operate efficiently and that investors’ decisions are not distorted by different tax treatments for income from investments that are similar in nature……</w:t>
      </w:r>
    </w:p>
    <w:p w14:paraId="31CAE3E8" w14:textId="77777777" w:rsidR="00AF78A7" w:rsidRPr="00381F61" w:rsidRDefault="00AF78A7">
      <w:pPr>
        <w:ind w:left="284"/>
        <w:jc w:val="both"/>
        <w:rPr>
          <w:rFonts w:ascii="Garamond" w:hAnsi="Garamond"/>
          <w:sz w:val="8"/>
          <w:szCs w:val="8"/>
        </w:rPr>
      </w:pPr>
    </w:p>
    <w:p w14:paraId="69514798" w14:textId="4F9600E4" w:rsidR="00AF78A7" w:rsidRPr="00381F61" w:rsidRDefault="00AF78A7">
      <w:pPr>
        <w:ind w:left="284"/>
        <w:jc w:val="both"/>
        <w:rPr>
          <w:rFonts w:ascii="Garamond" w:hAnsi="Garamond"/>
          <w:sz w:val="22"/>
          <w:szCs w:val="22"/>
        </w:rPr>
      </w:pPr>
      <w:r w:rsidRPr="00381F61">
        <w:rPr>
          <w:rFonts w:ascii="Garamond" w:hAnsi="Garamond"/>
          <w:sz w:val="22"/>
          <w:szCs w:val="22"/>
        </w:rPr>
        <w:t>“The proposals outlined in this discussion document aim to resolve these inconsistencies and the distorting effect they have on investor decision-making.”</w:t>
      </w:r>
    </w:p>
    <w:p w14:paraId="2F2056BC" w14:textId="77777777" w:rsidR="00AF78A7" w:rsidRPr="00381F61" w:rsidRDefault="00AF78A7" w:rsidP="00043E1D">
      <w:pPr>
        <w:jc w:val="both"/>
        <w:rPr>
          <w:rFonts w:ascii="Garamond" w:hAnsi="Garamond"/>
          <w:sz w:val="22"/>
          <w:szCs w:val="22"/>
        </w:rPr>
      </w:pPr>
    </w:p>
    <w:p w14:paraId="3DBB7046" w14:textId="64722C5B" w:rsidR="00546D17" w:rsidRPr="00381F61" w:rsidRDefault="00AF78A7" w:rsidP="00043E1D">
      <w:pPr>
        <w:jc w:val="both"/>
        <w:rPr>
          <w:rFonts w:ascii="Garamond" w:hAnsi="Garamond"/>
        </w:rPr>
      </w:pPr>
      <w:r w:rsidRPr="00381F61">
        <w:rPr>
          <w:rFonts w:ascii="Garamond" w:hAnsi="Garamond"/>
        </w:rPr>
        <w:t xml:space="preserve">The results of the review sparked by the </w:t>
      </w:r>
      <w:r w:rsidRPr="00381F61">
        <w:rPr>
          <w:rFonts w:ascii="Garamond" w:hAnsi="Garamond"/>
          <w:i/>
        </w:rPr>
        <w:t>Discussion Document</w:t>
      </w:r>
      <w:r w:rsidRPr="00381F61">
        <w:rPr>
          <w:rFonts w:ascii="Garamond" w:hAnsi="Garamond"/>
        </w:rPr>
        <w:t xml:space="preserve"> were the 2007 introduction of Portfolio Investment Entities’ (PIEs) and the Fair Dividend Return (FDR) approach to the tax treatment of overseas </w:t>
      </w:r>
      <w:r w:rsidR="00E7427E" w:rsidRPr="00381F61">
        <w:rPr>
          <w:rFonts w:ascii="Garamond" w:hAnsi="Garamond"/>
        </w:rPr>
        <w:t>investments</w:t>
      </w:r>
      <w:r w:rsidRPr="00381F61">
        <w:rPr>
          <w:rFonts w:ascii="Garamond" w:hAnsi="Garamond"/>
        </w:rPr>
        <w:t>.</w:t>
      </w:r>
      <w:r w:rsidR="00546D17" w:rsidRPr="00381F61">
        <w:rPr>
          <w:rFonts w:ascii="Garamond" w:hAnsi="Garamond"/>
        </w:rPr>
        <w:t xml:space="preserve">  However, as our 2010 Working Paper concluded, “It is clear that the tax regime is complex and distortionary and this seems at odds with the reasons for the 2007 changes.”</w:t>
      </w:r>
    </w:p>
    <w:p w14:paraId="72FF71C6" w14:textId="77777777" w:rsidR="0087186B" w:rsidRPr="00381F61" w:rsidRDefault="0087186B" w:rsidP="00043E1D">
      <w:pPr>
        <w:jc w:val="both"/>
        <w:rPr>
          <w:rFonts w:ascii="Garamond" w:hAnsi="Garamond"/>
        </w:rPr>
      </w:pPr>
    </w:p>
    <w:p w14:paraId="06509B14" w14:textId="24B91464" w:rsidR="0087186B" w:rsidRPr="00381F61" w:rsidRDefault="0087186B" w:rsidP="00043E1D">
      <w:pPr>
        <w:jc w:val="both"/>
        <w:rPr>
          <w:rFonts w:ascii="Garamond" w:hAnsi="Garamond"/>
        </w:rPr>
      </w:pPr>
      <w:r w:rsidRPr="00381F61">
        <w:rPr>
          <w:rFonts w:ascii="Garamond" w:hAnsi="Garamond"/>
        </w:rPr>
        <w:t>There are now, broadly, three types of CIV or pooled investment vehicle:</w:t>
      </w:r>
    </w:p>
    <w:p w14:paraId="3C77214C" w14:textId="77777777" w:rsidR="0087186B" w:rsidRPr="00381F61" w:rsidRDefault="0087186B" w:rsidP="00043E1D">
      <w:pPr>
        <w:jc w:val="both"/>
        <w:rPr>
          <w:rFonts w:ascii="Garamond" w:hAnsi="Garamond"/>
          <w:sz w:val="8"/>
          <w:szCs w:val="8"/>
        </w:rPr>
      </w:pPr>
    </w:p>
    <w:p w14:paraId="2A51F1E1" w14:textId="475FD87A" w:rsidR="0087186B" w:rsidRPr="00381F61" w:rsidRDefault="0087186B" w:rsidP="00043E1D">
      <w:pPr>
        <w:pStyle w:val="ListParagraph"/>
        <w:numPr>
          <w:ilvl w:val="0"/>
          <w:numId w:val="29"/>
        </w:numPr>
        <w:jc w:val="both"/>
        <w:rPr>
          <w:rFonts w:ascii="Garamond" w:hAnsi="Garamond"/>
        </w:rPr>
      </w:pPr>
      <w:r w:rsidRPr="00381F61">
        <w:rPr>
          <w:rFonts w:ascii="Garamond" w:hAnsi="Garamond"/>
        </w:rPr>
        <w:t xml:space="preserve">A </w:t>
      </w:r>
      <w:r w:rsidRPr="00381F61">
        <w:rPr>
          <w:rFonts w:ascii="Garamond" w:hAnsi="Garamond"/>
          <w:b/>
        </w:rPr>
        <w:t>unit trust</w:t>
      </w:r>
      <w:r w:rsidRPr="00381F61">
        <w:rPr>
          <w:rFonts w:ascii="Garamond" w:hAnsi="Garamond"/>
        </w:rPr>
        <w:t xml:space="preserve"> type of product where the return is passed through to the investor and taxable income is taxed at the investor’s own marginal tax rate.</w:t>
      </w:r>
    </w:p>
    <w:p w14:paraId="41452B2A" w14:textId="77777777" w:rsidR="0087186B" w:rsidRPr="00381F61" w:rsidRDefault="0087186B" w:rsidP="00043E1D">
      <w:pPr>
        <w:pStyle w:val="ListParagraph"/>
        <w:jc w:val="both"/>
        <w:rPr>
          <w:rFonts w:ascii="Garamond" w:hAnsi="Garamond"/>
          <w:sz w:val="8"/>
          <w:szCs w:val="8"/>
        </w:rPr>
      </w:pPr>
    </w:p>
    <w:p w14:paraId="6B661C7D" w14:textId="19BD1A47" w:rsidR="0087186B" w:rsidRPr="00381F61" w:rsidRDefault="0087186B" w:rsidP="00043E1D">
      <w:pPr>
        <w:pStyle w:val="ListParagraph"/>
        <w:numPr>
          <w:ilvl w:val="0"/>
          <w:numId w:val="29"/>
        </w:numPr>
        <w:jc w:val="both"/>
        <w:rPr>
          <w:rFonts w:ascii="Garamond" w:hAnsi="Garamond"/>
        </w:rPr>
      </w:pPr>
      <w:r w:rsidRPr="00381F61">
        <w:rPr>
          <w:rFonts w:ascii="Garamond" w:hAnsi="Garamond"/>
        </w:rPr>
        <w:t xml:space="preserve">A </w:t>
      </w:r>
      <w:r w:rsidRPr="00381F61">
        <w:rPr>
          <w:rFonts w:ascii="Garamond" w:hAnsi="Garamond"/>
          <w:b/>
        </w:rPr>
        <w:t>superannuation scheme</w:t>
      </w:r>
      <w:r w:rsidRPr="00381F61">
        <w:rPr>
          <w:rFonts w:ascii="Garamond" w:hAnsi="Garamond"/>
        </w:rPr>
        <w:t xml:space="preserve"> type of product</w:t>
      </w:r>
      <w:r w:rsidR="00DE0F7A" w:rsidRPr="00381F61">
        <w:rPr>
          <w:rFonts w:ascii="Garamond" w:hAnsi="Garamond"/>
        </w:rPr>
        <w:t>.  These can be</w:t>
      </w:r>
      <w:r w:rsidR="002E646C" w:rsidRPr="00381F61">
        <w:rPr>
          <w:rFonts w:ascii="Garamond" w:hAnsi="Garamond"/>
        </w:rPr>
        <w:t xml:space="preserve"> a PIE </w:t>
      </w:r>
      <w:r w:rsidRPr="00381F61">
        <w:rPr>
          <w:rFonts w:ascii="Garamond" w:hAnsi="Garamond"/>
        </w:rPr>
        <w:t>where tax is calculated within the scheme at the investor’s Prescribed Investor Rate (PIR) that mimics, on a favoured basis, the investor’s marginal rate but doesn’t tax all income.  Returns are ultimately distributed to investors as tax-paid capital.</w:t>
      </w:r>
      <w:r w:rsidR="00EC554C" w:rsidRPr="00381F61">
        <w:rPr>
          <w:rFonts w:ascii="Garamond" w:hAnsi="Garamond"/>
        </w:rPr>
        <w:t xml:space="preserve">  </w:t>
      </w:r>
      <w:r w:rsidR="00DE0F7A" w:rsidRPr="00381F61">
        <w:rPr>
          <w:rFonts w:ascii="Garamond" w:hAnsi="Garamond"/>
        </w:rPr>
        <w:t>A s</w:t>
      </w:r>
      <w:r w:rsidR="00EC554C" w:rsidRPr="00381F61">
        <w:rPr>
          <w:rFonts w:ascii="Garamond" w:hAnsi="Garamond"/>
        </w:rPr>
        <w:t>uperannuation scheme do</w:t>
      </w:r>
      <w:r w:rsidR="00DE0F7A" w:rsidRPr="00381F61">
        <w:rPr>
          <w:rFonts w:ascii="Garamond" w:hAnsi="Garamond"/>
        </w:rPr>
        <w:t>es</w:t>
      </w:r>
      <w:r w:rsidR="00EC554C" w:rsidRPr="00381F61">
        <w:rPr>
          <w:rFonts w:ascii="Garamond" w:hAnsi="Garamond"/>
        </w:rPr>
        <w:t xml:space="preserve"> not have to be </w:t>
      </w:r>
      <w:r w:rsidR="00DE0F7A" w:rsidRPr="00381F61">
        <w:rPr>
          <w:rFonts w:ascii="Garamond" w:hAnsi="Garamond"/>
        </w:rPr>
        <w:t>a PIE</w:t>
      </w:r>
      <w:r w:rsidR="00EC554C" w:rsidRPr="00381F61">
        <w:rPr>
          <w:rFonts w:ascii="Garamond" w:hAnsi="Garamond"/>
        </w:rPr>
        <w:t xml:space="preserve"> – in this case, tax is still calculated within the scheme on a ‘final basis’ but at a standard </w:t>
      </w:r>
      <w:r w:rsidR="00DE0F7A" w:rsidRPr="00381F61">
        <w:rPr>
          <w:rFonts w:ascii="Garamond" w:hAnsi="Garamond"/>
        </w:rPr>
        <w:t>28% for the scheme as a whole</w:t>
      </w:r>
      <w:r w:rsidR="00F6324B" w:rsidRPr="00381F61">
        <w:rPr>
          <w:rStyle w:val="FootnoteReference"/>
          <w:rFonts w:ascii="Garamond" w:hAnsi="Garamond"/>
        </w:rPr>
        <w:footnoteReference w:id="222"/>
      </w:r>
      <w:r w:rsidR="00EC554C" w:rsidRPr="00381F61">
        <w:rPr>
          <w:rFonts w:ascii="Garamond" w:hAnsi="Garamond"/>
        </w:rPr>
        <w:t>.</w:t>
      </w:r>
    </w:p>
    <w:p w14:paraId="1595B9D6" w14:textId="77777777" w:rsidR="0087186B" w:rsidRPr="00381F61" w:rsidRDefault="0087186B" w:rsidP="00043E1D">
      <w:pPr>
        <w:ind w:left="709"/>
        <w:jc w:val="both"/>
        <w:rPr>
          <w:rFonts w:ascii="Garamond" w:hAnsi="Garamond"/>
          <w:sz w:val="8"/>
          <w:szCs w:val="8"/>
        </w:rPr>
      </w:pPr>
    </w:p>
    <w:p w14:paraId="65B0118B" w14:textId="12DC4BEA" w:rsidR="0087186B" w:rsidRPr="00381F61" w:rsidRDefault="0087186B" w:rsidP="00043E1D">
      <w:pPr>
        <w:pStyle w:val="ListParagraph"/>
        <w:numPr>
          <w:ilvl w:val="0"/>
          <w:numId w:val="29"/>
        </w:numPr>
        <w:jc w:val="both"/>
        <w:rPr>
          <w:rFonts w:ascii="Garamond" w:hAnsi="Garamond"/>
        </w:rPr>
      </w:pPr>
      <w:r w:rsidRPr="00381F61">
        <w:rPr>
          <w:rFonts w:ascii="Garamond" w:hAnsi="Garamond"/>
        </w:rPr>
        <w:t xml:space="preserve">A </w:t>
      </w:r>
      <w:r w:rsidR="00EC554C" w:rsidRPr="00381F61">
        <w:rPr>
          <w:rFonts w:ascii="Garamond" w:hAnsi="Garamond"/>
          <w:b/>
        </w:rPr>
        <w:t>non-superannuation scheme</w:t>
      </w:r>
      <w:r w:rsidR="00930243" w:rsidRPr="00381F61">
        <w:rPr>
          <w:rFonts w:ascii="Garamond" w:hAnsi="Garamond"/>
        </w:rPr>
        <w:t xml:space="preserve"> (which may be a unit trust)</w:t>
      </w:r>
      <w:r w:rsidR="00EC554C" w:rsidRPr="00381F61">
        <w:rPr>
          <w:rFonts w:ascii="Garamond" w:hAnsi="Garamond"/>
        </w:rPr>
        <w:t xml:space="preserve"> that is a </w:t>
      </w:r>
      <w:r w:rsidRPr="00381F61">
        <w:rPr>
          <w:rFonts w:ascii="Garamond" w:hAnsi="Garamond"/>
        </w:rPr>
        <w:t>PIE</w:t>
      </w:r>
      <w:r w:rsidRPr="00381F61">
        <w:rPr>
          <w:rFonts w:ascii="Garamond" w:hAnsi="Garamond"/>
          <w:b/>
        </w:rPr>
        <w:t xml:space="preserve"> </w:t>
      </w:r>
      <w:r w:rsidR="00EC554C" w:rsidRPr="00381F61">
        <w:rPr>
          <w:rFonts w:ascii="Garamond" w:hAnsi="Garamond"/>
        </w:rPr>
        <w:t>and</w:t>
      </w:r>
      <w:r w:rsidR="00EC554C" w:rsidRPr="00381F61">
        <w:rPr>
          <w:rFonts w:ascii="Garamond" w:hAnsi="Garamond"/>
          <w:b/>
        </w:rPr>
        <w:t xml:space="preserve"> </w:t>
      </w:r>
      <w:r w:rsidRPr="00381F61">
        <w:rPr>
          <w:rFonts w:ascii="Garamond" w:hAnsi="Garamond"/>
        </w:rPr>
        <w:t>that also taxes the income at the investor’s PIR.</w:t>
      </w:r>
    </w:p>
    <w:p w14:paraId="05DB32AF" w14:textId="77777777" w:rsidR="000274B7" w:rsidRPr="00381F61" w:rsidRDefault="000274B7">
      <w:pPr>
        <w:jc w:val="both"/>
        <w:rPr>
          <w:rFonts w:ascii="Garamond" w:hAnsi="Garamond"/>
        </w:rPr>
      </w:pPr>
    </w:p>
    <w:p w14:paraId="1481E61E" w14:textId="229CDCEE" w:rsidR="00930243" w:rsidRPr="00381F61" w:rsidRDefault="0087186B">
      <w:pPr>
        <w:jc w:val="both"/>
        <w:rPr>
          <w:rFonts w:ascii="Garamond" w:hAnsi="Garamond"/>
        </w:rPr>
      </w:pPr>
      <w:r w:rsidRPr="00381F61">
        <w:rPr>
          <w:rFonts w:ascii="Garamond" w:hAnsi="Garamond"/>
        </w:rPr>
        <w:t xml:space="preserve">Separately, the </w:t>
      </w:r>
      <w:r w:rsidRPr="00381F61">
        <w:rPr>
          <w:rFonts w:ascii="Garamond" w:hAnsi="Garamond"/>
          <w:b/>
        </w:rPr>
        <w:t>FDR regime</w:t>
      </w:r>
      <w:r w:rsidRPr="00381F61">
        <w:rPr>
          <w:rFonts w:ascii="Garamond" w:hAnsi="Garamond"/>
        </w:rPr>
        <w:t xml:space="preserve"> taxes overseas </w:t>
      </w:r>
      <w:r w:rsidR="00930243" w:rsidRPr="00381F61">
        <w:rPr>
          <w:rFonts w:ascii="Garamond" w:hAnsi="Garamond"/>
        </w:rPr>
        <w:t xml:space="preserve">equities </w:t>
      </w:r>
      <w:r w:rsidR="00F66CFF" w:rsidRPr="00381F61">
        <w:rPr>
          <w:rFonts w:ascii="Garamond" w:hAnsi="Garamond"/>
        </w:rPr>
        <w:t xml:space="preserve">owned by </w:t>
      </w:r>
      <w:r w:rsidRPr="00381F61">
        <w:rPr>
          <w:rFonts w:ascii="Garamond" w:hAnsi="Garamond"/>
        </w:rPr>
        <w:t xml:space="preserve">trusts (and direct </w:t>
      </w:r>
      <w:r w:rsidR="00930243" w:rsidRPr="00381F61">
        <w:rPr>
          <w:rFonts w:ascii="Garamond" w:hAnsi="Garamond"/>
        </w:rPr>
        <w:t xml:space="preserve">equity </w:t>
      </w:r>
      <w:r w:rsidRPr="00381F61">
        <w:rPr>
          <w:rFonts w:ascii="Garamond" w:hAnsi="Garamond"/>
        </w:rPr>
        <w:t>investments)</w:t>
      </w:r>
      <w:r w:rsidR="00930243" w:rsidRPr="00381F61">
        <w:rPr>
          <w:rFonts w:ascii="Garamond" w:hAnsi="Garamond"/>
        </w:rPr>
        <w:t xml:space="preserve"> other than certain Australian shares</w:t>
      </w:r>
      <w:r w:rsidRPr="00381F61">
        <w:rPr>
          <w:rFonts w:ascii="Garamond" w:hAnsi="Garamond"/>
        </w:rPr>
        <w:t xml:space="preserve"> on a deemed income basis.  </w:t>
      </w:r>
      <w:r w:rsidR="00F66CFF" w:rsidRPr="00381F61">
        <w:rPr>
          <w:rFonts w:ascii="Garamond" w:hAnsi="Garamond"/>
        </w:rPr>
        <w:t>Under this regime, r</w:t>
      </w:r>
      <w:r w:rsidRPr="00381F61">
        <w:rPr>
          <w:rFonts w:ascii="Garamond" w:hAnsi="Garamond"/>
        </w:rPr>
        <w:t>egardless of the investor’s actual returns, taxable income is assumed to be 5% of the asset’s opening val</w:t>
      </w:r>
      <w:r w:rsidR="00930243" w:rsidRPr="00381F61">
        <w:rPr>
          <w:rFonts w:ascii="Garamond" w:hAnsi="Garamond"/>
        </w:rPr>
        <w:t>u</w:t>
      </w:r>
      <w:r w:rsidRPr="00381F61">
        <w:rPr>
          <w:rFonts w:ascii="Garamond" w:hAnsi="Garamond"/>
        </w:rPr>
        <w:t>e on 1 April in the tax year</w:t>
      </w:r>
      <w:r w:rsidR="00930243" w:rsidRPr="00381F61">
        <w:rPr>
          <w:rFonts w:ascii="Garamond" w:hAnsi="Garamond"/>
        </w:rPr>
        <w:t xml:space="preserve"> for an individual and some CIVs, though most CIVs are now taxed on 5% of the average daily value</w:t>
      </w:r>
      <w:r w:rsidRPr="00381F61">
        <w:rPr>
          <w:rFonts w:ascii="Garamond" w:hAnsi="Garamond"/>
        </w:rPr>
        <w:t>.</w:t>
      </w:r>
      <w:r w:rsidR="00B4070C" w:rsidRPr="00381F61">
        <w:rPr>
          <w:rFonts w:ascii="Garamond" w:hAnsi="Garamond"/>
        </w:rPr>
        <w:t xml:space="preserve">  For some individuals, the basis of tax can be set at the lower of the FIF (foreign investment fund) regime and the FDR regime.  This can see some individuals, at their choice (each year)</w:t>
      </w:r>
      <w:r w:rsidR="00801E47" w:rsidRPr="00381F61">
        <w:rPr>
          <w:rFonts w:ascii="Garamond" w:hAnsi="Garamond"/>
        </w:rPr>
        <w:t>,</w:t>
      </w:r>
      <w:r w:rsidR="00B4070C" w:rsidRPr="00381F61">
        <w:rPr>
          <w:rFonts w:ascii="Garamond" w:hAnsi="Garamond"/>
        </w:rPr>
        <w:t xml:space="preserve"> pay no tax when the markets are negative while other investors still pay tax on the deemed 5% income</w:t>
      </w:r>
      <w:r w:rsidR="00371BD5" w:rsidRPr="00381F61">
        <w:rPr>
          <w:rStyle w:val="FootnoteReference"/>
          <w:rFonts w:ascii="Garamond" w:hAnsi="Garamond"/>
        </w:rPr>
        <w:footnoteReference w:id="223"/>
      </w:r>
      <w:r w:rsidR="00B4070C" w:rsidRPr="00381F61">
        <w:rPr>
          <w:rFonts w:ascii="Garamond" w:hAnsi="Garamond"/>
        </w:rPr>
        <w:t>.</w:t>
      </w:r>
    </w:p>
    <w:p w14:paraId="17EE1BEC" w14:textId="3E914196" w:rsidR="00930243" w:rsidRPr="00381F61" w:rsidRDefault="00930243">
      <w:pPr>
        <w:jc w:val="both"/>
        <w:rPr>
          <w:rFonts w:ascii="Garamond" w:hAnsi="Garamond"/>
        </w:rPr>
      </w:pPr>
    </w:p>
    <w:p w14:paraId="68592963" w14:textId="630B4B0A" w:rsidR="0087186B" w:rsidRPr="00381F61" w:rsidRDefault="000274B7">
      <w:pPr>
        <w:jc w:val="both"/>
        <w:rPr>
          <w:rFonts w:ascii="Garamond" w:hAnsi="Garamond"/>
        </w:rPr>
      </w:pPr>
      <w:r w:rsidRPr="00381F61">
        <w:rPr>
          <w:rFonts w:ascii="Garamond" w:hAnsi="Garamond"/>
        </w:rPr>
        <w:t>In nearly all cases, the FDR regime will either over-tax or under-tax the investor’s actual income</w:t>
      </w:r>
      <w:r w:rsidR="00E2322D" w:rsidRPr="00381F61">
        <w:rPr>
          <w:rFonts w:ascii="Garamond" w:hAnsi="Garamond"/>
        </w:rPr>
        <w:t>, measured against the investor’s marginal tax rate</w:t>
      </w:r>
      <w:r w:rsidR="00930243" w:rsidRPr="00381F61">
        <w:rPr>
          <w:rFonts w:ascii="Garamond" w:hAnsi="Garamond"/>
        </w:rPr>
        <w:t xml:space="preserve"> and also </w:t>
      </w:r>
      <w:r w:rsidR="00DD438A" w:rsidRPr="00381F61">
        <w:rPr>
          <w:rFonts w:ascii="Garamond" w:hAnsi="Garamond"/>
        </w:rPr>
        <w:t>creates potential liquidity issues as tax is based on deemed income, not income actually received</w:t>
      </w:r>
      <w:r w:rsidRPr="00381F61">
        <w:rPr>
          <w:rFonts w:ascii="Garamond" w:hAnsi="Garamond"/>
        </w:rPr>
        <w:t>.</w:t>
      </w:r>
    </w:p>
    <w:p w14:paraId="2BB1C906" w14:textId="77777777" w:rsidR="000274B7" w:rsidRPr="00381F61" w:rsidRDefault="000274B7" w:rsidP="000274B7">
      <w:pPr>
        <w:jc w:val="both"/>
        <w:rPr>
          <w:rFonts w:ascii="Garamond" w:hAnsi="Garamond"/>
        </w:rPr>
      </w:pPr>
    </w:p>
    <w:p w14:paraId="7F69BB37" w14:textId="49211F49" w:rsidR="007854C0" w:rsidRPr="00381F61" w:rsidRDefault="000802DC" w:rsidP="000274B7">
      <w:pPr>
        <w:jc w:val="both"/>
        <w:rPr>
          <w:rFonts w:ascii="Garamond" w:hAnsi="Garamond"/>
        </w:rPr>
      </w:pPr>
      <w:r w:rsidRPr="00381F61">
        <w:rPr>
          <w:rFonts w:ascii="Garamond" w:hAnsi="Garamond"/>
        </w:rPr>
        <w:t>Contributions by an employer to a ‘workplace superannuation scheme’</w:t>
      </w:r>
      <w:r w:rsidRPr="00381F61">
        <w:rPr>
          <w:rStyle w:val="FootnoteReference"/>
          <w:rFonts w:ascii="Garamond" w:hAnsi="Garamond"/>
        </w:rPr>
        <w:footnoteReference w:id="224"/>
      </w:r>
      <w:r w:rsidRPr="00381F61">
        <w:rPr>
          <w:rFonts w:ascii="Garamond" w:hAnsi="Garamond"/>
        </w:rPr>
        <w:t xml:space="preserve"> </w:t>
      </w:r>
      <w:r w:rsidR="00D62C0D" w:rsidRPr="00381F61">
        <w:rPr>
          <w:rFonts w:ascii="Garamond" w:hAnsi="Garamond"/>
        </w:rPr>
        <w:t xml:space="preserve">or a superannuation scheme or a KiwiSaver scheme, </w:t>
      </w:r>
      <w:r w:rsidRPr="00381F61">
        <w:rPr>
          <w:rFonts w:ascii="Garamond" w:hAnsi="Garamond"/>
        </w:rPr>
        <w:t>ar</w:t>
      </w:r>
      <w:r w:rsidR="008A70AB" w:rsidRPr="00381F61">
        <w:rPr>
          <w:rFonts w:ascii="Garamond" w:hAnsi="Garamond"/>
        </w:rPr>
        <w:t xml:space="preserve">e subject to a complex </w:t>
      </w:r>
      <w:r w:rsidRPr="00381F61">
        <w:rPr>
          <w:rFonts w:ascii="Garamond" w:hAnsi="Garamond"/>
        </w:rPr>
        <w:t>‘Employer Contribution</w:t>
      </w:r>
      <w:r w:rsidR="007854C0" w:rsidRPr="00381F61">
        <w:rPr>
          <w:rFonts w:ascii="Garamond" w:hAnsi="Garamond"/>
        </w:rPr>
        <w:t xml:space="preserve"> Withholding Tax’ (ESCT)</w:t>
      </w:r>
      <w:r w:rsidRPr="00381F61">
        <w:rPr>
          <w:rFonts w:ascii="Garamond" w:hAnsi="Garamond"/>
        </w:rPr>
        <w:t xml:space="preserve"> </w:t>
      </w:r>
      <w:r w:rsidR="008A70AB" w:rsidRPr="00381F61">
        <w:rPr>
          <w:rFonts w:ascii="Garamond" w:hAnsi="Garamond"/>
        </w:rPr>
        <w:t>if the employer has chosen the multi-rate approach that mimics the employee’s marginal tax rate for the last tax year but includes the contribution</w:t>
      </w:r>
      <w:r w:rsidR="00DD438A" w:rsidRPr="00381F61">
        <w:rPr>
          <w:rFonts w:ascii="Garamond" w:hAnsi="Garamond"/>
        </w:rPr>
        <w:t>s paid</w:t>
      </w:r>
      <w:r w:rsidR="008A70AB" w:rsidRPr="00381F61">
        <w:rPr>
          <w:rFonts w:ascii="Garamond" w:hAnsi="Garamond"/>
        </w:rPr>
        <w:t xml:space="preserve"> as ‘income’.</w:t>
      </w:r>
      <w:r w:rsidR="00D62C0D" w:rsidRPr="00381F61">
        <w:rPr>
          <w:rFonts w:ascii="Garamond" w:hAnsi="Garamond"/>
        </w:rPr>
        <w:t xml:space="preserve">  Contributions by employers to other types of schemes are subject to F</w:t>
      </w:r>
      <w:r w:rsidR="00CC3BB2" w:rsidRPr="00381F61">
        <w:rPr>
          <w:rFonts w:ascii="Garamond" w:hAnsi="Garamond"/>
        </w:rPr>
        <w:t xml:space="preserve">ringe </w:t>
      </w:r>
      <w:r w:rsidR="00D62C0D" w:rsidRPr="00381F61">
        <w:rPr>
          <w:rFonts w:ascii="Garamond" w:hAnsi="Garamond"/>
        </w:rPr>
        <w:t>B</w:t>
      </w:r>
      <w:r w:rsidR="00CC3BB2" w:rsidRPr="00381F61">
        <w:rPr>
          <w:rFonts w:ascii="Garamond" w:hAnsi="Garamond"/>
        </w:rPr>
        <w:t xml:space="preserve">enefit </w:t>
      </w:r>
      <w:r w:rsidR="00D62C0D" w:rsidRPr="00381F61">
        <w:rPr>
          <w:rFonts w:ascii="Garamond" w:hAnsi="Garamond"/>
        </w:rPr>
        <w:t>T</w:t>
      </w:r>
      <w:r w:rsidR="00CC3BB2" w:rsidRPr="00381F61">
        <w:rPr>
          <w:rFonts w:ascii="Garamond" w:hAnsi="Garamond"/>
        </w:rPr>
        <w:t>ax</w:t>
      </w:r>
      <w:r w:rsidR="00D62C0D" w:rsidRPr="00381F61">
        <w:rPr>
          <w:rFonts w:ascii="Garamond" w:hAnsi="Garamond"/>
        </w:rPr>
        <w:t>.</w:t>
      </w:r>
    </w:p>
    <w:p w14:paraId="3596C6E5" w14:textId="77777777" w:rsidR="007854C0" w:rsidRPr="00381F61" w:rsidRDefault="007854C0" w:rsidP="000274B7">
      <w:pPr>
        <w:jc w:val="both"/>
        <w:rPr>
          <w:rFonts w:ascii="Garamond" w:hAnsi="Garamond"/>
        </w:rPr>
      </w:pPr>
    </w:p>
    <w:p w14:paraId="5E79A519" w14:textId="1640234C" w:rsidR="000274B7" w:rsidRPr="00381F61" w:rsidRDefault="000274B7" w:rsidP="000274B7">
      <w:pPr>
        <w:jc w:val="both"/>
        <w:rPr>
          <w:rFonts w:ascii="Garamond" w:hAnsi="Garamond"/>
        </w:rPr>
      </w:pPr>
      <w:r w:rsidRPr="00381F61">
        <w:rPr>
          <w:rFonts w:ascii="Garamond" w:hAnsi="Garamond"/>
        </w:rPr>
        <w:t>Different combinations of direct and indirect investment will produce different overall tax consequences.</w:t>
      </w:r>
    </w:p>
    <w:p w14:paraId="1A76DAF0" w14:textId="77777777" w:rsidR="000274B7" w:rsidRPr="00381F61" w:rsidRDefault="000274B7">
      <w:pPr>
        <w:jc w:val="both"/>
        <w:rPr>
          <w:rFonts w:ascii="Garamond" w:hAnsi="Garamond"/>
        </w:rPr>
      </w:pPr>
    </w:p>
    <w:p w14:paraId="5C028F92" w14:textId="61867B3C" w:rsidR="00E8400F" w:rsidRPr="00381F61" w:rsidRDefault="00E8400F">
      <w:pPr>
        <w:jc w:val="both"/>
        <w:rPr>
          <w:rFonts w:ascii="Garamond" w:hAnsi="Garamond"/>
          <w:b/>
        </w:rPr>
      </w:pPr>
      <w:r w:rsidRPr="00381F61">
        <w:rPr>
          <w:rFonts w:ascii="Garamond" w:hAnsi="Garamond"/>
          <w:b/>
        </w:rPr>
        <w:t>Overseas investments – ownership basis affects tax treatment</w:t>
      </w:r>
    </w:p>
    <w:p w14:paraId="4736D399" w14:textId="77777777" w:rsidR="00371BD5" w:rsidRPr="00381F61" w:rsidRDefault="00371BD5">
      <w:pPr>
        <w:jc w:val="both"/>
        <w:rPr>
          <w:rFonts w:ascii="Garamond" w:hAnsi="Garamond"/>
        </w:rPr>
      </w:pPr>
    </w:p>
    <w:p w14:paraId="3285961C" w14:textId="1452CAB2" w:rsidR="000274B7" w:rsidRPr="00381F61" w:rsidRDefault="000274B7">
      <w:pPr>
        <w:jc w:val="both"/>
        <w:rPr>
          <w:rFonts w:ascii="Garamond" w:hAnsi="Garamond"/>
        </w:rPr>
      </w:pPr>
      <w:r w:rsidRPr="00381F61">
        <w:rPr>
          <w:rFonts w:ascii="Garamond" w:hAnsi="Garamond"/>
        </w:rPr>
        <w:t>Our 2010 Working Paper analysed the practical implications of the 2007 changes by looking at the different ways a New Zealand saver could invest in overseas shares or bonds.  We concluded that:</w:t>
      </w:r>
    </w:p>
    <w:p w14:paraId="78A89076" w14:textId="77777777" w:rsidR="009C2F86" w:rsidRPr="00381F61" w:rsidRDefault="009C2F86">
      <w:pPr>
        <w:jc w:val="both"/>
        <w:rPr>
          <w:rFonts w:ascii="Garamond" w:hAnsi="Garamond"/>
          <w:sz w:val="8"/>
          <w:szCs w:val="8"/>
        </w:rPr>
      </w:pPr>
    </w:p>
    <w:p w14:paraId="42C1B5C8" w14:textId="1949E4E2" w:rsidR="000274B7" w:rsidRPr="00381F61" w:rsidRDefault="000274B7" w:rsidP="00043E1D">
      <w:pPr>
        <w:pStyle w:val="ListParagraph"/>
        <w:numPr>
          <w:ilvl w:val="0"/>
          <w:numId w:val="49"/>
        </w:numPr>
        <w:jc w:val="both"/>
        <w:rPr>
          <w:rFonts w:ascii="Garamond" w:hAnsi="Garamond"/>
        </w:rPr>
      </w:pPr>
      <w:r w:rsidRPr="00381F61">
        <w:rPr>
          <w:rFonts w:ascii="Garamond" w:hAnsi="Garamond"/>
        </w:rPr>
        <w:t xml:space="preserve">For an </w:t>
      </w:r>
      <w:r w:rsidRPr="00381F61">
        <w:rPr>
          <w:rFonts w:ascii="Garamond" w:hAnsi="Garamond"/>
          <w:b/>
        </w:rPr>
        <w:t xml:space="preserve">overseas share </w:t>
      </w:r>
      <w:r w:rsidRPr="00381F61">
        <w:rPr>
          <w:rFonts w:ascii="Garamond" w:hAnsi="Garamond"/>
        </w:rPr>
        <w:t>(we used BHP Billiton as an example of an Australian share), there were at least 11 different ways a New Zealand investor can invest in overseas shares and seven potentially different after-tax returns</w:t>
      </w:r>
      <w:r w:rsidR="009C2F86" w:rsidRPr="00381F61">
        <w:rPr>
          <w:rFonts w:ascii="Garamond" w:hAnsi="Garamond"/>
        </w:rPr>
        <w:t xml:space="preserve"> even though the pre-tax return was the same in each case</w:t>
      </w:r>
      <w:r w:rsidRPr="00381F61">
        <w:rPr>
          <w:rFonts w:ascii="Garamond" w:hAnsi="Garamond"/>
        </w:rPr>
        <w:t>.  However, even the four that had similar tax treatment</w:t>
      </w:r>
      <w:r w:rsidR="009C2F86" w:rsidRPr="00381F61">
        <w:rPr>
          <w:rFonts w:ascii="Garamond" w:hAnsi="Garamond"/>
        </w:rPr>
        <w:t>s</w:t>
      </w:r>
      <w:r w:rsidRPr="00381F61">
        <w:rPr>
          <w:rFonts w:ascii="Garamond" w:hAnsi="Garamond"/>
        </w:rPr>
        <w:t xml:space="preserve"> could vary between themselves (and with others) depending on the relationship between timings of dividends and market values relative to the 1 April fixing of market values under the FDR regime.</w:t>
      </w:r>
      <w:r w:rsidR="009C2F86" w:rsidRPr="00381F61">
        <w:rPr>
          <w:rFonts w:ascii="Garamond" w:hAnsi="Garamond"/>
        </w:rPr>
        <w:t xml:space="preserve">  Even currency management options can affect the optimal tax structure.</w:t>
      </w:r>
    </w:p>
    <w:p w14:paraId="78D86E09" w14:textId="77777777" w:rsidR="009C2F86" w:rsidRPr="00381F61" w:rsidRDefault="009C2F86" w:rsidP="00043E1D">
      <w:pPr>
        <w:pStyle w:val="ListParagraph"/>
        <w:jc w:val="both"/>
        <w:rPr>
          <w:rFonts w:ascii="Garamond" w:hAnsi="Garamond"/>
          <w:sz w:val="8"/>
          <w:szCs w:val="8"/>
        </w:rPr>
      </w:pPr>
    </w:p>
    <w:p w14:paraId="7BBF9994" w14:textId="7726831A" w:rsidR="000274B7" w:rsidRPr="00381F61" w:rsidRDefault="009C2F86" w:rsidP="00043E1D">
      <w:pPr>
        <w:pStyle w:val="ListParagraph"/>
        <w:numPr>
          <w:ilvl w:val="0"/>
          <w:numId w:val="49"/>
        </w:numPr>
        <w:jc w:val="both"/>
        <w:rPr>
          <w:rFonts w:ascii="Garamond" w:hAnsi="Garamond"/>
        </w:rPr>
      </w:pPr>
      <w:r w:rsidRPr="00381F61">
        <w:rPr>
          <w:rFonts w:ascii="Garamond" w:hAnsi="Garamond"/>
        </w:rPr>
        <w:t xml:space="preserve">For an </w:t>
      </w:r>
      <w:r w:rsidRPr="00381F61">
        <w:rPr>
          <w:rFonts w:ascii="Garamond" w:hAnsi="Garamond"/>
          <w:b/>
        </w:rPr>
        <w:t>overseas bond</w:t>
      </w:r>
      <w:r w:rsidRPr="00381F61">
        <w:rPr>
          <w:rFonts w:ascii="Garamond" w:hAnsi="Garamond"/>
        </w:rPr>
        <w:t>, there are 13 possible ownership choices with 13 potentially different after-tax returns for the same pre-tax return.  The ‘best’ answer for a New Zealand investor will depend on the investor’s marginal tax rate, effective marginal tax rate and issues such as costs, convenience etc.  For most, owning overseas bonds through a PIE or registe</w:t>
      </w:r>
      <w:r w:rsidR="00F6324B" w:rsidRPr="00381F61">
        <w:rPr>
          <w:rFonts w:ascii="Garamond" w:hAnsi="Garamond"/>
        </w:rPr>
        <w:t>re</w:t>
      </w:r>
      <w:r w:rsidRPr="00381F61">
        <w:rPr>
          <w:rFonts w:ascii="Garamond" w:hAnsi="Garamond"/>
        </w:rPr>
        <w:t>d superannuation</w:t>
      </w:r>
      <w:r w:rsidR="00B4070C" w:rsidRPr="00381F61">
        <w:rPr>
          <w:rFonts w:ascii="Garamond" w:hAnsi="Garamond"/>
        </w:rPr>
        <w:t>/workplace savings</w:t>
      </w:r>
      <w:r w:rsidRPr="00381F61">
        <w:rPr>
          <w:rFonts w:ascii="Garamond" w:hAnsi="Garamond"/>
        </w:rPr>
        <w:t xml:space="preserve"> scheme that invests in an Australian or overseas unit trust that includes currency hedging bought overseas will probably be optimal.</w:t>
      </w:r>
    </w:p>
    <w:p w14:paraId="57EA1C47" w14:textId="77777777" w:rsidR="009C2F86" w:rsidRPr="00381F61" w:rsidRDefault="009C2F86">
      <w:pPr>
        <w:jc w:val="both"/>
        <w:rPr>
          <w:rFonts w:ascii="Garamond" w:hAnsi="Garamond"/>
        </w:rPr>
      </w:pPr>
    </w:p>
    <w:p w14:paraId="1ED35C98" w14:textId="65B65EBB" w:rsidR="009C2F86" w:rsidRPr="00381F61" w:rsidRDefault="00E8400F">
      <w:pPr>
        <w:jc w:val="both"/>
        <w:rPr>
          <w:rFonts w:ascii="Garamond" w:hAnsi="Garamond"/>
        </w:rPr>
      </w:pPr>
      <w:r w:rsidRPr="00381F61">
        <w:rPr>
          <w:rFonts w:ascii="Garamond" w:hAnsi="Garamond"/>
          <w:b/>
        </w:rPr>
        <w:t>Tax treatment of CIV’s income and distributions</w:t>
      </w:r>
    </w:p>
    <w:p w14:paraId="487D91E5" w14:textId="77777777" w:rsidR="00371BD5" w:rsidRPr="00381F61" w:rsidRDefault="00371BD5">
      <w:pPr>
        <w:jc w:val="both"/>
        <w:rPr>
          <w:rFonts w:ascii="Garamond" w:hAnsi="Garamond"/>
        </w:rPr>
      </w:pPr>
    </w:p>
    <w:p w14:paraId="205D19B5" w14:textId="7C9A5A0D" w:rsidR="00E8400F" w:rsidRPr="00381F61" w:rsidRDefault="00E8400F">
      <w:pPr>
        <w:jc w:val="both"/>
        <w:rPr>
          <w:rFonts w:ascii="Garamond" w:hAnsi="Garamond"/>
        </w:rPr>
      </w:pPr>
      <w:r w:rsidRPr="00381F61">
        <w:rPr>
          <w:rFonts w:ascii="Garamond" w:hAnsi="Garamond"/>
        </w:rPr>
        <w:t xml:space="preserve">The way in which a CIV’s income and distributions are taxed also varies by category.  Whether returns are ‘income’ </w:t>
      </w:r>
      <w:r w:rsidR="00C14095" w:rsidRPr="00381F61">
        <w:rPr>
          <w:rFonts w:ascii="Garamond" w:hAnsi="Garamond"/>
        </w:rPr>
        <w:t xml:space="preserve">within the CIV </w:t>
      </w:r>
      <w:r w:rsidRPr="00381F61">
        <w:rPr>
          <w:rFonts w:ascii="Garamond" w:hAnsi="Garamond"/>
        </w:rPr>
        <w:t>depends on the CIV’s classification (registered superannuation scheme, unregistered superannuation scheme, unit trust, PIE, ‘group investment fund’, family trust or even a</w:t>
      </w:r>
      <w:r w:rsidR="00F6324B" w:rsidRPr="00381F61">
        <w:rPr>
          <w:rFonts w:ascii="Garamond" w:hAnsi="Garamond"/>
        </w:rPr>
        <w:t>n ordinary</w:t>
      </w:r>
      <w:r w:rsidRPr="00381F61">
        <w:rPr>
          <w:rFonts w:ascii="Garamond" w:hAnsi="Garamond"/>
        </w:rPr>
        <w:t xml:space="preserve"> bank account). </w:t>
      </w:r>
    </w:p>
    <w:p w14:paraId="7C2A518D" w14:textId="77777777" w:rsidR="00E8400F" w:rsidRPr="00381F61" w:rsidRDefault="00E8400F">
      <w:pPr>
        <w:jc w:val="both"/>
        <w:rPr>
          <w:rFonts w:ascii="Garamond" w:hAnsi="Garamond"/>
        </w:rPr>
      </w:pPr>
    </w:p>
    <w:p w14:paraId="2F7E73CB" w14:textId="4947CC4F" w:rsidR="00E8400F" w:rsidRPr="00381F61" w:rsidRDefault="00E8400F">
      <w:pPr>
        <w:jc w:val="both"/>
        <w:rPr>
          <w:rFonts w:ascii="Garamond" w:hAnsi="Garamond"/>
        </w:rPr>
      </w:pPr>
      <w:r w:rsidRPr="00381F61">
        <w:rPr>
          <w:rFonts w:ascii="Garamond" w:hAnsi="Garamond"/>
        </w:rPr>
        <w:t>Also, the PIE tax calculations for an individual member</w:t>
      </w:r>
      <w:r w:rsidR="00C14095" w:rsidRPr="00381F61">
        <w:rPr>
          <w:rFonts w:ascii="Garamond" w:hAnsi="Garamond"/>
        </w:rPr>
        <w:t xml:space="preserve"> are complex as the PIR depends on the total of the PIE’s income attributable to the member and the member’s taxable income in one of the two preceding complete tax years</w:t>
      </w:r>
      <w:r w:rsidR="00DD438A" w:rsidRPr="00381F61">
        <w:rPr>
          <w:rFonts w:ascii="Garamond" w:hAnsi="Garamond"/>
        </w:rPr>
        <w:t xml:space="preserve"> (the lower year)</w:t>
      </w:r>
      <w:r w:rsidR="00C14095" w:rsidRPr="00381F61">
        <w:rPr>
          <w:rFonts w:ascii="Garamond" w:hAnsi="Garamond"/>
        </w:rPr>
        <w:t>.  The member must advise the PIE’s manager what the correct PIR for each year should be.</w:t>
      </w:r>
      <w:r w:rsidR="009A19E4" w:rsidRPr="00381F61">
        <w:rPr>
          <w:rFonts w:ascii="Garamond" w:hAnsi="Garamond"/>
        </w:rPr>
        <w:t xml:space="preserve">  The effect of the calculations means that when an investor enters the workforce th</w:t>
      </w:r>
      <w:r w:rsidR="00B34D74" w:rsidRPr="00381F61">
        <w:rPr>
          <w:rFonts w:ascii="Garamond" w:hAnsi="Garamond"/>
        </w:rPr>
        <w:t>ey</w:t>
      </w:r>
      <w:r w:rsidR="009A19E4" w:rsidRPr="00381F61">
        <w:rPr>
          <w:rFonts w:ascii="Garamond" w:hAnsi="Garamond"/>
        </w:rPr>
        <w:t xml:space="preserve"> can often keep their lower 10.5% PIR rate for two years irrespective of how much income they earn.  Likewise, when a</w:t>
      </w:r>
      <w:r w:rsidR="00754B9B" w:rsidRPr="00381F61">
        <w:rPr>
          <w:rFonts w:ascii="Garamond" w:hAnsi="Garamond"/>
        </w:rPr>
        <w:t>n employee earning above $48,000 a year retires and their only income is NZS, they retain their 28% PIR rate for at least a year even though their correct tax rate is likely to be 17.5%.  These distortions change people</w:t>
      </w:r>
      <w:r w:rsidR="00B34D74" w:rsidRPr="00381F61">
        <w:rPr>
          <w:rFonts w:ascii="Garamond" w:hAnsi="Garamond"/>
        </w:rPr>
        <w:t>’</w:t>
      </w:r>
      <w:r w:rsidR="00754B9B" w:rsidRPr="00381F61">
        <w:rPr>
          <w:rFonts w:ascii="Garamond" w:hAnsi="Garamond"/>
        </w:rPr>
        <w:t>s behaviour and how they invest, solely for tax reasons.</w:t>
      </w:r>
    </w:p>
    <w:p w14:paraId="44DF5C37" w14:textId="77777777" w:rsidR="00C14095" w:rsidRPr="00381F61" w:rsidRDefault="00C14095">
      <w:pPr>
        <w:jc w:val="both"/>
        <w:rPr>
          <w:rFonts w:ascii="Garamond" w:hAnsi="Garamond"/>
        </w:rPr>
      </w:pPr>
    </w:p>
    <w:p w14:paraId="47E18E02" w14:textId="11ED9702" w:rsidR="00C14095" w:rsidRPr="00381F61" w:rsidRDefault="00C14095">
      <w:pPr>
        <w:jc w:val="both"/>
        <w:rPr>
          <w:rFonts w:ascii="Garamond" w:hAnsi="Garamond"/>
        </w:rPr>
      </w:pPr>
      <w:r w:rsidRPr="00381F61">
        <w:rPr>
          <w:rFonts w:ascii="Garamond" w:hAnsi="Garamond"/>
          <w:b/>
        </w:rPr>
        <w:t>Interaction with state benefits</w:t>
      </w:r>
    </w:p>
    <w:p w14:paraId="0273E498" w14:textId="33B76D00" w:rsidR="00203CAA" w:rsidRPr="00381F61" w:rsidRDefault="00C14095">
      <w:pPr>
        <w:jc w:val="both"/>
        <w:rPr>
          <w:rFonts w:ascii="Garamond" w:hAnsi="Garamond"/>
        </w:rPr>
      </w:pPr>
      <w:r w:rsidRPr="00381F61">
        <w:rPr>
          <w:rFonts w:ascii="Garamond" w:hAnsi="Garamond"/>
        </w:rPr>
        <w:t>The definition of ‘income’ matters not just for tax but also for an individual’s entitlements to a number of state-provided benefits or obligations that depend in some way on ‘income’.  These include the Family Tax Credit</w:t>
      </w:r>
      <w:r w:rsidR="000802DC" w:rsidRPr="00381F61">
        <w:rPr>
          <w:rFonts w:ascii="Garamond" w:hAnsi="Garamond"/>
        </w:rPr>
        <w:t xml:space="preserve"> (FTC)</w:t>
      </w:r>
      <w:r w:rsidRPr="00381F61">
        <w:rPr>
          <w:rFonts w:ascii="Garamond" w:hAnsi="Garamond"/>
        </w:rPr>
        <w:t>, In-work Tax Credit</w:t>
      </w:r>
      <w:r w:rsidR="000802DC" w:rsidRPr="00381F61">
        <w:rPr>
          <w:rFonts w:ascii="Garamond" w:hAnsi="Garamond"/>
        </w:rPr>
        <w:t xml:space="preserve"> (IWTC)</w:t>
      </w:r>
      <w:r w:rsidRPr="00381F61">
        <w:rPr>
          <w:rFonts w:ascii="Garamond" w:hAnsi="Garamond"/>
        </w:rPr>
        <w:t xml:space="preserve">, Minimum Family Tax Credit, Parental Tax credit (together referred to as ‘Working for Families’), the </w:t>
      </w:r>
      <w:r w:rsidR="00944F61" w:rsidRPr="00381F61">
        <w:rPr>
          <w:rFonts w:ascii="Garamond" w:hAnsi="Garamond"/>
        </w:rPr>
        <w:t>Independent Earner Tax Credit</w:t>
      </w:r>
      <w:r w:rsidR="000802DC" w:rsidRPr="00381F61">
        <w:rPr>
          <w:rFonts w:ascii="Garamond" w:hAnsi="Garamond"/>
        </w:rPr>
        <w:t xml:space="preserve"> (IETC)</w:t>
      </w:r>
      <w:r w:rsidR="00944F61" w:rsidRPr="00381F61">
        <w:rPr>
          <w:rFonts w:ascii="Garamond" w:hAnsi="Garamond"/>
        </w:rPr>
        <w:t>, Student L</w:t>
      </w:r>
      <w:r w:rsidRPr="00381F61">
        <w:rPr>
          <w:rFonts w:ascii="Garamond" w:hAnsi="Garamond"/>
        </w:rPr>
        <w:t xml:space="preserve">oan payments and allowances, Child Support payments and income-tested welfare benefits such as </w:t>
      </w:r>
      <w:r w:rsidR="00963E69" w:rsidRPr="00381F61">
        <w:rPr>
          <w:rFonts w:ascii="Garamond" w:hAnsi="Garamond"/>
        </w:rPr>
        <w:t>Sole Parent Support,</w:t>
      </w:r>
      <w:r w:rsidR="0079118A" w:rsidRPr="00381F61">
        <w:rPr>
          <w:rFonts w:ascii="Garamond" w:hAnsi="Garamond"/>
        </w:rPr>
        <w:t xml:space="preserve"> Job-seeker Support </w:t>
      </w:r>
      <w:r w:rsidR="00963E69" w:rsidRPr="00381F61">
        <w:rPr>
          <w:rFonts w:ascii="Garamond" w:hAnsi="Garamond"/>
        </w:rPr>
        <w:t xml:space="preserve">and the </w:t>
      </w:r>
      <w:r w:rsidR="0079118A" w:rsidRPr="00381F61">
        <w:rPr>
          <w:rFonts w:ascii="Garamond" w:hAnsi="Garamond"/>
        </w:rPr>
        <w:t>Accommodation Supplement</w:t>
      </w:r>
      <w:r w:rsidR="00203CAA" w:rsidRPr="00381F61">
        <w:rPr>
          <w:rFonts w:ascii="Garamond" w:hAnsi="Garamond"/>
        </w:rPr>
        <w:t>.</w:t>
      </w:r>
    </w:p>
    <w:p w14:paraId="53CC3096" w14:textId="77777777" w:rsidR="00203CAA" w:rsidRPr="00381F61" w:rsidRDefault="00203CAA">
      <w:pPr>
        <w:jc w:val="both"/>
        <w:rPr>
          <w:rFonts w:ascii="Garamond" w:hAnsi="Garamond"/>
        </w:rPr>
      </w:pPr>
    </w:p>
    <w:p w14:paraId="697D5526" w14:textId="62B46B79" w:rsidR="00203CAA" w:rsidRPr="00381F61" w:rsidRDefault="00963E69" w:rsidP="00203CAA">
      <w:pPr>
        <w:jc w:val="both"/>
        <w:rPr>
          <w:rFonts w:ascii="Garamond" w:hAnsi="Garamond"/>
        </w:rPr>
      </w:pPr>
      <w:r w:rsidRPr="00381F61">
        <w:rPr>
          <w:rFonts w:ascii="Garamond" w:hAnsi="Garamond"/>
        </w:rPr>
        <w:t>In all these cases, the ‘income’</w:t>
      </w:r>
      <w:r w:rsidR="007F5AD8" w:rsidRPr="00381F61">
        <w:rPr>
          <w:rFonts w:ascii="Garamond" w:hAnsi="Garamond"/>
        </w:rPr>
        <w:t xml:space="preserve"> that counts is </w:t>
      </w:r>
      <w:r w:rsidR="007F5AD8" w:rsidRPr="00381F61">
        <w:rPr>
          <w:rFonts w:ascii="Garamond" w:hAnsi="Garamond"/>
          <w:u w:val="single"/>
        </w:rPr>
        <w:t>taxable</w:t>
      </w:r>
      <w:r w:rsidR="007F5AD8" w:rsidRPr="00381F61">
        <w:rPr>
          <w:rFonts w:ascii="Garamond" w:hAnsi="Garamond"/>
        </w:rPr>
        <w:t xml:space="preserve"> income</w:t>
      </w:r>
      <w:r w:rsidR="007F5AD8" w:rsidRPr="00381F61">
        <w:rPr>
          <w:rStyle w:val="FootnoteReference"/>
          <w:rFonts w:ascii="Garamond" w:hAnsi="Garamond"/>
        </w:rPr>
        <w:footnoteReference w:id="225"/>
      </w:r>
      <w:r w:rsidR="007F5AD8" w:rsidRPr="00381F61">
        <w:rPr>
          <w:rFonts w:ascii="Garamond" w:hAnsi="Garamond"/>
        </w:rPr>
        <w:t>.</w:t>
      </w:r>
      <w:r w:rsidR="00203CAA" w:rsidRPr="00381F61">
        <w:rPr>
          <w:rFonts w:ascii="Garamond" w:hAnsi="Garamond"/>
        </w:rPr>
        <w:t xml:space="preserve">  Non-taxable benefits or benefits that are subject to either Employer Superannuation Contribution Tax (ESCT) or Fringe Benefit Tax (such as the private use of a car, low interest loan, etc.) are not counted.  Neither are the tax credits (FTC, IWTC, IETC etc.). </w:t>
      </w:r>
    </w:p>
    <w:p w14:paraId="782B41EB" w14:textId="77777777" w:rsidR="00203CAA" w:rsidRPr="00381F61" w:rsidRDefault="00203CAA" w:rsidP="00203CAA">
      <w:pPr>
        <w:jc w:val="both"/>
        <w:rPr>
          <w:rFonts w:ascii="Garamond" w:hAnsi="Garamond"/>
        </w:rPr>
      </w:pPr>
    </w:p>
    <w:p w14:paraId="325FB602" w14:textId="77777777" w:rsidR="00D62C0D" w:rsidRPr="00381F61" w:rsidRDefault="00203CAA">
      <w:pPr>
        <w:jc w:val="both"/>
        <w:rPr>
          <w:rFonts w:ascii="Garamond" w:hAnsi="Garamond"/>
        </w:rPr>
      </w:pPr>
      <w:r w:rsidRPr="00381F61">
        <w:rPr>
          <w:rFonts w:ascii="Garamond" w:hAnsi="Garamond"/>
        </w:rPr>
        <w:t>‘Income’ within a scheme (and not effectively distributed) is unlikely to be included and that seems illogical.</w:t>
      </w:r>
    </w:p>
    <w:p w14:paraId="6AE7F5B1" w14:textId="77777777" w:rsidR="00D62C0D" w:rsidRPr="00381F61" w:rsidRDefault="00D62C0D">
      <w:pPr>
        <w:jc w:val="both"/>
        <w:rPr>
          <w:rFonts w:ascii="Garamond" w:hAnsi="Garamond"/>
        </w:rPr>
      </w:pPr>
    </w:p>
    <w:p w14:paraId="4377DC88" w14:textId="7165D6A2" w:rsidR="007F5AD8" w:rsidRPr="00381F61" w:rsidRDefault="006321CC">
      <w:pPr>
        <w:jc w:val="both"/>
        <w:rPr>
          <w:rFonts w:ascii="Garamond" w:hAnsi="Garamond"/>
          <w:b/>
        </w:rPr>
      </w:pPr>
      <w:r w:rsidRPr="00381F61">
        <w:rPr>
          <w:rFonts w:ascii="Garamond" w:hAnsi="Garamond"/>
          <w:b/>
        </w:rPr>
        <w:t>Summary of the 2007 changes</w:t>
      </w:r>
    </w:p>
    <w:p w14:paraId="6C031801" w14:textId="44B40C27" w:rsidR="000C3FF3" w:rsidRPr="00381F61" w:rsidRDefault="000C3FF3" w:rsidP="000C3FF3">
      <w:pPr>
        <w:jc w:val="both"/>
        <w:rPr>
          <w:rFonts w:ascii="Garamond" w:hAnsi="Garamond"/>
        </w:rPr>
      </w:pPr>
      <w:r w:rsidRPr="00381F61">
        <w:rPr>
          <w:rFonts w:ascii="Garamond" w:hAnsi="Garamond"/>
        </w:rPr>
        <w:t xml:space="preserve">There is a variety of ways in which assets and income can be ‘sheltered’ from direct connection with the economic owners of that income.  Income derived through the various tax-based vehicles is not </w:t>
      </w:r>
      <w:r w:rsidR="00DD438A" w:rsidRPr="00381F61">
        <w:rPr>
          <w:rFonts w:ascii="Garamond" w:hAnsi="Garamond"/>
        </w:rPr>
        <w:t xml:space="preserve">always </w:t>
      </w:r>
      <w:r w:rsidRPr="00381F61">
        <w:rPr>
          <w:rFonts w:ascii="Garamond" w:hAnsi="Garamond"/>
        </w:rPr>
        <w:t>aggregated for either income tax or for the application of income-tested payments.</w:t>
      </w:r>
    </w:p>
    <w:p w14:paraId="4DBCC517" w14:textId="77777777" w:rsidR="000C3FF3" w:rsidRPr="00381F61" w:rsidRDefault="000C3FF3" w:rsidP="000C3FF3">
      <w:pPr>
        <w:jc w:val="both"/>
        <w:rPr>
          <w:rFonts w:ascii="Garamond" w:hAnsi="Garamond"/>
          <w:b/>
          <w:sz w:val="20"/>
          <w:szCs w:val="20"/>
        </w:rPr>
      </w:pPr>
    </w:p>
    <w:p w14:paraId="0B58ED3F" w14:textId="407D3394" w:rsidR="006321CC" w:rsidRPr="00381F61" w:rsidRDefault="006321CC" w:rsidP="006321CC">
      <w:pPr>
        <w:jc w:val="both"/>
        <w:rPr>
          <w:rFonts w:ascii="Garamond" w:hAnsi="Garamond"/>
        </w:rPr>
      </w:pPr>
      <w:r w:rsidRPr="00381F61">
        <w:rPr>
          <w:rFonts w:ascii="Garamond" w:hAnsi="Garamond"/>
        </w:rPr>
        <w:t xml:space="preserve">The discontinuities between different parts of the CIV regime, the illogical tax treatment of contributions and investment income and the artificial distinctions between directly and indirectly earned income mean, inevitably, that the 2007 rules will be subject to change as advisers test the boundaries.  As is usually the case, wealthier taxpayers will benefit the most as they rearrange their affairs to </w:t>
      </w:r>
      <w:r w:rsidR="00371BD5" w:rsidRPr="00381F61">
        <w:rPr>
          <w:rFonts w:ascii="Garamond" w:hAnsi="Garamond"/>
        </w:rPr>
        <w:t xml:space="preserve">their </w:t>
      </w:r>
      <w:r w:rsidRPr="00381F61">
        <w:rPr>
          <w:rFonts w:ascii="Garamond" w:hAnsi="Garamond"/>
        </w:rPr>
        <w:t>best tax</w:t>
      </w:r>
      <w:r w:rsidR="000C3FF3" w:rsidRPr="00381F61">
        <w:rPr>
          <w:rFonts w:ascii="Garamond" w:hAnsi="Garamond"/>
        </w:rPr>
        <w:t>-</w:t>
      </w:r>
      <w:r w:rsidRPr="00381F61">
        <w:rPr>
          <w:rFonts w:ascii="Garamond" w:hAnsi="Garamond"/>
        </w:rPr>
        <w:t>advantage.  They should capture the KiwiSaver-related concessions and invest the rest either in a PIE or in a superannuation scheme that invests in a PIE.  They should not invest directly.</w:t>
      </w:r>
    </w:p>
    <w:p w14:paraId="6D923D36" w14:textId="77777777" w:rsidR="006321CC" w:rsidRPr="00381F61" w:rsidRDefault="006321CC" w:rsidP="006321CC">
      <w:pPr>
        <w:jc w:val="both"/>
        <w:rPr>
          <w:rFonts w:ascii="Garamond" w:hAnsi="Garamond"/>
        </w:rPr>
      </w:pPr>
    </w:p>
    <w:p w14:paraId="502675A9" w14:textId="1E432AB8" w:rsidR="006321CC" w:rsidRPr="00381F61" w:rsidRDefault="006321CC" w:rsidP="006321CC">
      <w:pPr>
        <w:jc w:val="both"/>
        <w:rPr>
          <w:rFonts w:ascii="Garamond" w:hAnsi="Garamond"/>
          <w:b/>
        </w:rPr>
      </w:pPr>
      <w:r w:rsidRPr="00381F61">
        <w:rPr>
          <w:rFonts w:ascii="Garamond" w:hAnsi="Garamond"/>
        </w:rPr>
        <w:t>Along the way, the tax system seems to have lost the natural meaning of ‘income’.  In a progressive tax regime, how much total ‘income’ an individual receives matters to the system’s integrity.  ‘Investment income’ needs, potentially, to have no clear connection with the member’s economic capacity to pay tax.  If this basic principle had been set aside for practical considerations, that might have been justifiable.  Regrettably, that was not the case.</w:t>
      </w:r>
    </w:p>
    <w:p w14:paraId="54C705A8" w14:textId="77777777" w:rsidR="007F5AD8" w:rsidRPr="00381F61" w:rsidRDefault="007F5AD8">
      <w:pPr>
        <w:jc w:val="both"/>
        <w:rPr>
          <w:rFonts w:ascii="Garamond" w:hAnsi="Garamond"/>
        </w:rPr>
      </w:pPr>
    </w:p>
    <w:p w14:paraId="0743542E" w14:textId="77777777" w:rsidR="006321CC" w:rsidRPr="00381F61" w:rsidRDefault="006321CC" w:rsidP="006321CC">
      <w:pPr>
        <w:jc w:val="both"/>
        <w:rPr>
          <w:rFonts w:ascii="Garamond" w:hAnsi="Garamond"/>
        </w:rPr>
      </w:pPr>
      <w:r w:rsidRPr="00381F61">
        <w:rPr>
          <w:rFonts w:ascii="Garamond" w:hAnsi="Garamond"/>
        </w:rPr>
        <w:t>As the 2009 Tax Working Group put it:</w:t>
      </w:r>
    </w:p>
    <w:p w14:paraId="3D011AEA" w14:textId="77777777" w:rsidR="006321CC" w:rsidRPr="00381F61" w:rsidRDefault="006321CC" w:rsidP="006321CC">
      <w:pPr>
        <w:jc w:val="both"/>
        <w:rPr>
          <w:rFonts w:ascii="Garamond" w:hAnsi="Garamond"/>
          <w:sz w:val="8"/>
          <w:szCs w:val="8"/>
        </w:rPr>
      </w:pPr>
    </w:p>
    <w:p w14:paraId="381E1605" w14:textId="1636E696" w:rsidR="006321CC" w:rsidRPr="00381F61" w:rsidRDefault="006321CC" w:rsidP="006321CC">
      <w:pPr>
        <w:ind w:left="567"/>
        <w:jc w:val="both"/>
        <w:rPr>
          <w:rFonts w:ascii="Garamond" w:hAnsi="Garamond" w:cs="Arial"/>
          <w:sz w:val="22"/>
          <w:szCs w:val="22"/>
        </w:rPr>
      </w:pPr>
      <w:r w:rsidRPr="00381F61">
        <w:rPr>
          <w:rFonts w:ascii="Garamond" w:hAnsi="Garamond"/>
          <w:sz w:val="22"/>
          <w:szCs w:val="22"/>
        </w:rPr>
        <w:t xml:space="preserve">“The tax system lacks </w:t>
      </w:r>
      <w:r w:rsidRPr="00381F61">
        <w:rPr>
          <w:rFonts w:ascii="Garamond" w:hAnsi="Garamond" w:cs="Arial"/>
          <w:sz w:val="22"/>
          <w:szCs w:val="22"/>
        </w:rPr>
        <w:t>coherence, integrity and fairness: Differences in tax rates and the treatment of entities provide opportunities to divert income and reduce tax liability.  This disparity means investment decisions can be about minimising tax rather than the best business investment.  For individuals, the tax burden is disproportionately borne by PAYE taxpayers since many with wealth can restructure their affairs through trusts and companies to shelter income from taxes or to enable people to receive social support.”</w:t>
      </w:r>
      <w:r w:rsidRPr="00381F61">
        <w:rPr>
          <w:rStyle w:val="FootnoteReference"/>
          <w:rFonts w:ascii="Garamond" w:hAnsi="Garamond" w:cs="Arial"/>
          <w:sz w:val="22"/>
          <w:szCs w:val="22"/>
        </w:rPr>
        <w:footnoteReference w:id="226"/>
      </w:r>
    </w:p>
    <w:p w14:paraId="417BF72E" w14:textId="77777777" w:rsidR="006321CC" w:rsidRPr="00381F61" w:rsidRDefault="006321CC" w:rsidP="006321CC">
      <w:pPr>
        <w:jc w:val="both"/>
        <w:rPr>
          <w:rFonts w:ascii="Garamond" w:hAnsi="Garamond"/>
        </w:rPr>
      </w:pPr>
    </w:p>
    <w:p w14:paraId="23F5C8BF" w14:textId="1ED44F8E" w:rsidR="006321CC" w:rsidRPr="00381F61" w:rsidRDefault="006321CC" w:rsidP="006321CC">
      <w:pPr>
        <w:jc w:val="both"/>
        <w:rPr>
          <w:rFonts w:ascii="Garamond" w:hAnsi="Garamond"/>
          <w:b/>
        </w:rPr>
      </w:pPr>
      <w:r w:rsidRPr="00381F61">
        <w:rPr>
          <w:rFonts w:ascii="Garamond" w:hAnsi="Garamond"/>
          <w:b/>
        </w:rPr>
        <w:t>A ‘first principles’ approach</w:t>
      </w:r>
    </w:p>
    <w:p w14:paraId="7B86C757" w14:textId="77777777" w:rsidR="00371BD5" w:rsidRPr="00381F61" w:rsidRDefault="00371BD5" w:rsidP="006321CC">
      <w:pPr>
        <w:jc w:val="both"/>
        <w:rPr>
          <w:rFonts w:ascii="Garamond" w:hAnsi="Garamond"/>
        </w:rPr>
      </w:pPr>
    </w:p>
    <w:p w14:paraId="55EA7697" w14:textId="3E6D208E" w:rsidR="006321CC" w:rsidRPr="00381F61" w:rsidRDefault="006D3A5D" w:rsidP="006321CC">
      <w:pPr>
        <w:jc w:val="both"/>
        <w:rPr>
          <w:rFonts w:ascii="Garamond" w:hAnsi="Garamond"/>
        </w:rPr>
      </w:pPr>
      <w:r w:rsidRPr="00381F61">
        <w:rPr>
          <w:rFonts w:ascii="Garamond" w:hAnsi="Garamond"/>
        </w:rPr>
        <w:t>O</w:t>
      </w:r>
      <w:r w:rsidR="006321CC" w:rsidRPr="00381F61">
        <w:rPr>
          <w:rFonts w:ascii="Garamond" w:hAnsi="Garamond"/>
        </w:rPr>
        <w:t>ur 2010 Wor</w:t>
      </w:r>
      <w:r w:rsidRPr="00381F61">
        <w:rPr>
          <w:rFonts w:ascii="Garamond" w:hAnsi="Garamond"/>
        </w:rPr>
        <w:t xml:space="preserve">king Paper </w:t>
      </w:r>
      <w:r w:rsidR="006321CC" w:rsidRPr="00381F61">
        <w:rPr>
          <w:rFonts w:ascii="Garamond" w:hAnsi="Garamond"/>
        </w:rPr>
        <w:t>proposed the recognition of a number of key points:</w:t>
      </w:r>
    </w:p>
    <w:p w14:paraId="0233C7A5" w14:textId="77777777" w:rsidR="00414778" w:rsidRPr="00381F61" w:rsidRDefault="00414778" w:rsidP="006321CC">
      <w:pPr>
        <w:jc w:val="both"/>
        <w:rPr>
          <w:rFonts w:ascii="Garamond" w:hAnsi="Garamond"/>
          <w:sz w:val="8"/>
          <w:szCs w:val="8"/>
        </w:rPr>
      </w:pPr>
    </w:p>
    <w:p w14:paraId="7394A938" w14:textId="77777777" w:rsidR="006321CC" w:rsidRPr="00381F61" w:rsidRDefault="006321CC" w:rsidP="006321CC">
      <w:pPr>
        <w:numPr>
          <w:ilvl w:val="0"/>
          <w:numId w:val="52"/>
        </w:numPr>
        <w:autoSpaceDE w:val="0"/>
        <w:autoSpaceDN w:val="0"/>
        <w:adjustRightInd w:val="0"/>
        <w:jc w:val="both"/>
        <w:rPr>
          <w:rFonts w:ascii="Garamond" w:hAnsi="Garamond"/>
        </w:rPr>
      </w:pPr>
      <w:r w:rsidRPr="00381F61">
        <w:rPr>
          <w:rFonts w:ascii="Garamond" w:hAnsi="Garamond"/>
          <w:b/>
          <w:bCs/>
        </w:rPr>
        <w:t>Principle 1:</w:t>
      </w:r>
      <w:r w:rsidRPr="00381F61">
        <w:rPr>
          <w:rFonts w:ascii="Garamond" w:hAnsi="Garamond"/>
          <w:b/>
        </w:rPr>
        <w:t xml:space="preserve">  Tax should not be the driver.</w:t>
      </w:r>
    </w:p>
    <w:p w14:paraId="292CBAB6" w14:textId="77777777" w:rsidR="006321CC" w:rsidRPr="00381F61" w:rsidRDefault="006321CC" w:rsidP="006321CC">
      <w:pPr>
        <w:autoSpaceDE w:val="0"/>
        <w:autoSpaceDN w:val="0"/>
        <w:adjustRightInd w:val="0"/>
        <w:ind w:left="720"/>
        <w:jc w:val="both"/>
        <w:rPr>
          <w:rFonts w:ascii="Garamond" w:hAnsi="Garamond"/>
        </w:rPr>
      </w:pPr>
      <w:r w:rsidRPr="00381F61">
        <w:rPr>
          <w:rFonts w:ascii="Garamond" w:hAnsi="Garamond"/>
        </w:rPr>
        <w:t>For an investor in a CIV, it should not matter, from a tax perspective, what that CIV is called or under which legislation that CIV is regulated.  In principle, individual investors should be treated similarly for tax purposes in superannuation schemes, PIEs, unit trusts, group investment funds, life insurance funds or companies.</w:t>
      </w:r>
    </w:p>
    <w:p w14:paraId="3403AB37" w14:textId="77777777" w:rsidR="006321CC" w:rsidRPr="00381F61" w:rsidRDefault="006321CC" w:rsidP="006321CC">
      <w:pPr>
        <w:autoSpaceDE w:val="0"/>
        <w:autoSpaceDN w:val="0"/>
        <w:adjustRightInd w:val="0"/>
        <w:ind w:left="709"/>
        <w:jc w:val="both"/>
        <w:rPr>
          <w:rFonts w:ascii="Garamond" w:hAnsi="Garamond"/>
          <w:sz w:val="8"/>
          <w:szCs w:val="8"/>
        </w:rPr>
      </w:pPr>
    </w:p>
    <w:p w14:paraId="0BCC2152" w14:textId="77777777" w:rsidR="006321CC" w:rsidRPr="00381F61" w:rsidRDefault="006321CC" w:rsidP="006321CC">
      <w:pPr>
        <w:numPr>
          <w:ilvl w:val="0"/>
          <w:numId w:val="52"/>
        </w:numPr>
        <w:autoSpaceDE w:val="0"/>
        <w:autoSpaceDN w:val="0"/>
        <w:adjustRightInd w:val="0"/>
        <w:jc w:val="both"/>
        <w:rPr>
          <w:rFonts w:ascii="Garamond" w:hAnsi="Garamond"/>
        </w:rPr>
      </w:pPr>
      <w:r w:rsidRPr="00381F61">
        <w:rPr>
          <w:rFonts w:ascii="Garamond" w:hAnsi="Garamond"/>
          <w:b/>
          <w:bCs/>
        </w:rPr>
        <w:t>Principle 2:</w:t>
      </w:r>
      <w:r w:rsidRPr="00381F61">
        <w:rPr>
          <w:rFonts w:ascii="Garamond" w:hAnsi="Garamond"/>
          <w:b/>
        </w:rPr>
        <w:t xml:space="preserve"> Place of origin should not matter.</w:t>
      </w:r>
    </w:p>
    <w:p w14:paraId="3126ED14" w14:textId="77777777" w:rsidR="006321CC" w:rsidRPr="00381F61" w:rsidRDefault="006321CC" w:rsidP="006321CC">
      <w:pPr>
        <w:autoSpaceDE w:val="0"/>
        <w:autoSpaceDN w:val="0"/>
        <w:adjustRightInd w:val="0"/>
        <w:ind w:left="720"/>
        <w:jc w:val="both"/>
        <w:rPr>
          <w:rFonts w:ascii="Garamond" w:hAnsi="Garamond"/>
        </w:rPr>
      </w:pPr>
      <w:r w:rsidRPr="00381F61">
        <w:rPr>
          <w:rFonts w:ascii="Garamond" w:hAnsi="Garamond"/>
        </w:rPr>
        <w:t>For New Zealand tax purposes, it should not matter to an individual investor in which country the CIV is resident.  Within reason, international CIVs should be treated similarly for New Zealand tax purposes to New Zealand-based CIVs.  How the overseas CIV is treated in its local jurisdiction need not affect its New Zealand status when an investor calculates income tax</w:t>
      </w:r>
      <w:r w:rsidRPr="00381F61">
        <w:rPr>
          <w:rStyle w:val="FootnoteReference"/>
          <w:rFonts w:ascii="Garamond" w:hAnsi="Garamond"/>
        </w:rPr>
        <w:footnoteReference w:id="227"/>
      </w:r>
      <w:r w:rsidRPr="00381F61">
        <w:rPr>
          <w:rFonts w:ascii="Garamond" w:hAnsi="Garamond"/>
        </w:rPr>
        <w:t>.</w:t>
      </w:r>
    </w:p>
    <w:p w14:paraId="3D61EB23" w14:textId="77777777" w:rsidR="006321CC" w:rsidRPr="00381F61" w:rsidRDefault="006321CC" w:rsidP="006321CC">
      <w:pPr>
        <w:autoSpaceDE w:val="0"/>
        <w:autoSpaceDN w:val="0"/>
        <w:adjustRightInd w:val="0"/>
        <w:ind w:left="709"/>
        <w:jc w:val="both"/>
        <w:rPr>
          <w:rFonts w:ascii="Garamond" w:hAnsi="Garamond"/>
          <w:sz w:val="8"/>
          <w:szCs w:val="8"/>
        </w:rPr>
      </w:pPr>
    </w:p>
    <w:p w14:paraId="70867381" w14:textId="77777777" w:rsidR="006321CC" w:rsidRPr="00381F61" w:rsidRDefault="006321CC" w:rsidP="006321CC">
      <w:pPr>
        <w:numPr>
          <w:ilvl w:val="0"/>
          <w:numId w:val="52"/>
        </w:numPr>
        <w:autoSpaceDE w:val="0"/>
        <w:autoSpaceDN w:val="0"/>
        <w:adjustRightInd w:val="0"/>
        <w:jc w:val="both"/>
        <w:rPr>
          <w:rFonts w:ascii="Garamond" w:hAnsi="Garamond"/>
        </w:rPr>
      </w:pPr>
      <w:r w:rsidRPr="00381F61">
        <w:rPr>
          <w:rFonts w:ascii="Garamond" w:hAnsi="Garamond"/>
          <w:b/>
          <w:bCs/>
        </w:rPr>
        <w:t>Principle 3:</w:t>
      </w:r>
      <w:r w:rsidRPr="00381F61">
        <w:rPr>
          <w:rFonts w:ascii="Garamond" w:hAnsi="Garamond"/>
        </w:rPr>
        <w:t xml:space="preserve"> </w:t>
      </w:r>
      <w:r w:rsidRPr="00381F61">
        <w:rPr>
          <w:rFonts w:ascii="Garamond" w:hAnsi="Garamond"/>
          <w:b/>
        </w:rPr>
        <w:t>The individual’s circumstances are important.</w:t>
      </w:r>
    </w:p>
    <w:p w14:paraId="710A1B3D" w14:textId="1E308039" w:rsidR="006321CC" w:rsidRPr="00381F61" w:rsidRDefault="006321CC" w:rsidP="006321CC">
      <w:pPr>
        <w:autoSpaceDE w:val="0"/>
        <w:autoSpaceDN w:val="0"/>
        <w:adjustRightInd w:val="0"/>
        <w:ind w:left="720"/>
        <w:jc w:val="both"/>
        <w:rPr>
          <w:rFonts w:ascii="Garamond" w:hAnsi="Garamond"/>
        </w:rPr>
      </w:pPr>
      <w:r w:rsidRPr="00381F61">
        <w:rPr>
          <w:rFonts w:ascii="Garamond" w:hAnsi="Garamond"/>
        </w:rPr>
        <w:t>Again</w:t>
      </w:r>
      <w:r w:rsidR="00371BD5" w:rsidRPr="00381F61">
        <w:rPr>
          <w:rFonts w:ascii="Garamond" w:hAnsi="Garamond"/>
        </w:rPr>
        <w:t>,</w:t>
      </w:r>
      <w:r w:rsidRPr="00381F61">
        <w:rPr>
          <w:rFonts w:ascii="Garamond" w:hAnsi="Garamond"/>
        </w:rPr>
        <w:t xml:space="preserve"> within reason, the tax the investor pays on the CIV’s return should be close to the normal tax the investor would have paid had the investment been held directly.  As the original 2005 </w:t>
      </w:r>
      <w:r w:rsidRPr="00381F61">
        <w:rPr>
          <w:rFonts w:ascii="Garamond" w:hAnsi="Garamond"/>
          <w:i/>
        </w:rPr>
        <w:t xml:space="preserve">Discussion Document </w:t>
      </w:r>
      <w:r w:rsidRPr="00381F61">
        <w:rPr>
          <w:rFonts w:ascii="Garamond" w:hAnsi="Garamond"/>
        </w:rPr>
        <w:t>stated, the investor should choose a CIV for reasons other than tax – for example, for convenience, cost, diversification, liquidity, management skills etc.</w:t>
      </w:r>
    </w:p>
    <w:p w14:paraId="2BC3EB46" w14:textId="77777777" w:rsidR="006321CC" w:rsidRPr="00381F61" w:rsidRDefault="006321CC">
      <w:pPr>
        <w:autoSpaceDE w:val="0"/>
        <w:autoSpaceDN w:val="0"/>
        <w:adjustRightInd w:val="0"/>
        <w:jc w:val="both"/>
        <w:rPr>
          <w:rFonts w:ascii="Garamond" w:hAnsi="Garamond"/>
        </w:rPr>
      </w:pPr>
    </w:p>
    <w:p w14:paraId="16259681" w14:textId="77777777" w:rsidR="006321CC" w:rsidRPr="00381F61" w:rsidRDefault="006321CC">
      <w:pPr>
        <w:autoSpaceDE w:val="0"/>
        <w:autoSpaceDN w:val="0"/>
        <w:adjustRightInd w:val="0"/>
        <w:jc w:val="both"/>
        <w:rPr>
          <w:rFonts w:ascii="Garamond" w:hAnsi="Garamond"/>
        </w:rPr>
      </w:pPr>
      <w:r w:rsidRPr="00381F61">
        <w:rPr>
          <w:rFonts w:ascii="Garamond" w:hAnsi="Garamond"/>
        </w:rPr>
        <w:t>These principles may need tempering if the cost of collecting the ‘correct’ amount of tax were uneconomic.  Any replacement compromise should, however, recognise the principles and the costs of change.</w:t>
      </w:r>
    </w:p>
    <w:p w14:paraId="3B0B7D93" w14:textId="77777777" w:rsidR="006321CC" w:rsidRPr="00381F61" w:rsidRDefault="006321CC" w:rsidP="00043E1D">
      <w:pPr>
        <w:pStyle w:val="BodyText"/>
        <w:spacing w:after="0"/>
        <w:jc w:val="both"/>
        <w:rPr>
          <w:rFonts w:ascii="Garamond" w:hAnsi="Garamond"/>
        </w:rPr>
      </w:pPr>
    </w:p>
    <w:p w14:paraId="42DD3869" w14:textId="77777777" w:rsidR="006321CC" w:rsidRPr="00381F61" w:rsidRDefault="006321CC" w:rsidP="00043E1D">
      <w:pPr>
        <w:pStyle w:val="BodyText"/>
        <w:jc w:val="both"/>
        <w:rPr>
          <w:rFonts w:ascii="Garamond" w:hAnsi="Garamond"/>
        </w:rPr>
      </w:pPr>
      <w:r w:rsidRPr="00381F61">
        <w:rPr>
          <w:rFonts w:ascii="Garamond" w:hAnsi="Garamond"/>
        </w:rPr>
        <w:t>The three principles form a suggested ‘gold standard’ against which any proposals should be measured.  The old tax regime that governed the different types of CIV violated all three principles.  Regrettably, the current regime is not much better in some respects and is worse in others.</w:t>
      </w:r>
    </w:p>
    <w:p w14:paraId="3BC9DCFA" w14:textId="77777777" w:rsidR="006321CC" w:rsidRPr="00381F61" w:rsidRDefault="006321CC" w:rsidP="00043E1D">
      <w:pPr>
        <w:pStyle w:val="BodyText"/>
        <w:spacing w:after="0"/>
        <w:jc w:val="both"/>
        <w:rPr>
          <w:rFonts w:ascii="Garamond" w:hAnsi="Garamond"/>
        </w:rPr>
      </w:pPr>
    </w:p>
    <w:p w14:paraId="3735517F" w14:textId="143597D9" w:rsidR="00414778" w:rsidRPr="00381F61" w:rsidRDefault="006321CC" w:rsidP="00043E1D">
      <w:pPr>
        <w:pStyle w:val="BodyText"/>
        <w:tabs>
          <w:tab w:val="left" w:pos="3060"/>
        </w:tabs>
        <w:spacing w:after="0"/>
        <w:jc w:val="both"/>
        <w:rPr>
          <w:rFonts w:ascii="Garamond" w:hAnsi="Garamond"/>
        </w:rPr>
      </w:pPr>
      <w:r w:rsidRPr="00381F61">
        <w:rPr>
          <w:rFonts w:ascii="Garamond" w:hAnsi="Garamond"/>
        </w:rPr>
        <w:t>Income should be ‘income’ and should be taxed and benefit-tested accordingly</w:t>
      </w:r>
      <w:r w:rsidR="00A752EB" w:rsidRPr="00381F61">
        <w:rPr>
          <w:rStyle w:val="FootnoteReference"/>
          <w:rFonts w:ascii="Garamond" w:hAnsi="Garamond"/>
        </w:rPr>
        <w:footnoteReference w:id="228"/>
      </w:r>
      <w:r w:rsidRPr="00381F61">
        <w:rPr>
          <w:rFonts w:ascii="Garamond" w:hAnsi="Garamond"/>
        </w:rPr>
        <w:t>.  The current regime does not come close to that objective.</w:t>
      </w:r>
    </w:p>
    <w:p w14:paraId="645A8CCD" w14:textId="77777777" w:rsidR="00414778" w:rsidRPr="00381F61" w:rsidRDefault="00414778" w:rsidP="00043E1D">
      <w:pPr>
        <w:pStyle w:val="BodyText"/>
        <w:tabs>
          <w:tab w:val="left" w:pos="3060"/>
        </w:tabs>
        <w:spacing w:after="0"/>
        <w:jc w:val="both"/>
        <w:rPr>
          <w:rFonts w:ascii="Garamond" w:hAnsi="Garamond"/>
        </w:rPr>
      </w:pPr>
    </w:p>
    <w:p w14:paraId="6124DEE9" w14:textId="3E9F94EC" w:rsidR="00414778" w:rsidRPr="00381F61" w:rsidRDefault="00414778" w:rsidP="00043E1D">
      <w:pPr>
        <w:pStyle w:val="BodyText"/>
        <w:tabs>
          <w:tab w:val="left" w:pos="3060"/>
        </w:tabs>
        <w:spacing w:after="0"/>
        <w:jc w:val="both"/>
        <w:rPr>
          <w:rFonts w:ascii="Garamond" w:hAnsi="Garamond"/>
        </w:rPr>
      </w:pPr>
      <w:r w:rsidRPr="00381F61">
        <w:rPr>
          <w:rFonts w:ascii="Garamond" w:hAnsi="Garamond"/>
        </w:rPr>
        <w:t>While the tax treatment of CIVs is normally a compromise between principles and practicality, compromise of principle should apply only if there is a combined effect of simplification and increased net returns to investors with no significan</w:t>
      </w:r>
      <w:r w:rsidR="00EB3D5D" w:rsidRPr="00381F61">
        <w:rPr>
          <w:rFonts w:ascii="Garamond" w:hAnsi="Garamond"/>
        </w:rPr>
        <w:t>t loss of tax revenue.  C</w:t>
      </w:r>
      <w:r w:rsidRPr="00381F61">
        <w:rPr>
          <w:rFonts w:ascii="Garamond" w:hAnsi="Garamond"/>
        </w:rPr>
        <w:t xml:space="preserve">hanges </w:t>
      </w:r>
      <w:r w:rsidR="00EB3D5D" w:rsidRPr="00381F61">
        <w:rPr>
          <w:rFonts w:ascii="Garamond" w:hAnsi="Garamond"/>
        </w:rPr>
        <w:t xml:space="preserve">in recent years </w:t>
      </w:r>
      <w:r w:rsidRPr="00381F61">
        <w:rPr>
          <w:rFonts w:ascii="Garamond" w:hAnsi="Garamond"/>
        </w:rPr>
        <w:t>have failed to achieve these objectives and have left a complex patchwork of compromises and significant discontinuities between the income tax and welfare systems.</w:t>
      </w:r>
    </w:p>
    <w:p w14:paraId="1B9E0205" w14:textId="77777777" w:rsidR="00E90329" w:rsidRPr="00381F61" w:rsidRDefault="00E90329" w:rsidP="00043E1D">
      <w:pPr>
        <w:pStyle w:val="BodyText"/>
        <w:tabs>
          <w:tab w:val="left" w:pos="3060"/>
        </w:tabs>
        <w:spacing w:after="0"/>
        <w:jc w:val="both"/>
        <w:rPr>
          <w:rFonts w:ascii="Garamond" w:hAnsi="Garamond"/>
        </w:rPr>
      </w:pPr>
    </w:p>
    <w:p w14:paraId="67CB9B27" w14:textId="1B03D014" w:rsidR="00E90329" w:rsidRPr="00381F61" w:rsidRDefault="00E90329" w:rsidP="00043E1D">
      <w:pPr>
        <w:pStyle w:val="BodyText"/>
        <w:tabs>
          <w:tab w:val="left" w:pos="3060"/>
        </w:tabs>
        <w:spacing w:after="0"/>
        <w:jc w:val="both"/>
        <w:rPr>
          <w:rFonts w:ascii="Garamond" w:hAnsi="Garamond"/>
        </w:rPr>
      </w:pPr>
      <w:r w:rsidRPr="00381F61">
        <w:rPr>
          <w:rFonts w:ascii="Garamond" w:hAnsi="Garamond"/>
        </w:rPr>
        <w:t>CIVs should be encouraged and their continued development should be seen as a contribution to a successful financial services industry.  They should not be tax-favoured.  The current ‘proxy-rate’ system of taxing CIV members needs reform.  As we said in our 2010 Working Paper:</w:t>
      </w:r>
    </w:p>
    <w:p w14:paraId="7BC166E7" w14:textId="77777777" w:rsidR="00E90329" w:rsidRPr="00381F61" w:rsidRDefault="00E90329" w:rsidP="00043E1D">
      <w:pPr>
        <w:pStyle w:val="BodyText"/>
        <w:tabs>
          <w:tab w:val="left" w:pos="3060"/>
        </w:tabs>
        <w:spacing w:after="0"/>
        <w:jc w:val="both"/>
        <w:rPr>
          <w:rFonts w:ascii="Garamond" w:hAnsi="Garamond"/>
          <w:sz w:val="8"/>
          <w:szCs w:val="8"/>
        </w:rPr>
      </w:pPr>
    </w:p>
    <w:p w14:paraId="159A746A" w14:textId="303D190E" w:rsidR="00E90329" w:rsidRPr="00381F61" w:rsidRDefault="00E90329" w:rsidP="00043E1D">
      <w:pPr>
        <w:pStyle w:val="BodyText"/>
        <w:tabs>
          <w:tab w:val="left" w:pos="3060"/>
        </w:tabs>
        <w:spacing w:after="0"/>
        <w:ind w:left="567"/>
        <w:jc w:val="both"/>
        <w:rPr>
          <w:rFonts w:ascii="Garamond" w:hAnsi="Garamond"/>
          <w:sz w:val="22"/>
          <w:szCs w:val="22"/>
        </w:rPr>
      </w:pPr>
      <w:r w:rsidRPr="00381F61">
        <w:rPr>
          <w:rFonts w:ascii="Garamond" w:hAnsi="Garamond"/>
          <w:sz w:val="22"/>
          <w:szCs w:val="22"/>
        </w:rPr>
        <w:t>“No member of a CIV presently pays the appropriate tax on their full income (both directly and indirectly earned) under New Zealand’s progressive tax regime.  That distortion is potentially magnified when the tax system is set alongside the income-related aspects of our welfare system</w:t>
      </w:r>
      <w:r w:rsidR="004C513E" w:rsidRPr="00381F61">
        <w:rPr>
          <w:rFonts w:ascii="Garamond" w:hAnsi="Garamond"/>
          <w:sz w:val="22"/>
          <w:szCs w:val="22"/>
        </w:rPr>
        <w:t>…</w:t>
      </w:r>
      <w:r w:rsidRPr="00381F61">
        <w:rPr>
          <w:rFonts w:ascii="Garamond" w:hAnsi="Garamond"/>
          <w:sz w:val="22"/>
          <w:szCs w:val="22"/>
        </w:rPr>
        <w:t>”</w:t>
      </w:r>
      <w:r w:rsidR="004C513E" w:rsidRPr="00381F61">
        <w:rPr>
          <w:rFonts w:ascii="Garamond" w:hAnsi="Garamond"/>
          <w:sz w:val="22"/>
          <w:szCs w:val="22"/>
        </w:rPr>
        <w:t xml:space="preserve"> (page 34)</w:t>
      </w:r>
    </w:p>
    <w:p w14:paraId="4A2F2B93" w14:textId="3BFFD897" w:rsidR="006321CC" w:rsidRPr="00381F61" w:rsidRDefault="006321CC" w:rsidP="00043E1D">
      <w:pPr>
        <w:pStyle w:val="BodyText"/>
        <w:spacing w:after="0"/>
        <w:rPr>
          <w:rFonts w:ascii="Garamond" w:hAnsi="Garamond"/>
        </w:rPr>
      </w:pPr>
    </w:p>
    <w:p w14:paraId="48B3892D" w14:textId="707E7176" w:rsidR="00E90329" w:rsidRPr="00381F61" w:rsidRDefault="00DD7F22" w:rsidP="00E90329">
      <w:pPr>
        <w:jc w:val="both"/>
        <w:rPr>
          <w:rFonts w:ascii="Garamond" w:hAnsi="Garamond"/>
        </w:rPr>
      </w:pPr>
      <w:r w:rsidRPr="00381F61">
        <w:rPr>
          <w:rFonts w:ascii="Garamond" w:hAnsi="Garamond"/>
        </w:rPr>
        <w:t>We suggest</w:t>
      </w:r>
      <w:r w:rsidR="00E90329" w:rsidRPr="00381F61">
        <w:rPr>
          <w:rFonts w:ascii="Garamond" w:hAnsi="Garamond"/>
        </w:rPr>
        <w:t xml:space="preserve"> that the combination of income tax, income support and the treatment of CIVs leaves an unsatisfactory gap that now needs to be filled.</w:t>
      </w:r>
    </w:p>
    <w:p w14:paraId="2AA26654" w14:textId="77777777" w:rsidR="00E90329" w:rsidRPr="00381F61" w:rsidRDefault="00E90329" w:rsidP="00E90329">
      <w:pPr>
        <w:jc w:val="both"/>
        <w:rPr>
          <w:rFonts w:ascii="Garamond" w:hAnsi="Garamond"/>
        </w:rPr>
      </w:pPr>
    </w:p>
    <w:p w14:paraId="333C7C55" w14:textId="77777777" w:rsidR="00E90329" w:rsidRPr="00381F61" w:rsidRDefault="00E90329" w:rsidP="00E90329">
      <w:pPr>
        <w:jc w:val="both"/>
        <w:rPr>
          <w:rFonts w:ascii="Garamond" w:hAnsi="Garamond"/>
        </w:rPr>
      </w:pPr>
      <w:r w:rsidRPr="00381F61">
        <w:rPr>
          <w:rFonts w:ascii="Garamond" w:hAnsi="Garamond"/>
        </w:rPr>
        <w:t>It is not possible to distinguish, in policy substance, between:</w:t>
      </w:r>
    </w:p>
    <w:p w14:paraId="327A9E39" w14:textId="77777777" w:rsidR="00E90329" w:rsidRPr="00381F61" w:rsidRDefault="00E90329" w:rsidP="00E90329">
      <w:pPr>
        <w:jc w:val="both"/>
        <w:rPr>
          <w:rFonts w:ascii="Garamond" w:hAnsi="Garamond"/>
          <w:sz w:val="8"/>
          <w:szCs w:val="8"/>
        </w:rPr>
      </w:pPr>
    </w:p>
    <w:p w14:paraId="2514C647" w14:textId="77777777" w:rsidR="00E90329" w:rsidRPr="00381F61" w:rsidRDefault="00E90329" w:rsidP="00E90329">
      <w:pPr>
        <w:numPr>
          <w:ilvl w:val="0"/>
          <w:numId w:val="54"/>
        </w:numPr>
        <w:jc w:val="both"/>
        <w:rPr>
          <w:rFonts w:ascii="Garamond" w:hAnsi="Garamond"/>
        </w:rPr>
      </w:pPr>
      <w:r w:rsidRPr="00381F61">
        <w:rPr>
          <w:rFonts w:ascii="Garamond" w:hAnsi="Garamond"/>
        </w:rPr>
        <w:t>income tax (where the state takes money);</w:t>
      </w:r>
    </w:p>
    <w:p w14:paraId="290755E8" w14:textId="77777777" w:rsidR="00E90329" w:rsidRPr="00381F61" w:rsidRDefault="00E90329" w:rsidP="00E90329">
      <w:pPr>
        <w:ind w:left="720"/>
        <w:jc w:val="both"/>
        <w:rPr>
          <w:rFonts w:ascii="Garamond" w:hAnsi="Garamond"/>
          <w:sz w:val="8"/>
          <w:szCs w:val="8"/>
        </w:rPr>
      </w:pPr>
    </w:p>
    <w:p w14:paraId="19775D08" w14:textId="77777777" w:rsidR="00E90329" w:rsidRPr="00381F61" w:rsidRDefault="00E90329" w:rsidP="00E90329">
      <w:pPr>
        <w:numPr>
          <w:ilvl w:val="0"/>
          <w:numId w:val="54"/>
        </w:numPr>
        <w:jc w:val="both"/>
        <w:rPr>
          <w:rFonts w:ascii="Garamond" w:hAnsi="Garamond"/>
        </w:rPr>
      </w:pPr>
      <w:r w:rsidRPr="00381F61">
        <w:rPr>
          <w:rFonts w:ascii="Garamond" w:hAnsi="Garamond"/>
        </w:rPr>
        <w:t>income-support (where the state gives back some of that money in different ways to people it decides need that support) and</w:t>
      </w:r>
    </w:p>
    <w:p w14:paraId="1338B4C8" w14:textId="77777777" w:rsidR="00E90329" w:rsidRPr="00381F61" w:rsidRDefault="00E90329" w:rsidP="00DD7F22">
      <w:pPr>
        <w:ind w:left="709"/>
        <w:jc w:val="both"/>
        <w:rPr>
          <w:rFonts w:ascii="Garamond" w:hAnsi="Garamond"/>
          <w:sz w:val="8"/>
          <w:szCs w:val="8"/>
        </w:rPr>
      </w:pPr>
    </w:p>
    <w:p w14:paraId="017C0AF7" w14:textId="77777777" w:rsidR="00E90329" w:rsidRPr="00381F61" w:rsidRDefault="00E90329" w:rsidP="00E90329">
      <w:pPr>
        <w:numPr>
          <w:ilvl w:val="0"/>
          <w:numId w:val="54"/>
        </w:numPr>
        <w:jc w:val="both"/>
        <w:rPr>
          <w:rFonts w:ascii="Garamond" w:hAnsi="Garamond"/>
        </w:rPr>
      </w:pPr>
      <w:r w:rsidRPr="00381F61">
        <w:rPr>
          <w:rFonts w:ascii="Garamond" w:hAnsi="Garamond"/>
        </w:rPr>
        <w:t>income-testing (where the state takes back part or all of the income support).</w:t>
      </w:r>
    </w:p>
    <w:p w14:paraId="0EBD62F3" w14:textId="77777777" w:rsidR="00E90329" w:rsidRPr="00381F61" w:rsidRDefault="00E90329" w:rsidP="00E90329">
      <w:pPr>
        <w:jc w:val="both"/>
        <w:rPr>
          <w:rFonts w:ascii="Garamond" w:hAnsi="Garamond"/>
        </w:rPr>
      </w:pPr>
    </w:p>
    <w:p w14:paraId="5D65C7E0" w14:textId="217FC66A" w:rsidR="00371BD5" w:rsidRPr="00381F61" w:rsidRDefault="00E90329" w:rsidP="00371BD5">
      <w:pPr>
        <w:jc w:val="both"/>
        <w:rPr>
          <w:rFonts w:ascii="Garamond" w:hAnsi="Garamond"/>
        </w:rPr>
      </w:pPr>
      <w:r w:rsidRPr="00381F61">
        <w:rPr>
          <w:rFonts w:ascii="Garamond" w:hAnsi="Garamond"/>
        </w:rPr>
        <w:t xml:space="preserve">Those three strands </w:t>
      </w:r>
      <w:r w:rsidR="004C513E" w:rsidRPr="00381F61">
        <w:rPr>
          <w:rFonts w:ascii="Garamond" w:hAnsi="Garamond"/>
        </w:rPr>
        <w:t xml:space="preserve">should </w:t>
      </w:r>
      <w:r w:rsidRPr="00381F61">
        <w:rPr>
          <w:rFonts w:ascii="Garamond" w:hAnsi="Garamond"/>
        </w:rPr>
        <w:t>go to make up the single environment of defining and calculating 'income'.  Only in that context can the significance of CIV-derived income be measured</w:t>
      </w:r>
      <w:r w:rsidR="00371BD5" w:rsidRPr="00381F61">
        <w:rPr>
          <w:rFonts w:ascii="Garamond" w:hAnsi="Garamond"/>
        </w:rPr>
        <w:t>,</w:t>
      </w:r>
      <w:r w:rsidRPr="00381F61">
        <w:rPr>
          <w:rFonts w:ascii="Garamond" w:hAnsi="Garamond"/>
        </w:rPr>
        <w:t xml:space="preserve"> and the problems identified and addressed.  The reason that CIVs are adding to the inconsistencies derives from the ‘silo approach’ to tax policy that has treated some CIVs in isolation</w:t>
      </w:r>
      <w:r w:rsidR="004C513E" w:rsidRPr="00381F61">
        <w:rPr>
          <w:rStyle w:val="FootnoteReference"/>
          <w:rFonts w:ascii="Garamond" w:hAnsi="Garamond"/>
        </w:rPr>
        <w:footnoteReference w:id="229"/>
      </w:r>
      <w:r w:rsidRPr="00381F61">
        <w:rPr>
          <w:rFonts w:ascii="Garamond" w:hAnsi="Garamond"/>
        </w:rPr>
        <w:t>.  That approach must change.</w:t>
      </w:r>
      <w:r w:rsidR="00371BD5" w:rsidRPr="00381F61">
        <w:rPr>
          <w:rFonts w:ascii="Garamond" w:hAnsi="Garamond"/>
        </w:rPr>
        <w:t xml:space="preserve">  The introduction of PIE status also introduces a complication and a distortion.  Superannuation schemes and unit trusts can choose to be </w:t>
      </w:r>
      <w:r w:rsidR="001B1B68" w:rsidRPr="00381F61">
        <w:rPr>
          <w:rFonts w:ascii="Garamond" w:hAnsi="Garamond"/>
        </w:rPr>
        <w:t>‘</w:t>
      </w:r>
      <w:r w:rsidR="00371BD5" w:rsidRPr="00381F61">
        <w:rPr>
          <w:rFonts w:ascii="Garamond" w:hAnsi="Garamond"/>
        </w:rPr>
        <w:t>PIE</w:t>
      </w:r>
      <w:r w:rsidR="001B1B68" w:rsidRPr="00381F61">
        <w:rPr>
          <w:rFonts w:ascii="Garamond" w:hAnsi="Garamond"/>
        </w:rPr>
        <w:t>’</w:t>
      </w:r>
      <w:r w:rsidR="00371BD5" w:rsidRPr="00381F61">
        <w:rPr>
          <w:rFonts w:ascii="Garamond" w:hAnsi="Garamond"/>
        </w:rPr>
        <w:t xml:space="preserve"> or ‘not PIE’.  Again, this seems to offend basic tax principles as it lets investors make decisions purely for better tax outcomes.</w:t>
      </w:r>
    </w:p>
    <w:p w14:paraId="1289C71E" w14:textId="74B1A076" w:rsidR="00E90329" w:rsidRPr="00381F61" w:rsidRDefault="00E90329" w:rsidP="00E90329">
      <w:pPr>
        <w:jc w:val="both"/>
        <w:rPr>
          <w:rFonts w:ascii="Garamond" w:hAnsi="Garamond"/>
        </w:rPr>
      </w:pPr>
    </w:p>
    <w:p w14:paraId="3EBA5825" w14:textId="77777777" w:rsidR="00E90329" w:rsidRPr="00381F61" w:rsidRDefault="00E90329" w:rsidP="00E90329">
      <w:pPr>
        <w:jc w:val="both"/>
        <w:rPr>
          <w:rFonts w:ascii="Garamond" w:hAnsi="Garamond"/>
        </w:rPr>
      </w:pPr>
      <w:r w:rsidRPr="00381F61">
        <w:rPr>
          <w:rFonts w:ascii="Garamond" w:hAnsi="Garamond"/>
        </w:rPr>
        <w:t>'Income' for all purposes should be defined consistently, no matter how it has been earned.</w:t>
      </w:r>
    </w:p>
    <w:p w14:paraId="7E2519BC" w14:textId="77777777" w:rsidR="00524ACB" w:rsidRPr="00381F61" w:rsidRDefault="00524ACB" w:rsidP="00E90329">
      <w:pPr>
        <w:jc w:val="both"/>
        <w:rPr>
          <w:rFonts w:ascii="Garamond" w:hAnsi="Garamond"/>
        </w:rPr>
      </w:pPr>
    </w:p>
    <w:p w14:paraId="6E85A929" w14:textId="77777777" w:rsidR="00E24858" w:rsidRPr="00381F61" w:rsidRDefault="00E24858" w:rsidP="00E24858">
      <w:pPr>
        <w:jc w:val="both"/>
        <w:rPr>
          <w:rFonts w:ascii="Garamond" w:hAnsi="Garamond"/>
        </w:rPr>
      </w:pPr>
      <w:r w:rsidRPr="00381F61">
        <w:rPr>
          <w:rFonts w:ascii="Garamond" w:hAnsi="Garamond"/>
          <w:b/>
        </w:rPr>
        <w:t>Terms of reference for 2019 Review</w:t>
      </w:r>
    </w:p>
    <w:p w14:paraId="18B7696E" w14:textId="77777777" w:rsidR="00E24858" w:rsidRPr="00381F61" w:rsidRDefault="00E24858" w:rsidP="00E24858">
      <w:pPr>
        <w:jc w:val="both"/>
        <w:rPr>
          <w:rFonts w:ascii="Garamond" w:hAnsi="Garamond"/>
        </w:rPr>
      </w:pPr>
    </w:p>
    <w:p w14:paraId="4F546B37" w14:textId="4E1E0631" w:rsidR="00E24858" w:rsidRPr="00381F61" w:rsidRDefault="00E24858" w:rsidP="00E24858">
      <w:pPr>
        <w:jc w:val="both"/>
        <w:rPr>
          <w:rFonts w:ascii="Garamond" w:hAnsi="Garamond"/>
        </w:rPr>
      </w:pPr>
      <w:r w:rsidRPr="00381F61">
        <w:rPr>
          <w:rFonts w:ascii="Garamond" w:hAnsi="Garamond"/>
        </w:rPr>
        <w:t>There was no mention in the Terms of Reference for the Retirement Commissioner’s 2019 Review of the issues associated with the tax treatment of retirement savings.</w:t>
      </w:r>
    </w:p>
    <w:p w14:paraId="74A1F70B" w14:textId="77777777" w:rsidR="00E24858" w:rsidRPr="00381F61" w:rsidRDefault="00E24858" w:rsidP="00E24858">
      <w:pPr>
        <w:jc w:val="both"/>
        <w:rPr>
          <w:rFonts w:ascii="Garamond" w:hAnsi="Garamond"/>
        </w:rPr>
      </w:pPr>
    </w:p>
    <w:p w14:paraId="048F4794" w14:textId="1413EF74" w:rsidR="00E24858" w:rsidRPr="00381F61" w:rsidRDefault="00E24858" w:rsidP="00E24858">
      <w:pPr>
        <w:jc w:val="both"/>
        <w:rPr>
          <w:rFonts w:ascii="Garamond" w:hAnsi="Garamond"/>
        </w:rPr>
      </w:pPr>
      <w:r w:rsidRPr="00381F61">
        <w:rPr>
          <w:rFonts w:ascii="Garamond" w:hAnsi="Garamond"/>
        </w:rPr>
        <w:t>We do not, therefore, expect the 2019 Review to address this issue.  However, at some stage the following questions will need to be addressed.</w:t>
      </w:r>
    </w:p>
    <w:p w14:paraId="5BD5F188" w14:textId="399FD7AE" w:rsidR="00F66CFF" w:rsidRPr="00381F61" w:rsidRDefault="00F66CFF" w:rsidP="00E24858">
      <w:pPr>
        <w:jc w:val="both"/>
        <w:rPr>
          <w:rFonts w:ascii="Garamond" w:hAnsi="Garamond"/>
        </w:rPr>
      </w:pPr>
    </w:p>
    <w:p w14:paraId="44220FEB" w14:textId="5A257125" w:rsidR="00F66CFF" w:rsidRPr="00381F61" w:rsidRDefault="00F66CFF" w:rsidP="00E24858">
      <w:pPr>
        <w:jc w:val="both"/>
        <w:rPr>
          <w:rFonts w:ascii="Garamond" w:eastAsia="Calibri" w:hAnsi="Garamond"/>
          <w:lang w:eastAsia="en-NZ"/>
        </w:rPr>
      </w:pPr>
      <w:r w:rsidRPr="00381F61">
        <w:rPr>
          <w:rFonts w:ascii="Garamond" w:eastAsia="Calibri" w:hAnsi="Garamond"/>
          <w:lang w:eastAsia="en-NZ"/>
        </w:rPr>
        <w:t xml:space="preserve">Given that the tax regime is an important determinant of the net returns that New Zealanders saving for their retirement receive, it is disappointing that the terms of reference do not specifically address tax and the impact it has on retirement preparedness. </w:t>
      </w:r>
    </w:p>
    <w:p w14:paraId="0D9F7CE0" w14:textId="77777777" w:rsidR="00E90329" w:rsidRPr="00381F61" w:rsidRDefault="00E90329" w:rsidP="00043E1D">
      <w:pPr>
        <w:pStyle w:val="BodyText"/>
        <w:spacing w:after="0"/>
        <w:rPr>
          <w:rFonts w:ascii="Garamond" w:hAnsi="Garamond"/>
        </w:rPr>
      </w:pPr>
    </w:p>
    <w:p w14:paraId="31F9B300" w14:textId="23D69F2D" w:rsidR="006321CC" w:rsidRPr="00381F61" w:rsidRDefault="00336692">
      <w:pPr>
        <w:jc w:val="both"/>
        <w:rPr>
          <w:rFonts w:ascii="Garamond" w:hAnsi="Garamond"/>
          <w:b/>
        </w:rPr>
      </w:pPr>
      <w:r w:rsidRPr="00381F61">
        <w:rPr>
          <w:rFonts w:ascii="Garamond" w:hAnsi="Garamond"/>
          <w:b/>
        </w:rPr>
        <w:t>Questions New Zealand needs to discuss</w:t>
      </w:r>
      <w:r w:rsidR="00401C3D" w:rsidRPr="00381F61">
        <w:rPr>
          <w:rFonts w:ascii="Garamond" w:hAnsi="Garamond"/>
          <w:b/>
        </w:rPr>
        <w:t xml:space="preserve"> on income tax issues</w:t>
      </w:r>
      <w:r w:rsidR="00CC0BC7" w:rsidRPr="00381F61">
        <w:rPr>
          <w:rFonts w:ascii="Garamond" w:hAnsi="Garamond"/>
          <w:b/>
        </w:rPr>
        <w:t>:</w:t>
      </w:r>
    </w:p>
    <w:p w14:paraId="448D5603" w14:textId="77777777" w:rsidR="00336692" w:rsidRPr="00381F61" w:rsidRDefault="00336692">
      <w:pPr>
        <w:jc w:val="both"/>
        <w:rPr>
          <w:rFonts w:ascii="Garamond" w:hAnsi="Garamond"/>
        </w:rPr>
      </w:pPr>
    </w:p>
    <w:p w14:paraId="2809CE45" w14:textId="38B4E261" w:rsidR="00336692" w:rsidRPr="00381F61" w:rsidRDefault="00336692" w:rsidP="00043E1D">
      <w:pPr>
        <w:pStyle w:val="ListParagraph"/>
        <w:numPr>
          <w:ilvl w:val="0"/>
          <w:numId w:val="53"/>
        </w:numPr>
        <w:jc w:val="both"/>
        <w:rPr>
          <w:rFonts w:ascii="Garamond" w:hAnsi="Garamond"/>
        </w:rPr>
      </w:pPr>
      <w:r w:rsidRPr="00381F61">
        <w:rPr>
          <w:rFonts w:ascii="Garamond" w:hAnsi="Garamond"/>
        </w:rPr>
        <w:t>Should all CIVs be taxed similarly?</w:t>
      </w:r>
    </w:p>
    <w:p w14:paraId="15F8CBD8" w14:textId="77777777" w:rsidR="00DD7F22" w:rsidRPr="00381F61" w:rsidRDefault="00DD7F22" w:rsidP="00043E1D">
      <w:pPr>
        <w:pStyle w:val="ListParagraph"/>
        <w:jc w:val="both"/>
        <w:rPr>
          <w:rFonts w:ascii="Garamond" w:hAnsi="Garamond"/>
        </w:rPr>
      </w:pPr>
    </w:p>
    <w:p w14:paraId="0B4EF429" w14:textId="7956620D" w:rsidR="00336692" w:rsidRPr="00381F61" w:rsidRDefault="00336692" w:rsidP="00043E1D">
      <w:pPr>
        <w:pStyle w:val="ListParagraph"/>
        <w:numPr>
          <w:ilvl w:val="0"/>
          <w:numId w:val="53"/>
        </w:numPr>
        <w:jc w:val="both"/>
        <w:rPr>
          <w:rFonts w:ascii="Garamond" w:hAnsi="Garamond"/>
        </w:rPr>
      </w:pPr>
      <w:r w:rsidRPr="00381F61">
        <w:rPr>
          <w:rFonts w:ascii="Garamond" w:hAnsi="Garamond"/>
        </w:rPr>
        <w:t>Should individuals pay income tax on all their ‘income’ whether that has been directly received (as with pay or interest income) or indirectly received (as with additions to their account within a CIV)?</w:t>
      </w:r>
      <w:r w:rsidRPr="00381F61">
        <w:rPr>
          <w:rStyle w:val="FootnoteReference"/>
          <w:rFonts w:ascii="Garamond" w:hAnsi="Garamond"/>
        </w:rPr>
        <w:footnoteReference w:id="230"/>
      </w:r>
    </w:p>
    <w:p w14:paraId="04B0E52E" w14:textId="77777777" w:rsidR="00DD7F22" w:rsidRPr="00381F61" w:rsidRDefault="00DD7F22" w:rsidP="00043E1D">
      <w:pPr>
        <w:ind w:left="709"/>
        <w:jc w:val="both"/>
        <w:rPr>
          <w:rFonts w:ascii="Garamond" w:hAnsi="Garamond"/>
        </w:rPr>
      </w:pPr>
    </w:p>
    <w:p w14:paraId="3D6B1B2C" w14:textId="44CAC9CD" w:rsidR="00DD7F22" w:rsidRPr="00381F61" w:rsidRDefault="00E90329" w:rsidP="00043E1D">
      <w:pPr>
        <w:pStyle w:val="ListParagraph"/>
        <w:numPr>
          <w:ilvl w:val="0"/>
          <w:numId w:val="53"/>
        </w:numPr>
        <w:jc w:val="both"/>
        <w:rPr>
          <w:rFonts w:ascii="Garamond" w:hAnsi="Garamond"/>
        </w:rPr>
      </w:pPr>
      <w:r w:rsidRPr="00381F61">
        <w:rPr>
          <w:rFonts w:ascii="Garamond" w:hAnsi="Garamond"/>
        </w:rPr>
        <w:t>Should the Inland Revenue be calculating individuals’ tax</w:t>
      </w:r>
      <w:r w:rsidR="00DD7F22" w:rsidRPr="00381F61">
        <w:rPr>
          <w:rFonts w:ascii="Garamond" w:hAnsi="Garamond"/>
        </w:rPr>
        <w:t xml:space="preserve"> (rather than employers and the managers of CIVs)</w:t>
      </w:r>
      <w:r w:rsidRPr="00381F61">
        <w:rPr>
          <w:rFonts w:ascii="Garamond" w:hAnsi="Garamond"/>
        </w:rPr>
        <w:t>?</w:t>
      </w:r>
    </w:p>
    <w:p w14:paraId="0B6FDA8B" w14:textId="77777777" w:rsidR="00DD7F22" w:rsidRPr="00381F61" w:rsidRDefault="00DD7F22" w:rsidP="00043E1D">
      <w:pPr>
        <w:ind w:left="709"/>
        <w:jc w:val="both"/>
        <w:rPr>
          <w:rFonts w:ascii="Garamond" w:hAnsi="Garamond"/>
        </w:rPr>
      </w:pPr>
    </w:p>
    <w:p w14:paraId="49B6937A" w14:textId="6E2D07C6" w:rsidR="00DD7F22" w:rsidRPr="00381F61" w:rsidRDefault="00DD7F22">
      <w:pPr>
        <w:pStyle w:val="ListParagraph"/>
        <w:numPr>
          <w:ilvl w:val="0"/>
          <w:numId w:val="53"/>
        </w:numPr>
        <w:ind w:left="709"/>
        <w:jc w:val="both"/>
        <w:rPr>
          <w:rFonts w:ascii="Garamond" w:hAnsi="Garamond"/>
        </w:rPr>
      </w:pPr>
      <w:r w:rsidRPr="00381F61">
        <w:rPr>
          <w:rFonts w:ascii="Garamond" w:hAnsi="Garamond"/>
        </w:rPr>
        <w:t>Should all ‘income’ count when calculating income-tested welfare benefits?</w:t>
      </w:r>
    </w:p>
    <w:p w14:paraId="76B99C85" w14:textId="77777777" w:rsidR="00DD7F22" w:rsidRPr="00381F61" w:rsidRDefault="00DD7F22" w:rsidP="00043E1D">
      <w:pPr>
        <w:pStyle w:val="ListParagraph"/>
        <w:ind w:left="709"/>
        <w:jc w:val="both"/>
        <w:rPr>
          <w:rFonts w:ascii="Garamond" w:hAnsi="Garamond"/>
        </w:rPr>
      </w:pPr>
    </w:p>
    <w:p w14:paraId="7C9A04E3" w14:textId="1F75696C" w:rsidR="00336692" w:rsidRPr="00381F61" w:rsidRDefault="00336692" w:rsidP="00043E1D">
      <w:pPr>
        <w:pStyle w:val="ListParagraph"/>
        <w:numPr>
          <w:ilvl w:val="0"/>
          <w:numId w:val="53"/>
        </w:numPr>
        <w:jc w:val="both"/>
        <w:rPr>
          <w:rFonts w:ascii="Garamond" w:hAnsi="Garamond"/>
        </w:rPr>
      </w:pPr>
      <w:r w:rsidRPr="00381F61">
        <w:rPr>
          <w:rFonts w:ascii="Garamond" w:hAnsi="Garamond"/>
        </w:rPr>
        <w:t>If a CIV investor is tax-exempt (such as a charity</w:t>
      </w:r>
      <w:r w:rsidR="00DD7F22" w:rsidRPr="00381F61">
        <w:rPr>
          <w:rFonts w:ascii="Garamond" w:hAnsi="Garamond"/>
        </w:rPr>
        <w:t>) should any tax paid by</w:t>
      </w:r>
      <w:r w:rsidRPr="00381F61">
        <w:rPr>
          <w:rFonts w:ascii="Garamond" w:hAnsi="Garamond"/>
        </w:rPr>
        <w:t xml:space="preserve"> a CIV be fully recoverable?</w:t>
      </w:r>
    </w:p>
    <w:p w14:paraId="50903748" w14:textId="77777777" w:rsidR="00DD7F22" w:rsidRPr="00381F61" w:rsidRDefault="00DD7F22" w:rsidP="00043E1D">
      <w:pPr>
        <w:ind w:left="709"/>
        <w:jc w:val="both"/>
        <w:rPr>
          <w:rFonts w:ascii="Garamond" w:hAnsi="Garamond"/>
        </w:rPr>
      </w:pPr>
    </w:p>
    <w:p w14:paraId="7BDC480E" w14:textId="050DBF60" w:rsidR="00336692" w:rsidRPr="00381F61" w:rsidRDefault="00336692" w:rsidP="00043E1D">
      <w:pPr>
        <w:pStyle w:val="ListParagraph"/>
        <w:numPr>
          <w:ilvl w:val="0"/>
          <w:numId w:val="53"/>
        </w:numPr>
        <w:ind w:left="709"/>
        <w:jc w:val="both"/>
        <w:rPr>
          <w:rFonts w:ascii="Garamond" w:hAnsi="Garamond"/>
        </w:rPr>
      </w:pPr>
      <w:r w:rsidRPr="00381F61">
        <w:rPr>
          <w:rFonts w:ascii="Garamond" w:hAnsi="Garamond"/>
        </w:rPr>
        <w:t>If the CIV investor has accumulated tax losses from earlier years or from the current year, should any CIV income be offset against such losses?</w:t>
      </w:r>
    </w:p>
    <w:p w14:paraId="062FDC23" w14:textId="77777777" w:rsidR="00DD7F22" w:rsidRPr="00381F61" w:rsidRDefault="00DD7F22" w:rsidP="00043E1D">
      <w:pPr>
        <w:ind w:left="709"/>
        <w:jc w:val="both"/>
        <w:rPr>
          <w:rFonts w:ascii="Garamond" w:hAnsi="Garamond"/>
        </w:rPr>
      </w:pPr>
    </w:p>
    <w:p w14:paraId="7B738603" w14:textId="1CB82E23" w:rsidR="00336692" w:rsidRPr="00381F61" w:rsidRDefault="00336692" w:rsidP="00043E1D">
      <w:pPr>
        <w:pStyle w:val="ListParagraph"/>
        <w:numPr>
          <w:ilvl w:val="0"/>
          <w:numId w:val="53"/>
        </w:numPr>
        <w:ind w:left="709"/>
        <w:jc w:val="both"/>
        <w:rPr>
          <w:rFonts w:ascii="Garamond" w:hAnsi="Garamond"/>
        </w:rPr>
      </w:pPr>
      <w:r w:rsidRPr="00381F61">
        <w:rPr>
          <w:rFonts w:ascii="Garamond" w:hAnsi="Garamond"/>
        </w:rPr>
        <w:t>If an overseas CIV has paid any tax that can be attributable to an individual investor, should that tax be offset against any New Zealand tax liability on the same attributable income?</w:t>
      </w:r>
    </w:p>
    <w:p w14:paraId="74B42A67" w14:textId="77777777" w:rsidR="00DD7F22" w:rsidRPr="00381F61" w:rsidRDefault="00DD7F22" w:rsidP="00043E1D">
      <w:pPr>
        <w:ind w:left="709"/>
        <w:jc w:val="both"/>
        <w:rPr>
          <w:rFonts w:ascii="Garamond" w:hAnsi="Garamond"/>
        </w:rPr>
      </w:pPr>
    </w:p>
    <w:p w14:paraId="60CEBC7F" w14:textId="5A8985FA" w:rsidR="00336692" w:rsidRPr="00381F61" w:rsidRDefault="00336692" w:rsidP="00043E1D">
      <w:pPr>
        <w:pStyle w:val="ListParagraph"/>
        <w:numPr>
          <w:ilvl w:val="0"/>
          <w:numId w:val="53"/>
        </w:numPr>
        <w:ind w:left="709"/>
        <w:jc w:val="both"/>
        <w:rPr>
          <w:rFonts w:ascii="Garamond" w:hAnsi="Garamond"/>
        </w:rPr>
      </w:pPr>
      <w:r w:rsidRPr="00381F61">
        <w:rPr>
          <w:rFonts w:ascii="Garamond" w:hAnsi="Garamond"/>
        </w:rPr>
        <w:t xml:space="preserve">Rather than trying to define income exhaustively, should the Income Tax Act </w:t>
      </w:r>
      <w:r w:rsidR="00930044" w:rsidRPr="00381F61">
        <w:rPr>
          <w:rFonts w:ascii="Garamond" w:hAnsi="Garamond"/>
        </w:rPr>
        <w:t>2007 state some broad principles, specifying a list of considerations that the Commissioner of Inland Revenue should take into account when deciding what is ‘income’ and what is not?</w:t>
      </w:r>
    </w:p>
    <w:p w14:paraId="01B878E1" w14:textId="77777777" w:rsidR="00DD7F22" w:rsidRPr="00381F61" w:rsidRDefault="00DD7F22" w:rsidP="00043E1D">
      <w:pPr>
        <w:ind w:left="709"/>
        <w:jc w:val="both"/>
        <w:rPr>
          <w:rFonts w:ascii="Garamond" w:hAnsi="Garamond"/>
        </w:rPr>
      </w:pPr>
    </w:p>
    <w:p w14:paraId="68E59F42" w14:textId="65DC0578" w:rsidR="00930044" w:rsidRPr="00381F61" w:rsidRDefault="00930044" w:rsidP="00043E1D">
      <w:pPr>
        <w:pStyle w:val="ListParagraph"/>
        <w:numPr>
          <w:ilvl w:val="0"/>
          <w:numId w:val="53"/>
        </w:numPr>
        <w:ind w:left="709"/>
        <w:jc w:val="both"/>
        <w:rPr>
          <w:rFonts w:ascii="Garamond" w:hAnsi="Garamond"/>
        </w:rPr>
      </w:pPr>
      <w:r w:rsidRPr="00381F61">
        <w:rPr>
          <w:rFonts w:ascii="Garamond" w:hAnsi="Garamond"/>
        </w:rPr>
        <w:t xml:space="preserve">Should the </w:t>
      </w:r>
      <w:r w:rsidR="00E90329" w:rsidRPr="00381F61">
        <w:rPr>
          <w:rFonts w:ascii="Garamond" w:hAnsi="Garamond"/>
        </w:rPr>
        <w:t>principles of ‘binding rulings’</w:t>
      </w:r>
      <w:r w:rsidR="00E90329" w:rsidRPr="00381F61">
        <w:rPr>
          <w:rStyle w:val="FootnoteReference"/>
          <w:rFonts w:ascii="Garamond" w:hAnsi="Garamond"/>
        </w:rPr>
        <w:footnoteReference w:id="231"/>
      </w:r>
      <w:r w:rsidR="00E90329" w:rsidRPr="00381F61">
        <w:rPr>
          <w:rFonts w:ascii="Garamond" w:hAnsi="Garamond"/>
        </w:rPr>
        <w:t xml:space="preserve"> be expanded to include a formal system of ‘practice notes’ that will give greater certainty of tax consequences</w:t>
      </w:r>
      <w:r w:rsidR="00DD7F22" w:rsidRPr="00381F61">
        <w:rPr>
          <w:rFonts w:ascii="Garamond" w:hAnsi="Garamond"/>
        </w:rPr>
        <w:t xml:space="preserve"> and increased flexibility</w:t>
      </w:r>
      <w:r w:rsidR="00E90329" w:rsidRPr="00381F61">
        <w:rPr>
          <w:rFonts w:ascii="Garamond" w:hAnsi="Garamond"/>
        </w:rPr>
        <w:t xml:space="preserve"> than the current court-based system?</w:t>
      </w:r>
    </w:p>
    <w:p w14:paraId="5EE8C799" w14:textId="77777777" w:rsidR="00A97583" w:rsidRPr="00381F61" w:rsidRDefault="00A97583" w:rsidP="00E71CEB">
      <w:pPr>
        <w:jc w:val="both"/>
        <w:rPr>
          <w:rFonts w:ascii="Garamond" w:hAnsi="Garamond"/>
        </w:rPr>
      </w:pPr>
      <w:r w:rsidRPr="00381F61">
        <w:rPr>
          <w:rFonts w:ascii="Garamond" w:hAnsi="Garamond"/>
        </w:rPr>
        <w:br w:type="page"/>
      </w:r>
    </w:p>
    <w:p w14:paraId="221851B1" w14:textId="19B3EEFC" w:rsidR="007E5319" w:rsidRPr="00381F61" w:rsidRDefault="00A97583" w:rsidP="008043AB">
      <w:pPr>
        <w:ind w:left="851" w:hanging="851"/>
        <w:jc w:val="both"/>
        <w:rPr>
          <w:rFonts w:ascii="Garamond" w:hAnsi="Garamond"/>
          <w:b/>
        </w:rPr>
      </w:pPr>
      <w:r w:rsidRPr="00381F61">
        <w:rPr>
          <w:rFonts w:ascii="Garamond" w:hAnsi="Garamond"/>
          <w:b/>
        </w:rPr>
        <w:t>1</w:t>
      </w:r>
      <w:r w:rsidR="00F519BC" w:rsidRPr="00381F61">
        <w:rPr>
          <w:rFonts w:ascii="Garamond" w:hAnsi="Garamond"/>
          <w:b/>
        </w:rPr>
        <w:t>8</w:t>
      </w:r>
      <w:r w:rsidRPr="00381F61">
        <w:rPr>
          <w:rFonts w:ascii="Garamond" w:hAnsi="Garamond"/>
          <w:b/>
        </w:rPr>
        <w:t>.</w:t>
      </w:r>
      <w:r w:rsidR="008043AB" w:rsidRPr="00381F61">
        <w:rPr>
          <w:rFonts w:ascii="Garamond" w:hAnsi="Garamond"/>
          <w:b/>
        </w:rPr>
        <w:tab/>
      </w:r>
      <w:r w:rsidR="007E5319" w:rsidRPr="00381F61">
        <w:rPr>
          <w:rFonts w:ascii="Garamond" w:hAnsi="Garamond"/>
          <w:b/>
        </w:rPr>
        <w:t xml:space="preserve">Disclosure – both initial and ongoing – the new regime is better in parts and worse in other parts – </w:t>
      </w:r>
      <w:r w:rsidR="0014159A" w:rsidRPr="00381F61">
        <w:rPr>
          <w:rFonts w:ascii="Garamond" w:hAnsi="Garamond"/>
          <w:b/>
        </w:rPr>
        <w:t>still a long way to go</w:t>
      </w:r>
    </w:p>
    <w:p w14:paraId="0B094F11" w14:textId="77777777" w:rsidR="00371BD5" w:rsidRPr="00381F61" w:rsidRDefault="00371BD5" w:rsidP="00E71CEB">
      <w:pPr>
        <w:jc w:val="both"/>
        <w:rPr>
          <w:rFonts w:ascii="Garamond" w:hAnsi="Garamond"/>
          <w:b/>
        </w:rPr>
      </w:pPr>
    </w:p>
    <w:p w14:paraId="58733E1B" w14:textId="1569DE6B" w:rsidR="00401C3D" w:rsidRPr="00381F61" w:rsidRDefault="00401C3D" w:rsidP="00E71CEB">
      <w:pPr>
        <w:jc w:val="both"/>
        <w:rPr>
          <w:rFonts w:ascii="Garamond" w:eastAsia="Calibri" w:hAnsi="Garamond"/>
          <w:lang w:eastAsia="en-NZ"/>
        </w:rPr>
      </w:pPr>
      <w:r w:rsidRPr="00381F61">
        <w:rPr>
          <w:rFonts w:ascii="Garamond" w:hAnsi="Garamond"/>
        </w:rPr>
        <w:t>A key aspect of saving and investing is the regulatory environment</w:t>
      </w:r>
      <w:r w:rsidR="0064671E" w:rsidRPr="00381F61">
        <w:rPr>
          <w:rFonts w:ascii="Garamond" w:hAnsi="Garamond"/>
        </w:rPr>
        <w:t xml:space="preserve"> and </w:t>
      </w:r>
      <w:r w:rsidR="00137321" w:rsidRPr="00381F61">
        <w:rPr>
          <w:rFonts w:ascii="Garamond" w:hAnsi="Garamond"/>
        </w:rPr>
        <w:t>its</w:t>
      </w:r>
      <w:r w:rsidR="0064671E" w:rsidRPr="00381F61">
        <w:rPr>
          <w:rFonts w:ascii="Garamond" w:hAnsi="Garamond"/>
        </w:rPr>
        <w:t xml:space="preserve"> disclosure requirements</w:t>
      </w:r>
      <w:r w:rsidRPr="00381F61">
        <w:rPr>
          <w:rFonts w:ascii="Garamond" w:hAnsi="Garamond"/>
        </w:rPr>
        <w:t>.  The Retirement Commissioner’s 2016</w:t>
      </w:r>
      <w:r w:rsidRPr="00381F61">
        <w:rPr>
          <w:rFonts w:ascii="Garamond" w:hAnsi="Garamond"/>
          <w:i/>
        </w:rPr>
        <w:t xml:space="preserve"> </w:t>
      </w:r>
      <w:r w:rsidRPr="00381F61">
        <w:rPr>
          <w:rFonts w:ascii="Garamond" w:hAnsi="Garamond"/>
        </w:rPr>
        <w:t>Review</w:t>
      </w:r>
      <w:r w:rsidRPr="00381F61">
        <w:rPr>
          <w:rFonts w:ascii="Garamond" w:eastAsia="Calibri" w:hAnsi="Garamond"/>
          <w:i/>
          <w:lang w:eastAsia="en-NZ"/>
        </w:rPr>
        <w:t xml:space="preserve"> </w:t>
      </w:r>
      <w:r w:rsidRPr="00381F61">
        <w:rPr>
          <w:rFonts w:ascii="Garamond" w:eastAsia="Calibri" w:hAnsi="Garamond"/>
          <w:lang w:eastAsia="en-NZ"/>
        </w:rPr>
        <w:t xml:space="preserve">(accessible </w:t>
      </w:r>
      <w:hyperlink r:id="rId66" w:history="1">
        <w:r w:rsidRPr="00381F61">
          <w:rPr>
            <w:rStyle w:val="Hyperlink"/>
            <w:rFonts w:ascii="Garamond" w:eastAsia="Calibri" w:hAnsi="Garamond"/>
            <w:lang w:eastAsia="en-NZ"/>
          </w:rPr>
          <w:t>here</w:t>
        </w:r>
      </w:hyperlink>
      <w:r w:rsidRPr="00381F61">
        <w:rPr>
          <w:rFonts w:ascii="Garamond" w:eastAsia="Calibri" w:hAnsi="Garamond"/>
          <w:lang w:eastAsia="en-NZ"/>
        </w:rPr>
        <w:t>) made no reference to the major changes that have been made to the disclosure regime as it affects collective investment vehicles (CIVs)</w:t>
      </w:r>
      <w:r w:rsidR="00371BD5" w:rsidRPr="00381F61">
        <w:rPr>
          <w:rFonts w:ascii="Garamond" w:eastAsia="Calibri" w:hAnsi="Garamond"/>
          <w:lang w:eastAsia="en-NZ"/>
        </w:rPr>
        <w:t xml:space="preserve"> and the impact on investors’ outcomes</w:t>
      </w:r>
      <w:r w:rsidRPr="00381F61">
        <w:rPr>
          <w:rFonts w:ascii="Garamond" w:eastAsia="Calibri" w:hAnsi="Garamond"/>
          <w:lang w:eastAsia="en-NZ"/>
        </w:rPr>
        <w:t>.</w:t>
      </w:r>
    </w:p>
    <w:p w14:paraId="28BA22E1" w14:textId="77777777" w:rsidR="00371BD5" w:rsidRPr="00381F61" w:rsidRDefault="00371BD5" w:rsidP="00371BD5">
      <w:pPr>
        <w:jc w:val="both"/>
        <w:rPr>
          <w:rFonts w:ascii="Garamond" w:eastAsia="Calibri" w:hAnsi="Garamond"/>
          <w:lang w:eastAsia="en-NZ"/>
        </w:rPr>
      </w:pPr>
    </w:p>
    <w:p w14:paraId="07D8D8ED" w14:textId="3388BC26" w:rsidR="00371BD5" w:rsidRPr="00381F61" w:rsidRDefault="00371BD5" w:rsidP="00371BD5">
      <w:pPr>
        <w:jc w:val="both"/>
        <w:rPr>
          <w:rFonts w:ascii="Garamond" w:eastAsia="Calibri" w:hAnsi="Garamond"/>
          <w:lang w:eastAsia="en-NZ"/>
        </w:rPr>
      </w:pPr>
      <w:r w:rsidRPr="00381F61">
        <w:rPr>
          <w:rFonts w:ascii="Garamond" w:eastAsia="Calibri" w:hAnsi="Garamond"/>
          <w:lang w:eastAsia="en-NZ"/>
        </w:rPr>
        <w:t xml:space="preserve">The regime today is based on a product disclosure statement (PDS), a published statement of investment policies and objectives (SIPO), quarterly fund updates (Fund Updates) and for KiwiSaver, annual statements.  For KiwiSaver, the annual statements </w:t>
      </w:r>
      <w:r w:rsidR="003A2F83" w:rsidRPr="00381F61">
        <w:rPr>
          <w:rFonts w:ascii="Garamond" w:eastAsia="Calibri" w:hAnsi="Garamond"/>
          <w:lang w:eastAsia="en-NZ"/>
        </w:rPr>
        <w:t xml:space="preserve">now </w:t>
      </w:r>
      <w:r w:rsidRPr="00381F61">
        <w:rPr>
          <w:rFonts w:ascii="Garamond" w:eastAsia="Calibri" w:hAnsi="Garamond"/>
          <w:lang w:eastAsia="en-NZ"/>
        </w:rPr>
        <w:t xml:space="preserve">require disclosure of the total fees in dollar amounts that were paid by the investor over the </w:t>
      </w:r>
      <w:r w:rsidR="0064671E" w:rsidRPr="00381F61">
        <w:rPr>
          <w:rFonts w:ascii="Garamond" w:eastAsia="Calibri" w:hAnsi="Garamond"/>
          <w:lang w:eastAsia="en-NZ"/>
        </w:rPr>
        <w:t xml:space="preserve">previous </w:t>
      </w:r>
      <w:r w:rsidRPr="00381F61">
        <w:rPr>
          <w:rFonts w:ascii="Garamond" w:eastAsia="Calibri" w:hAnsi="Garamond"/>
          <w:lang w:eastAsia="en-NZ"/>
        </w:rPr>
        <w:t>year.  The annual statements for KiwiSaver will shortly also require disclosure of the expected balance at retirement and the expected income that the balance will provide throughout retirement.</w:t>
      </w:r>
    </w:p>
    <w:p w14:paraId="388AE143" w14:textId="77777777" w:rsidR="00401C3D" w:rsidRPr="00381F61" w:rsidRDefault="00401C3D" w:rsidP="00E71CEB">
      <w:pPr>
        <w:jc w:val="both"/>
        <w:rPr>
          <w:rFonts w:ascii="Garamond" w:eastAsia="Calibri" w:hAnsi="Garamond"/>
          <w:lang w:eastAsia="en-NZ"/>
        </w:rPr>
      </w:pPr>
    </w:p>
    <w:p w14:paraId="1E351C99" w14:textId="06AE7CEB" w:rsidR="00A521CE" w:rsidRPr="00381F61" w:rsidRDefault="00A521CE" w:rsidP="00E71CEB">
      <w:pPr>
        <w:jc w:val="both"/>
        <w:rPr>
          <w:rFonts w:ascii="Garamond" w:hAnsi="Garamond"/>
        </w:rPr>
      </w:pPr>
      <w:r w:rsidRPr="00381F61">
        <w:rPr>
          <w:rFonts w:ascii="Garamond" w:hAnsi="Garamond"/>
        </w:rPr>
        <w:t xml:space="preserve">Over </w:t>
      </w:r>
      <w:r w:rsidR="00371BD5" w:rsidRPr="00381F61">
        <w:rPr>
          <w:rFonts w:ascii="Garamond" w:hAnsi="Garamond"/>
        </w:rPr>
        <w:t xml:space="preserve">the three </w:t>
      </w:r>
      <w:r w:rsidRPr="00381F61">
        <w:rPr>
          <w:rFonts w:ascii="Garamond" w:hAnsi="Garamond"/>
        </w:rPr>
        <w:t>years</w:t>
      </w:r>
      <w:r w:rsidR="0064671E" w:rsidRPr="00381F61">
        <w:rPr>
          <w:rFonts w:ascii="Garamond" w:hAnsi="Garamond"/>
        </w:rPr>
        <w:t xml:space="preserve"> to December 2016</w:t>
      </w:r>
      <w:r w:rsidRPr="00381F61">
        <w:rPr>
          <w:rFonts w:ascii="Garamond" w:hAnsi="Garamond"/>
        </w:rPr>
        <w:t>, New Zealand moved from a prospectus/investment statement regime to a licensed adviser, licensed manager</w:t>
      </w:r>
      <w:r w:rsidR="0064671E" w:rsidRPr="00381F61">
        <w:rPr>
          <w:rFonts w:ascii="Garamond" w:hAnsi="Garamond"/>
        </w:rPr>
        <w:t>, licen</w:t>
      </w:r>
      <w:r w:rsidR="00381F61">
        <w:rPr>
          <w:rFonts w:ascii="Garamond" w:hAnsi="Garamond"/>
        </w:rPr>
        <w:t>s</w:t>
      </w:r>
      <w:r w:rsidR="0064671E" w:rsidRPr="00381F61">
        <w:rPr>
          <w:rFonts w:ascii="Garamond" w:hAnsi="Garamond"/>
        </w:rPr>
        <w:t xml:space="preserve">ed supervisor and standardised disclosure documents </w:t>
      </w:r>
      <w:r w:rsidRPr="00381F61">
        <w:rPr>
          <w:rFonts w:ascii="Garamond" w:hAnsi="Garamond"/>
        </w:rPr>
        <w:t>regime.</w:t>
      </w:r>
    </w:p>
    <w:p w14:paraId="78BE61CF" w14:textId="77777777" w:rsidR="00A521CE" w:rsidRPr="00381F61" w:rsidRDefault="00A521CE" w:rsidP="00E71CEB">
      <w:pPr>
        <w:jc w:val="both"/>
        <w:rPr>
          <w:rFonts w:ascii="Garamond" w:hAnsi="Garamond"/>
        </w:rPr>
      </w:pPr>
    </w:p>
    <w:p w14:paraId="3C4B629D" w14:textId="1664CA13" w:rsidR="00A521CE" w:rsidRPr="00381F61" w:rsidRDefault="00A521CE" w:rsidP="00E71CEB">
      <w:pPr>
        <w:jc w:val="both"/>
        <w:rPr>
          <w:rFonts w:ascii="Garamond" w:hAnsi="Garamond"/>
        </w:rPr>
      </w:pPr>
      <w:r w:rsidRPr="00381F61">
        <w:rPr>
          <w:rFonts w:ascii="Garamond" w:hAnsi="Garamond"/>
        </w:rPr>
        <w:t>The objectives of th</w:t>
      </w:r>
      <w:r w:rsidR="0064671E" w:rsidRPr="00381F61">
        <w:rPr>
          <w:rFonts w:ascii="Garamond" w:hAnsi="Garamond"/>
        </w:rPr>
        <w:t>e</w:t>
      </w:r>
      <w:r w:rsidRPr="00381F61">
        <w:rPr>
          <w:rFonts w:ascii="Garamond" w:hAnsi="Garamond"/>
        </w:rPr>
        <w:t xml:space="preserve"> new regime were to create fair and efficient markets and to put the interests of the investor first.</w:t>
      </w:r>
      <w:r w:rsidR="00371BD5" w:rsidRPr="00381F61">
        <w:rPr>
          <w:rFonts w:ascii="Garamond" w:hAnsi="Garamond"/>
        </w:rPr>
        <w:t xml:space="preserve">  The disclosure documents were meant to make investment products more </w:t>
      </w:r>
      <w:r w:rsidR="0064671E" w:rsidRPr="00381F61">
        <w:rPr>
          <w:rFonts w:ascii="Garamond" w:hAnsi="Garamond"/>
        </w:rPr>
        <w:t xml:space="preserve">standardised and therefore more </w:t>
      </w:r>
      <w:r w:rsidR="00371BD5" w:rsidRPr="00381F61">
        <w:rPr>
          <w:rFonts w:ascii="Garamond" w:hAnsi="Garamond"/>
        </w:rPr>
        <w:t>comparable and easier to understand.</w:t>
      </w:r>
    </w:p>
    <w:p w14:paraId="156D0527" w14:textId="77777777" w:rsidR="00524ACB" w:rsidRPr="00381F61" w:rsidRDefault="00524ACB" w:rsidP="00E71CEB">
      <w:pPr>
        <w:jc w:val="both"/>
        <w:rPr>
          <w:rFonts w:ascii="Garamond" w:hAnsi="Garamond"/>
        </w:rPr>
      </w:pPr>
    </w:p>
    <w:p w14:paraId="126B74EC" w14:textId="6EFAE875" w:rsidR="00524ACB" w:rsidRPr="00381F61" w:rsidRDefault="00371BD5" w:rsidP="00E71CEB">
      <w:pPr>
        <w:jc w:val="both"/>
        <w:rPr>
          <w:rFonts w:ascii="Garamond" w:hAnsi="Garamond"/>
        </w:rPr>
      </w:pPr>
      <w:r w:rsidRPr="00381F61">
        <w:rPr>
          <w:rFonts w:ascii="Garamond" w:hAnsi="Garamond"/>
          <w:b/>
        </w:rPr>
        <w:t xml:space="preserve">The PDS regime: </w:t>
      </w:r>
      <w:r w:rsidR="00F125C4" w:rsidRPr="00381F61">
        <w:rPr>
          <w:rFonts w:ascii="Garamond" w:hAnsi="Garamond"/>
        </w:rPr>
        <w:t>A PDS has</w:t>
      </w:r>
      <w:r w:rsidR="00524ACB" w:rsidRPr="00381F61">
        <w:rPr>
          <w:rFonts w:ascii="Garamond" w:hAnsi="Garamond"/>
        </w:rPr>
        <w:t xml:space="preserve"> size requirement</w:t>
      </w:r>
      <w:r w:rsidR="00F125C4" w:rsidRPr="00381F61">
        <w:rPr>
          <w:rFonts w:ascii="Garamond" w:hAnsi="Garamond"/>
        </w:rPr>
        <w:t>s</w:t>
      </w:r>
      <w:r w:rsidR="00524ACB" w:rsidRPr="00381F61">
        <w:rPr>
          <w:rFonts w:ascii="Garamond" w:hAnsi="Garamond"/>
        </w:rPr>
        <w:t xml:space="preserve"> in that there are limits on the number of pages and the number of words used</w:t>
      </w:r>
      <w:r w:rsidR="00B179D4" w:rsidRPr="00381F61">
        <w:rPr>
          <w:rFonts w:ascii="Garamond" w:hAnsi="Garamond"/>
        </w:rPr>
        <w:t xml:space="preserve"> (</w:t>
      </w:r>
      <w:r w:rsidR="00F125C4" w:rsidRPr="00381F61">
        <w:rPr>
          <w:rFonts w:ascii="Garamond" w:hAnsi="Garamond"/>
        </w:rPr>
        <w:t xml:space="preserve">no more than 12 pages for a ‘collective investment vehicle’ or managed fund </w:t>
      </w:r>
      <w:r w:rsidR="00953E8B" w:rsidRPr="00381F61">
        <w:rPr>
          <w:rFonts w:ascii="Garamond" w:hAnsi="Garamond"/>
        </w:rPr>
        <w:t>or</w:t>
      </w:r>
      <w:r w:rsidR="00F125C4" w:rsidRPr="00381F61">
        <w:rPr>
          <w:rFonts w:ascii="Garamond" w:hAnsi="Garamond"/>
        </w:rPr>
        <w:t xml:space="preserve"> no more than 6,000 words</w:t>
      </w:r>
      <w:r w:rsidR="00F125C4" w:rsidRPr="00381F61">
        <w:rPr>
          <w:rStyle w:val="FootnoteReference"/>
          <w:rFonts w:ascii="Garamond" w:hAnsi="Garamond"/>
        </w:rPr>
        <w:footnoteReference w:id="232"/>
      </w:r>
      <w:r w:rsidR="00F125C4" w:rsidRPr="00381F61">
        <w:rPr>
          <w:rFonts w:ascii="Garamond" w:hAnsi="Garamond"/>
        </w:rPr>
        <w:t>)</w:t>
      </w:r>
      <w:r w:rsidR="00524ACB" w:rsidRPr="00381F61">
        <w:rPr>
          <w:rFonts w:ascii="Garamond" w:hAnsi="Garamond"/>
        </w:rPr>
        <w:t>.  Also, many of the words are prescriptive with issuers having limited opportunities to tailor the disclosure documents to their requirements.  The content is prescri</w:t>
      </w:r>
      <w:r w:rsidR="002515EE" w:rsidRPr="00381F61">
        <w:rPr>
          <w:rFonts w:ascii="Garamond" w:hAnsi="Garamond"/>
        </w:rPr>
        <w:t>bed</w:t>
      </w:r>
      <w:r w:rsidR="00524ACB" w:rsidRPr="00381F61">
        <w:rPr>
          <w:rFonts w:ascii="Garamond" w:hAnsi="Garamond"/>
        </w:rPr>
        <w:t xml:space="preserve"> and, therefore, rules-based and not principles-based.</w:t>
      </w:r>
      <w:r w:rsidR="0064671E" w:rsidRPr="00381F61">
        <w:rPr>
          <w:rFonts w:ascii="Garamond" w:hAnsi="Garamond"/>
        </w:rPr>
        <w:t xml:space="preserve">  There is no logical benefit in reading the same prescribed words in all PDSs</w:t>
      </w:r>
      <w:r w:rsidR="00381F61">
        <w:rPr>
          <w:rFonts w:ascii="Garamond" w:hAnsi="Garamond"/>
        </w:rPr>
        <w:t>;</w:t>
      </w:r>
      <w:r w:rsidR="0064671E" w:rsidRPr="00381F61">
        <w:rPr>
          <w:rFonts w:ascii="Garamond" w:hAnsi="Garamond"/>
        </w:rPr>
        <w:t xml:space="preserve"> for example</w:t>
      </w:r>
      <w:r w:rsidR="00381F61">
        <w:rPr>
          <w:rFonts w:ascii="Garamond" w:hAnsi="Garamond"/>
        </w:rPr>
        <w:t>,</w:t>
      </w:r>
      <w:r w:rsidR="0064671E" w:rsidRPr="00381F61">
        <w:rPr>
          <w:rFonts w:ascii="Garamond" w:hAnsi="Garamond"/>
        </w:rPr>
        <w:t xml:space="preserve"> the explanation of the risk indicator.  Such standardised prescription</w:t>
      </w:r>
      <w:r w:rsidR="003A2F83" w:rsidRPr="00381F61">
        <w:rPr>
          <w:rFonts w:ascii="Garamond" w:hAnsi="Garamond"/>
        </w:rPr>
        <w:t>s</w:t>
      </w:r>
      <w:r w:rsidR="0064671E" w:rsidRPr="00381F61">
        <w:rPr>
          <w:rFonts w:ascii="Garamond" w:hAnsi="Garamond"/>
        </w:rPr>
        <w:t>, if they are deemed important</w:t>
      </w:r>
      <w:r w:rsidR="00381F61">
        <w:rPr>
          <w:rFonts w:ascii="Garamond" w:hAnsi="Garamond"/>
        </w:rPr>
        <w:t>,</w:t>
      </w:r>
      <w:r w:rsidR="0064671E" w:rsidRPr="00381F61">
        <w:rPr>
          <w:rFonts w:ascii="Garamond" w:hAnsi="Garamond"/>
        </w:rPr>
        <w:t xml:space="preserve"> would be better </w:t>
      </w:r>
      <w:r w:rsidR="003A2F83" w:rsidRPr="00381F61">
        <w:rPr>
          <w:rFonts w:ascii="Garamond" w:hAnsi="Garamond"/>
        </w:rPr>
        <w:t>published</w:t>
      </w:r>
      <w:r w:rsidR="0064671E" w:rsidRPr="00381F61">
        <w:rPr>
          <w:rFonts w:ascii="Garamond" w:hAnsi="Garamond"/>
        </w:rPr>
        <w:t xml:space="preserve"> on the FMA’s website to free up more space </w:t>
      </w:r>
      <w:r w:rsidR="003A2F83" w:rsidRPr="00381F61">
        <w:rPr>
          <w:rFonts w:ascii="Garamond" w:hAnsi="Garamond"/>
        </w:rPr>
        <w:t xml:space="preserve">in the PDS itself </w:t>
      </w:r>
      <w:r w:rsidR="0064671E" w:rsidRPr="00381F61">
        <w:rPr>
          <w:rFonts w:ascii="Garamond" w:hAnsi="Garamond"/>
        </w:rPr>
        <w:t>for the things that really matter or</w:t>
      </w:r>
      <w:r w:rsidR="003A2F83" w:rsidRPr="00381F61">
        <w:rPr>
          <w:rFonts w:ascii="Garamond" w:hAnsi="Garamond"/>
        </w:rPr>
        <w:t xml:space="preserve"> even</w:t>
      </w:r>
      <w:r w:rsidR="0064671E" w:rsidRPr="00381F61">
        <w:rPr>
          <w:rFonts w:ascii="Garamond" w:hAnsi="Garamond"/>
        </w:rPr>
        <w:t xml:space="preserve"> to shorten the PDS.</w:t>
      </w:r>
    </w:p>
    <w:p w14:paraId="1C3B10FF" w14:textId="77777777" w:rsidR="00524ACB" w:rsidRPr="00381F61" w:rsidRDefault="00524ACB" w:rsidP="00E71CEB">
      <w:pPr>
        <w:jc w:val="both"/>
        <w:rPr>
          <w:rFonts w:ascii="Garamond" w:hAnsi="Garamond"/>
        </w:rPr>
      </w:pPr>
    </w:p>
    <w:p w14:paraId="43D175CC" w14:textId="693629DB" w:rsidR="00524ACB" w:rsidRPr="00381F61" w:rsidRDefault="00524ACB" w:rsidP="00E71CEB">
      <w:pPr>
        <w:jc w:val="both"/>
        <w:rPr>
          <w:rFonts w:ascii="Garamond" w:hAnsi="Garamond"/>
        </w:rPr>
      </w:pPr>
      <w:r w:rsidRPr="00381F61">
        <w:rPr>
          <w:rFonts w:ascii="Garamond" w:hAnsi="Garamond"/>
        </w:rPr>
        <w:t xml:space="preserve">Few would dispute that the old disclosure documents (prospectus and investment statements) were </w:t>
      </w:r>
      <w:r w:rsidR="00555047" w:rsidRPr="00381F61">
        <w:rPr>
          <w:rFonts w:ascii="Garamond" w:hAnsi="Garamond"/>
        </w:rPr>
        <w:t xml:space="preserve">not </w:t>
      </w:r>
      <w:r w:rsidRPr="00381F61">
        <w:rPr>
          <w:rFonts w:ascii="Garamond" w:hAnsi="Garamond"/>
        </w:rPr>
        <w:t xml:space="preserve">read by investors, even </w:t>
      </w:r>
      <w:r w:rsidR="0064671E" w:rsidRPr="00381F61">
        <w:rPr>
          <w:rFonts w:ascii="Garamond" w:hAnsi="Garamond"/>
        </w:rPr>
        <w:t xml:space="preserve">many </w:t>
      </w:r>
      <w:r w:rsidRPr="00381F61">
        <w:rPr>
          <w:rFonts w:ascii="Garamond" w:hAnsi="Garamond"/>
        </w:rPr>
        <w:t>‘professional’ investors.  Even if they were read, the level of understanding was probably limited.</w:t>
      </w:r>
    </w:p>
    <w:p w14:paraId="7AF219E7" w14:textId="77777777" w:rsidR="00524ACB" w:rsidRPr="00381F61" w:rsidRDefault="00524ACB" w:rsidP="00E71CEB">
      <w:pPr>
        <w:jc w:val="both"/>
        <w:rPr>
          <w:rFonts w:ascii="Garamond" w:hAnsi="Garamond"/>
        </w:rPr>
      </w:pPr>
    </w:p>
    <w:p w14:paraId="75A7BD3F" w14:textId="0E3D8F3E" w:rsidR="00524ACB" w:rsidRPr="00381F61" w:rsidRDefault="002515EE" w:rsidP="00E71CEB">
      <w:pPr>
        <w:jc w:val="both"/>
        <w:rPr>
          <w:rFonts w:ascii="Garamond" w:hAnsi="Garamond"/>
        </w:rPr>
      </w:pPr>
      <w:r w:rsidRPr="00381F61">
        <w:rPr>
          <w:rFonts w:ascii="Garamond" w:hAnsi="Garamond"/>
        </w:rPr>
        <w:t>We suggest</w:t>
      </w:r>
      <w:r w:rsidR="00524ACB" w:rsidRPr="00381F61">
        <w:rPr>
          <w:rFonts w:ascii="Garamond" w:hAnsi="Garamond"/>
        </w:rPr>
        <w:t xml:space="preserve"> that the new, shorter PDSs are </w:t>
      </w:r>
      <w:r w:rsidRPr="00381F61">
        <w:rPr>
          <w:rFonts w:ascii="Garamond" w:hAnsi="Garamond"/>
        </w:rPr>
        <w:t xml:space="preserve">also </w:t>
      </w:r>
      <w:r w:rsidR="0064671E" w:rsidRPr="00381F61">
        <w:rPr>
          <w:rFonts w:ascii="Garamond" w:hAnsi="Garamond"/>
        </w:rPr>
        <w:t xml:space="preserve">generally </w:t>
      </w:r>
      <w:r w:rsidR="00524ACB" w:rsidRPr="00381F61">
        <w:rPr>
          <w:rFonts w:ascii="Garamond" w:hAnsi="Garamond"/>
        </w:rPr>
        <w:t>unread</w:t>
      </w:r>
      <w:r w:rsidR="00C80C63" w:rsidRPr="00381F61">
        <w:rPr>
          <w:rStyle w:val="FootnoteReference"/>
          <w:rFonts w:ascii="Garamond" w:hAnsi="Garamond"/>
        </w:rPr>
        <w:footnoteReference w:id="233"/>
      </w:r>
      <w:r w:rsidR="00524ACB" w:rsidRPr="00381F61">
        <w:rPr>
          <w:rFonts w:ascii="Garamond" w:hAnsi="Garamond"/>
        </w:rPr>
        <w:t>.  Likewise, even if read, it is highly unlikely that an investor can gain a complete picture of the investment on offer</w:t>
      </w:r>
      <w:r w:rsidR="00DD438A" w:rsidRPr="00381F61">
        <w:rPr>
          <w:rFonts w:ascii="Garamond" w:hAnsi="Garamond"/>
        </w:rPr>
        <w:t xml:space="preserve"> and the true risks they will be exposed to</w:t>
      </w:r>
      <w:r w:rsidR="00524ACB" w:rsidRPr="00381F61">
        <w:rPr>
          <w:rFonts w:ascii="Garamond" w:hAnsi="Garamond"/>
        </w:rPr>
        <w:t>.</w:t>
      </w:r>
    </w:p>
    <w:p w14:paraId="19E3A43A" w14:textId="77777777" w:rsidR="00524ACB" w:rsidRPr="00381F61" w:rsidRDefault="00524ACB" w:rsidP="00E71CEB">
      <w:pPr>
        <w:jc w:val="both"/>
        <w:rPr>
          <w:rFonts w:ascii="Garamond" w:hAnsi="Garamond"/>
        </w:rPr>
      </w:pPr>
    </w:p>
    <w:p w14:paraId="2F984352" w14:textId="6AAD090D" w:rsidR="009A2215" w:rsidRPr="00381F61" w:rsidRDefault="00524ACB" w:rsidP="00E71CEB">
      <w:pPr>
        <w:jc w:val="both"/>
        <w:rPr>
          <w:rFonts w:ascii="Garamond" w:hAnsi="Garamond"/>
        </w:rPr>
      </w:pPr>
      <w:r w:rsidRPr="00381F61">
        <w:rPr>
          <w:rFonts w:ascii="Garamond" w:hAnsi="Garamond"/>
        </w:rPr>
        <w:t>One goal of the new regime was to make it easier to compare products</w:t>
      </w:r>
      <w:r w:rsidR="00BA3EB7" w:rsidRPr="00381F61">
        <w:rPr>
          <w:rFonts w:ascii="Garamond" w:hAnsi="Garamond"/>
        </w:rPr>
        <w:t xml:space="preserve"> and, to an extent, it achieves that.  </w:t>
      </w:r>
      <w:r w:rsidR="002C5FC1" w:rsidRPr="00381F61">
        <w:rPr>
          <w:rFonts w:ascii="Garamond" w:hAnsi="Garamond"/>
        </w:rPr>
        <w:t xml:space="preserve">It is easier to compare fees and </w:t>
      </w:r>
      <w:r w:rsidR="00371BD5" w:rsidRPr="00381F61">
        <w:rPr>
          <w:rFonts w:ascii="Garamond" w:hAnsi="Garamond"/>
        </w:rPr>
        <w:t xml:space="preserve">some </w:t>
      </w:r>
      <w:r w:rsidR="002C5FC1" w:rsidRPr="00381F61">
        <w:rPr>
          <w:rFonts w:ascii="Garamond" w:hAnsi="Garamond"/>
        </w:rPr>
        <w:t>features, such as</w:t>
      </w:r>
      <w:r w:rsidR="00DD438A" w:rsidRPr="00381F61">
        <w:rPr>
          <w:rFonts w:ascii="Garamond" w:hAnsi="Garamond"/>
        </w:rPr>
        <w:t xml:space="preserve"> contributions</w:t>
      </w:r>
      <w:r w:rsidR="002C5FC1" w:rsidRPr="00381F61">
        <w:rPr>
          <w:rFonts w:ascii="Garamond" w:hAnsi="Garamond"/>
        </w:rPr>
        <w:t>, withdrawal provisions etc.  However, it does not make it easy to understand investment strategy and philosophy</w:t>
      </w:r>
      <w:r w:rsidR="0064671E" w:rsidRPr="00381F61">
        <w:rPr>
          <w:rFonts w:ascii="Garamond" w:hAnsi="Garamond"/>
        </w:rPr>
        <w:t>,</w:t>
      </w:r>
      <w:r w:rsidR="002C5FC1" w:rsidRPr="00381F61">
        <w:rPr>
          <w:rFonts w:ascii="Garamond" w:hAnsi="Garamond"/>
        </w:rPr>
        <w:t xml:space="preserve"> except at a high level</w:t>
      </w:r>
      <w:r w:rsidR="00371BD5" w:rsidRPr="00381F61">
        <w:rPr>
          <w:rFonts w:ascii="Garamond" w:hAnsi="Garamond"/>
        </w:rPr>
        <w:t xml:space="preserve"> and in some cases, not even at a high level.</w:t>
      </w:r>
    </w:p>
    <w:p w14:paraId="0E1D9F30" w14:textId="21709B67" w:rsidR="00371BD5" w:rsidRPr="00381F61" w:rsidRDefault="00371BD5" w:rsidP="00E71CEB">
      <w:pPr>
        <w:jc w:val="both"/>
        <w:rPr>
          <w:rFonts w:ascii="Garamond" w:hAnsi="Garamond"/>
        </w:rPr>
      </w:pPr>
    </w:p>
    <w:p w14:paraId="78068346" w14:textId="417C0EDA" w:rsidR="00371BD5" w:rsidRPr="00381F61" w:rsidRDefault="00371BD5" w:rsidP="00E71CEB">
      <w:pPr>
        <w:jc w:val="both"/>
        <w:rPr>
          <w:rFonts w:ascii="Garamond" w:hAnsi="Garamond"/>
        </w:rPr>
      </w:pPr>
      <w:r w:rsidRPr="00381F61">
        <w:rPr>
          <w:rFonts w:ascii="Garamond" w:hAnsi="Garamond"/>
        </w:rPr>
        <w:t>To take two KiwiSaver schemes as examples:</w:t>
      </w:r>
    </w:p>
    <w:p w14:paraId="6F520869" w14:textId="597FA7DE" w:rsidR="00371BD5" w:rsidRPr="00381F61" w:rsidRDefault="00371BD5" w:rsidP="00891E0F">
      <w:pPr>
        <w:pStyle w:val="ListParagraph"/>
        <w:numPr>
          <w:ilvl w:val="0"/>
          <w:numId w:val="71"/>
        </w:numPr>
        <w:jc w:val="both"/>
        <w:rPr>
          <w:rFonts w:ascii="Garamond" w:hAnsi="Garamond"/>
        </w:rPr>
      </w:pPr>
      <w:r w:rsidRPr="00381F61">
        <w:rPr>
          <w:rFonts w:ascii="Garamond" w:hAnsi="Garamond"/>
          <w:b/>
        </w:rPr>
        <w:t>Simplicity’s</w:t>
      </w:r>
      <w:r w:rsidRPr="00381F61">
        <w:rPr>
          <w:rFonts w:ascii="Garamond" w:hAnsi="Garamond"/>
        </w:rPr>
        <w:t xml:space="preserve"> KiwiSaver Scheme’s PDS (as of 3 May 2019; accessible </w:t>
      </w:r>
      <w:hyperlink r:id="rId67" w:history="1">
        <w:r w:rsidRPr="00381F61">
          <w:rPr>
            <w:rStyle w:val="Hyperlink"/>
            <w:rFonts w:ascii="Garamond" w:hAnsi="Garamond"/>
          </w:rPr>
          <w:t>here</w:t>
        </w:r>
      </w:hyperlink>
      <w:r w:rsidRPr="00381F61">
        <w:rPr>
          <w:rFonts w:ascii="Garamond" w:hAnsi="Garamond"/>
        </w:rPr>
        <w:t>) does not tell an investor that (s)he can invest in only one of the four investment funds at a time.  So an investor doesn’t know that (s)he can’t have some savings in the ‘Balanced Fund</w:t>
      </w:r>
      <w:r w:rsidR="003A2F83" w:rsidRPr="00381F61">
        <w:rPr>
          <w:rFonts w:ascii="Garamond" w:hAnsi="Garamond"/>
        </w:rPr>
        <w:t>’</w:t>
      </w:r>
      <w:r w:rsidRPr="00381F61">
        <w:rPr>
          <w:rFonts w:ascii="Garamond" w:hAnsi="Garamond"/>
        </w:rPr>
        <w:t xml:space="preserve"> and some in the </w:t>
      </w:r>
      <w:r w:rsidR="003A2F83" w:rsidRPr="00381F61">
        <w:rPr>
          <w:rFonts w:ascii="Garamond" w:hAnsi="Garamond"/>
        </w:rPr>
        <w:t>‘</w:t>
      </w:r>
      <w:r w:rsidRPr="00381F61">
        <w:rPr>
          <w:rFonts w:ascii="Garamond" w:hAnsi="Garamond"/>
        </w:rPr>
        <w:t>Conservative Fund</w:t>
      </w:r>
      <w:r w:rsidR="003A2F83" w:rsidRPr="00381F61">
        <w:rPr>
          <w:rFonts w:ascii="Garamond" w:hAnsi="Garamond"/>
        </w:rPr>
        <w:t>’</w:t>
      </w:r>
      <w:r w:rsidRPr="00381F61">
        <w:rPr>
          <w:rFonts w:ascii="Garamond" w:hAnsi="Garamond"/>
        </w:rPr>
        <w:t xml:space="preserve">.  This is an important omission for an investor approaching retirement.  They probably will not want to switch from 60% in shares (Balanced Fund) to 30% in shares (Conservative Fund) in one transaction.  They should probably want to do that over time or with new savings.  </w:t>
      </w:r>
      <w:r w:rsidR="0064671E" w:rsidRPr="00381F61">
        <w:rPr>
          <w:rFonts w:ascii="Garamond" w:hAnsi="Garamond"/>
        </w:rPr>
        <w:t>While we think that this is a design flaw in the Simplicity KiwiSaver Scheme, what is more important is that potential investors are not told about it in the PDS.</w:t>
      </w:r>
    </w:p>
    <w:p w14:paraId="1AB78BCB" w14:textId="0151C6F1" w:rsidR="00371BD5" w:rsidRPr="00381F61" w:rsidRDefault="00371BD5" w:rsidP="00891E0F">
      <w:pPr>
        <w:pStyle w:val="ListParagraph"/>
        <w:numPr>
          <w:ilvl w:val="0"/>
          <w:numId w:val="71"/>
        </w:numPr>
        <w:jc w:val="both"/>
        <w:rPr>
          <w:rFonts w:ascii="Garamond" w:hAnsi="Garamond"/>
        </w:rPr>
      </w:pPr>
      <w:r w:rsidRPr="00381F61">
        <w:rPr>
          <w:rFonts w:ascii="Garamond" w:hAnsi="Garamond"/>
          <w:b/>
        </w:rPr>
        <w:t xml:space="preserve">SuperLife’s </w:t>
      </w:r>
      <w:r w:rsidRPr="00381F61">
        <w:rPr>
          <w:rFonts w:ascii="Garamond" w:hAnsi="Garamond"/>
        </w:rPr>
        <w:t xml:space="preserve">KiwiSaver scheme’s PDS (as of </w:t>
      </w:r>
      <w:r w:rsidR="006A4132" w:rsidRPr="00381F61">
        <w:rPr>
          <w:rFonts w:ascii="Garamond" w:hAnsi="Garamond"/>
        </w:rPr>
        <w:t>29 March</w:t>
      </w:r>
      <w:r w:rsidRPr="00381F61">
        <w:rPr>
          <w:rFonts w:ascii="Garamond" w:hAnsi="Garamond"/>
        </w:rPr>
        <w:t xml:space="preserve"> 2019; accessible </w:t>
      </w:r>
      <w:hyperlink r:id="rId68" w:history="1">
        <w:r w:rsidRPr="00381F61">
          <w:rPr>
            <w:rStyle w:val="Hyperlink"/>
            <w:rFonts w:ascii="Garamond" w:hAnsi="Garamond"/>
          </w:rPr>
          <w:t>here</w:t>
        </w:r>
      </w:hyperlink>
      <w:r w:rsidRPr="00381F61">
        <w:rPr>
          <w:rFonts w:ascii="Garamond" w:hAnsi="Garamond"/>
        </w:rPr>
        <w:t>) does not explain that an investor can have the interest and dividend income from bonds and shares automatically reinvested in bonds and shares</w:t>
      </w:r>
      <w:r w:rsidR="006A4132" w:rsidRPr="00381F61">
        <w:rPr>
          <w:rFonts w:ascii="Garamond" w:hAnsi="Garamond"/>
        </w:rPr>
        <w:t>,</w:t>
      </w:r>
      <w:r w:rsidRPr="00381F61">
        <w:rPr>
          <w:rFonts w:ascii="Garamond" w:hAnsi="Garamond"/>
        </w:rPr>
        <w:t xml:space="preserve"> or paid to the ‘NZ Cash Fund</w:t>
      </w:r>
      <w:r w:rsidR="00381F61">
        <w:rPr>
          <w:rFonts w:ascii="Garamond" w:hAnsi="Garamond"/>
        </w:rPr>
        <w:t>’</w:t>
      </w:r>
      <w:r w:rsidRPr="00381F61">
        <w:rPr>
          <w:rFonts w:ascii="Garamond" w:hAnsi="Garamond"/>
        </w:rPr>
        <w:t xml:space="preserve"> – this is particularly useful for those in retirement looking to draw down on their balance.</w:t>
      </w:r>
      <w:r w:rsidR="00212B97" w:rsidRPr="00381F61">
        <w:rPr>
          <w:rFonts w:ascii="Garamond" w:hAnsi="Garamond"/>
        </w:rPr>
        <w:t xml:space="preserve">  There is provision on the application form but no explanation and only if you have not chosen one of the standard options.</w:t>
      </w:r>
    </w:p>
    <w:p w14:paraId="0E7AA3EB" w14:textId="77777777" w:rsidR="00371BD5" w:rsidRPr="00381F61" w:rsidRDefault="00371BD5" w:rsidP="00371BD5">
      <w:pPr>
        <w:jc w:val="both"/>
        <w:rPr>
          <w:rFonts w:ascii="Garamond" w:hAnsi="Garamond"/>
        </w:rPr>
      </w:pPr>
    </w:p>
    <w:p w14:paraId="4F529258" w14:textId="39922EA6" w:rsidR="00371BD5" w:rsidRPr="00381F61" w:rsidRDefault="00371BD5">
      <w:pPr>
        <w:jc w:val="both"/>
        <w:rPr>
          <w:rFonts w:ascii="Garamond" w:hAnsi="Garamond"/>
        </w:rPr>
      </w:pPr>
      <w:r w:rsidRPr="00381F61">
        <w:rPr>
          <w:rFonts w:ascii="Garamond" w:hAnsi="Garamond"/>
        </w:rPr>
        <w:t xml:space="preserve">Under the legislative framework, each investment product has a </w:t>
      </w:r>
      <w:r w:rsidR="00381F61">
        <w:rPr>
          <w:rFonts w:ascii="Garamond" w:hAnsi="Garamond"/>
        </w:rPr>
        <w:t>“</w:t>
      </w:r>
      <w:r w:rsidRPr="00381F61">
        <w:rPr>
          <w:rFonts w:ascii="Garamond" w:hAnsi="Garamond"/>
        </w:rPr>
        <w:t>Supervisor</w:t>
      </w:r>
      <w:r w:rsidR="00381F61">
        <w:rPr>
          <w:rFonts w:ascii="Garamond" w:hAnsi="Garamond"/>
        </w:rPr>
        <w:t>”</w:t>
      </w:r>
      <w:r w:rsidRPr="00381F61">
        <w:rPr>
          <w:rFonts w:ascii="Garamond" w:hAnsi="Garamond"/>
        </w:rPr>
        <w:t xml:space="preserve">.  The Supervisor’s role is to make sure that the manager does what </w:t>
      </w:r>
      <w:r w:rsidR="001B1B68" w:rsidRPr="00381F61">
        <w:rPr>
          <w:rFonts w:ascii="Garamond" w:hAnsi="Garamond"/>
        </w:rPr>
        <w:t>it is</w:t>
      </w:r>
      <w:r w:rsidRPr="00381F61">
        <w:rPr>
          <w:rFonts w:ascii="Garamond" w:hAnsi="Garamond"/>
        </w:rPr>
        <w:t xml:space="preserve"> meant to do and what </w:t>
      </w:r>
      <w:r w:rsidR="001B1B68" w:rsidRPr="00381F61">
        <w:rPr>
          <w:rFonts w:ascii="Garamond" w:hAnsi="Garamond"/>
        </w:rPr>
        <w:t>it</w:t>
      </w:r>
      <w:r w:rsidRPr="00381F61">
        <w:rPr>
          <w:rFonts w:ascii="Garamond" w:hAnsi="Garamond"/>
        </w:rPr>
        <w:t xml:space="preserve"> say</w:t>
      </w:r>
      <w:r w:rsidR="001B1B68" w:rsidRPr="00381F61">
        <w:rPr>
          <w:rFonts w:ascii="Garamond" w:hAnsi="Garamond"/>
        </w:rPr>
        <w:t xml:space="preserve">s it </w:t>
      </w:r>
      <w:r w:rsidRPr="00381F61">
        <w:rPr>
          <w:rFonts w:ascii="Garamond" w:hAnsi="Garamond"/>
        </w:rPr>
        <w:t xml:space="preserve">will do.  </w:t>
      </w:r>
      <w:r w:rsidR="001B1B68" w:rsidRPr="00381F61">
        <w:rPr>
          <w:rFonts w:ascii="Garamond" w:hAnsi="Garamond"/>
        </w:rPr>
        <w:t>We</w:t>
      </w:r>
      <w:r w:rsidRPr="00381F61">
        <w:rPr>
          <w:rFonts w:ascii="Garamond" w:hAnsi="Garamond"/>
        </w:rPr>
        <w:t xml:space="preserve"> </w:t>
      </w:r>
      <w:r w:rsidR="001B1B68" w:rsidRPr="00381F61">
        <w:rPr>
          <w:rFonts w:ascii="Garamond" w:hAnsi="Garamond"/>
        </w:rPr>
        <w:t>sh</w:t>
      </w:r>
      <w:r w:rsidRPr="00381F61">
        <w:rPr>
          <w:rFonts w:ascii="Garamond" w:hAnsi="Garamond"/>
        </w:rPr>
        <w:t xml:space="preserve">ould therefore expect that the </w:t>
      </w:r>
      <w:r w:rsidR="00212B97" w:rsidRPr="00381F61">
        <w:rPr>
          <w:rFonts w:ascii="Garamond" w:hAnsi="Garamond"/>
        </w:rPr>
        <w:t>S</w:t>
      </w:r>
      <w:r w:rsidRPr="00381F61">
        <w:rPr>
          <w:rFonts w:ascii="Garamond" w:hAnsi="Garamond"/>
        </w:rPr>
        <w:t>upervisors would have picked up the deficiencies in the PDSs and encouraged managers to improve their disclosure</w:t>
      </w:r>
      <w:r w:rsidR="001B1B68" w:rsidRPr="00381F61">
        <w:rPr>
          <w:rFonts w:ascii="Garamond" w:hAnsi="Garamond"/>
        </w:rPr>
        <w:t>.  However, i</w:t>
      </w:r>
      <w:r w:rsidRPr="00381F61">
        <w:rPr>
          <w:rFonts w:ascii="Garamond" w:hAnsi="Garamond"/>
        </w:rPr>
        <w:t xml:space="preserve">n the same way they did not prevent the failure of many of the finance companies at the time of the global financial crisis, </w:t>
      </w:r>
      <w:r w:rsidR="003A2F83" w:rsidRPr="00381F61">
        <w:rPr>
          <w:rFonts w:ascii="Garamond" w:hAnsi="Garamond"/>
        </w:rPr>
        <w:t xml:space="preserve">Supervisors generally </w:t>
      </w:r>
      <w:r w:rsidRPr="00381F61">
        <w:rPr>
          <w:rFonts w:ascii="Garamond" w:hAnsi="Garamond"/>
        </w:rPr>
        <w:t>have not yet worked out what an investor’s interests look like</w:t>
      </w:r>
      <w:r w:rsidR="00212B97" w:rsidRPr="00381F61">
        <w:rPr>
          <w:rFonts w:ascii="Garamond" w:hAnsi="Garamond"/>
        </w:rPr>
        <w:t xml:space="preserve"> and what is important to an investor</w:t>
      </w:r>
      <w:r w:rsidRPr="00381F61">
        <w:rPr>
          <w:rFonts w:ascii="Garamond" w:hAnsi="Garamond"/>
        </w:rPr>
        <w:t xml:space="preserve">.  It would be good if the 2019 </w:t>
      </w:r>
      <w:r w:rsidR="001B1B68" w:rsidRPr="00381F61">
        <w:rPr>
          <w:rFonts w:ascii="Garamond" w:hAnsi="Garamond"/>
        </w:rPr>
        <w:t>R</w:t>
      </w:r>
      <w:r w:rsidRPr="00381F61">
        <w:rPr>
          <w:rFonts w:ascii="Garamond" w:hAnsi="Garamond"/>
        </w:rPr>
        <w:t>eview captured evidence of whether or not the new disclosure regime was working.</w:t>
      </w:r>
    </w:p>
    <w:p w14:paraId="719C39C1" w14:textId="77777777" w:rsidR="009A2215" w:rsidRPr="00381F61" w:rsidRDefault="009A2215" w:rsidP="00E71CEB">
      <w:pPr>
        <w:jc w:val="both"/>
        <w:rPr>
          <w:rFonts w:ascii="Garamond" w:hAnsi="Garamond"/>
        </w:rPr>
      </w:pPr>
    </w:p>
    <w:p w14:paraId="35E4D681" w14:textId="3F69FBD8" w:rsidR="009A2215" w:rsidRPr="00381F61" w:rsidRDefault="001C1FF5" w:rsidP="00E71CEB">
      <w:pPr>
        <w:jc w:val="both"/>
        <w:rPr>
          <w:rFonts w:ascii="Garamond" w:hAnsi="Garamond"/>
        </w:rPr>
      </w:pPr>
      <w:r w:rsidRPr="00381F61">
        <w:rPr>
          <w:rFonts w:ascii="Garamond" w:hAnsi="Garamond"/>
          <w:b/>
        </w:rPr>
        <w:t xml:space="preserve">Investment categories: </w:t>
      </w:r>
      <w:r w:rsidR="009A2215" w:rsidRPr="00381F61">
        <w:rPr>
          <w:rFonts w:ascii="Garamond" w:hAnsi="Garamond"/>
        </w:rPr>
        <w:t>A PDS must disclose investment categories but these are artificially constrained, presumably to simplify the PDS.  Two examples illustrate the problem with this kind of ‘simplification’:</w:t>
      </w:r>
    </w:p>
    <w:p w14:paraId="4353F560" w14:textId="77777777" w:rsidR="007F3D38" w:rsidRPr="00381F61" w:rsidRDefault="007F3D38" w:rsidP="00E71CEB">
      <w:pPr>
        <w:jc w:val="both"/>
        <w:rPr>
          <w:rFonts w:ascii="Garamond" w:hAnsi="Garamond"/>
          <w:sz w:val="8"/>
          <w:szCs w:val="8"/>
        </w:rPr>
      </w:pPr>
    </w:p>
    <w:p w14:paraId="1DD3BB61" w14:textId="09F68931" w:rsidR="009A2215" w:rsidRPr="00381F61" w:rsidRDefault="009A2215" w:rsidP="00563816">
      <w:pPr>
        <w:pStyle w:val="ListParagraph"/>
        <w:numPr>
          <w:ilvl w:val="0"/>
          <w:numId w:val="29"/>
        </w:numPr>
        <w:jc w:val="both"/>
        <w:rPr>
          <w:rFonts w:ascii="Garamond" w:hAnsi="Garamond"/>
        </w:rPr>
      </w:pPr>
      <w:r w:rsidRPr="00381F61">
        <w:rPr>
          <w:rFonts w:ascii="Garamond" w:hAnsi="Garamond"/>
        </w:rPr>
        <w:t>A New Zealand share fund must be disclosed as part of ‘Australasian shares’ rather than separately by each country.  So</w:t>
      </w:r>
      <w:r w:rsidR="007F3D38" w:rsidRPr="00381F61">
        <w:rPr>
          <w:rFonts w:ascii="Garamond" w:hAnsi="Garamond"/>
        </w:rPr>
        <w:t>,</w:t>
      </w:r>
      <w:r w:rsidRPr="00381F61">
        <w:rPr>
          <w:rFonts w:ascii="Garamond" w:hAnsi="Garamond"/>
        </w:rPr>
        <w:t xml:space="preserve"> the PDS for two separate CIVs might each disclose </w:t>
      </w:r>
      <w:r w:rsidR="007F3D38" w:rsidRPr="00381F61">
        <w:rPr>
          <w:rFonts w:ascii="Garamond" w:hAnsi="Garamond"/>
        </w:rPr>
        <w:t>that, say, 20% of the portfolio is</w:t>
      </w:r>
      <w:r w:rsidRPr="00381F61">
        <w:rPr>
          <w:rFonts w:ascii="Garamond" w:hAnsi="Garamond"/>
        </w:rPr>
        <w:t xml:space="preserve"> in ‘Australasian shares’ but one has all of that in Australian shares while the other has it all in New Zealand.</w:t>
      </w:r>
      <w:r w:rsidR="007F3D38" w:rsidRPr="00381F61">
        <w:rPr>
          <w:rFonts w:ascii="Garamond" w:hAnsi="Garamond"/>
        </w:rPr>
        <w:t xml:space="preserve">  Neither has to disclose that difference nor </w:t>
      </w:r>
      <w:r w:rsidR="003A2F83" w:rsidRPr="00381F61">
        <w:rPr>
          <w:rFonts w:ascii="Garamond" w:hAnsi="Garamond"/>
        </w:rPr>
        <w:t xml:space="preserve">to </w:t>
      </w:r>
      <w:r w:rsidR="007F3D38" w:rsidRPr="00381F61">
        <w:rPr>
          <w:rFonts w:ascii="Garamond" w:hAnsi="Garamond"/>
        </w:rPr>
        <w:t>explain whether the portfolio can move from one to the other if, indeed, that might happen.</w:t>
      </w:r>
    </w:p>
    <w:p w14:paraId="0B8C3784" w14:textId="77777777" w:rsidR="007F3D38" w:rsidRPr="00381F61" w:rsidRDefault="007F3D38" w:rsidP="00563816">
      <w:pPr>
        <w:pStyle w:val="ListParagraph"/>
        <w:jc w:val="both"/>
        <w:rPr>
          <w:rFonts w:ascii="Garamond" w:hAnsi="Garamond"/>
          <w:sz w:val="8"/>
          <w:szCs w:val="8"/>
        </w:rPr>
      </w:pPr>
    </w:p>
    <w:p w14:paraId="24C0DFC0" w14:textId="047B5486" w:rsidR="009A2215" w:rsidRPr="00381F61" w:rsidRDefault="009A2215" w:rsidP="00563816">
      <w:pPr>
        <w:pStyle w:val="ListParagraph"/>
        <w:numPr>
          <w:ilvl w:val="0"/>
          <w:numId w:val="29"/>
        </w:numPr>
        <w:jc w:val="both"/>
        <w:rPr>
          <w:rFonts w:ascii="Garamond" w:hAnsi="Garamond"/>
        </w:rPr>
      </w:pPr>
      <w:r w:rsidRPr="00381F61">
        <w:rPr>
          <w:rFonts w:ascii="Garamond" w:hAnsi="Garamond"/>
        </w:rPr>
        <w:t xml:space="preserve">An ‘emerging markets’ fund must be disclosed as ‘international shares’ but there is a world of investment difference between a fund that invests solely in, say, East Asia compared with one that invests in a fund that tracks the </w:t>
      </w:r>
      <w:r w:rsidR="00212B97" w:rsidRPr="00381F61">
        <w:rPr>
          <w:rFonts w:ascii="Garamond" w:hAnsi="Garamond"/>
        </w:rPr>
        <w:t xml:space="preserve">S&amp;P 500 </w:t>
      </w:r>
      <w:r w:rsidRPr="00381F61">
        <w:rPr>
          <w:rFonts w:ascii="Garamond" w:hAnsi="Garamond"/>
        </w:rPr>
        <w:t>Index.</w:t>
      </w:r>
    </w:p>
    <w:p w14:paraId="4A13F3FF" w14:textId="77777777" w:rsidR="009A2215" w:rsidRPr="00381F61" w:rsidRDefault="009A2215">
      <w:pPr>
        <w:jc w:val="both"/>
        <w:rPr>
          <w:rFonts w:ascii="Garamond" w:hAnsi="Garamond"/>
        </w:rPr>
      </w:pPr>
    </w:p>
    <w:p w14:paraId="2D8F4AEF" w14:textId="300502EF" w:rsidR="009A2215" w:rsidRPr="00381F61" w:rsidRDefault="009A2215">
      <w:pPr>
        <w:jc w:val="both"/>
        <w:rPr>
          <w:rFonts w:ascii="Garamond" w:hAnsi="Garamond"/>
        </w:rPr>
      </w:pPr>
      <w:r w:rsidRPr="00381F61">
        <w:rPr>
          <w:rFonts w:ascii="Garamond" w:hAnsi="Garamond"/>
        </w:rPr>
        <w:t>On these issues, the prescribed PDS disclosure illustrate</w:t>
      </w:r>
      <w:r w:rsidR="00FA70EA" w:rsidRPr="00381F61">
        <w:rPr>
          <w:rFonts w:ascii="Garamond" w:hAnsi="Garamond"/>
        </w:rPr>
        <w:t>s</w:t>
      </w:r>
      <w:r w:rsidRPr="00381F61">
        <w:rPr>
          <w:rFonts w:ascii="Garamond" w:hAnsi="Garamond"/>
        </w:rPr>
        <w:t xml:space="preserve"> the dangers of ‘simplification’ – what looks like ‘simple’ has become ‘simplistic’ and has actually got in the way of relevant communication.</w:t>
      </w:r>
    </w:p>
    <w:p w14:paraId="4A281216" w14:textId="77777777" w:rsidR="00251961" w:rsidRPr="00381F61" w:rsidRDefault="00251961" w:rsidP="00E71CEB">
      <w:pPr>
        <w:jc w:val="both"/>
        <w:rPr>
          <w:rFonts w:ascii="Garamond" w:hAnsi="Garamond"/>
        </w:rPr>
      </w:pPr>
    </w:p>
    <w:p w14:paraId="5FEF729F" w14:textId="635AD0C7" w:rsidR="001C1FF5" w:rsidRPr="00381F61" w:rsidRDefault="001C1FF5" w:rsidP="00E71CEB">
      <w:pPr>
        <w:jc w:val="both"/>
        <w:rPr>
          <w:rFonts w:ascii="Garamond" w:hAnsi="Garamond"/>
        </w:rPr>
      </w:pPr>
      <w:r w:rsidRPr="00381F61">
        <w:rPr>
          <w:rFonts w:ascii="Garamond" w:hAnsi="Garamond"/>
          <w:b/>
        </w:rPr>
        <w:t xml:space="preserve">Risk indicators: </w:t>
      </w:r>
      <w:r w:rsidR="00821F74" w:rsidRPr="00381F61">
        <w:rPr>
          <w:rFonts w:ascii="Garamond" w:hAnsi="Garamond"/>
        </w:rPr>
        <w:t>The</w:t>
      </w:r>
      <w:r w:rsidRPr="00381F61">
        <w:rPr>
          <w:rFonts w:ascii="Garamond" w:hAnsi="Garamond"/>
        </w:rPr>
        <w:t xml:space="preserve"> PDS must </w:t>
      </w:r>
      <w:r w:rsidR="00821F74" w:rsidRPr="00381F61">
        <w:rPr>
          <w:rFonts w:ascii="Garamond" w:hAnsi="Garamond"/>
        </w:rPr>
        <w:t xml:space="preserve">show a ‘risk indicator’ for each of the funds on offer (as an example, see </w:t>
      </w:r>
      <w:hyperlink r:id="rId69" w:history="1">
        <w:r w:rsidR="00821F74" w:rsidRPr="00381F61">
          <w:rPr>
            <w:rStyle w:val="Hyperlink"/>
            <w:rFonts w:ascii="Garamond" w:hAnsi="Garamond"/>
          </w:rPr>
          <w:t>here</w:t>
        </w:r>
      </w:hyperlink>
      <w:r w:rsidR="00821F74" w:rsidRPr="00381F61">
        <w:rPr>
          <w:rFonts w:ascii="Garamond" w:hAnsi="Garamond"/>
        </w:rPr>
        <w:t xml:space="preserve"> for the BNZ KiwiSaver Scheme’s PDS at page </w:t>
      </w:r>
      <w:r w:rsidR="00E24858" w:rsidRPr="00381F61">
        <w:rPr>
          <w:rFonts w:ascii="Garamond" w:hAnsi="Garamond"/>
        </w:rPr>
        <w:t>2</w:t>
      </w:r>
      <w:r w:rsidR="00821F74" w:rsidRPr="00381F61">
        <w:rPr>
          <w:rFonts w:ascii="Garamond" w:hAnsi="Garamond"/>
        </w:rPr>
        <w:t>).</w:t>
      </w:r>
      <w:r w:rsidR="007F3D38" w:rsidRPr="00381F61">
        <w:rPr>
          <w:rFonts w:ascii="Garamond" w:hAnsi="Garamond"/>
        </w:rPr>
        <w:t xml:space="preserve">  The government </w:t>
      </w:r>
      <w:r w:rsidR="00821F74" w:rsidRPr="00381F61">
        <w:rPr>
          <w:rFonts w:ascii="Garamond" w:hAnsi="Garamond"/>
        </w:rPr>
        <w:t>force</w:t>
      </w:r>
      <w:r w:rsidR="007F3D38" w:rsidRPr="00381F61">
        <w:rPr>
          <w:rFonts w:ascii="Garamond" w:hAnsi="Garamond"/>
        </w:rPr>
        <w:t>s providers to identify</w:t>
      </w:r>
      <w:r w:rsidR="00821F74" w:rsidRPr="00381F61">
        <w:rPr>
          <w:rFonts w:ascii="Garamond" w:hAnsi="Garamond"/>
        </w:rPr>
        <w:t xml:space="preserve"> the ‘risk’ of a p</w:t>
      </w:r>
      <w:r w:rsidR="007F3D38" w:rsidRPr="00381F61">
        <w:rPr>
          <w:rFonts w:ascii="Garamond" w:hAnsi="Garamond"/>
        </w:rPr>
        <w:t>roduct and capture</w:t>
      </w:r>
      <w:r w:rsidR="00821F74" w:rsidRPr="00381F61">
        <w:rPr>
          <w:rFonts w:ascii="Garamond" w:hAnsi="Garamond"/>
        </w:rPr>
        <w:t xml:space="preserve"> that in a single number (</w:t>
      </w:r>
      <w:r w:rsidR="007F3532" w:rsidRPr="00381F61">
        <w:rPr>
          <w:rFonts w:ascii="Garamond" w:hAnsi="Garamond"/>
        </w:rPr>
        <w:t xml:space="preserve">from 1 ‘lower risk’ to </w:t>
      </w:r>
      <w:r w:rsidR="00821F74" w:rsidRPr="00381F61">
        <w:rPr>
          <w:rFonts w:ascii="Garamond" w:hAnsi="Garamond"/>
        </w:rPr>
        <w:t>7</w:t>
      </w:r>
      <w:r w:rsidR="007F3532" w:rsidRPr="00381F61">
        <w:rPr>
          <w:rFonts w:ascii="Garamond" w:hAnsi="Garamond"/>
        </w:rPr>
        <w:t xml:space="preserve"> ‘higher risk’</w:t>
      </w:r>
      <w:r w:rsidR="00821F74" w:rsidRPr="00381F61">
        <w:rPr>
          <w:rFonts w:ascii="Garamond" w:hAnsi="Garamond"/>
        </w:rPr>
        <w:t>).</w:t>
      </w:r>
    </w:p>
    <w:p w14:paraId="27662BC9" w14:textId="77777777" w:rsidR="00EA5EF8" w:rsidRPr="00381F61" w:rsidRDefault="00EA5EF8" w:rsidP="00E71CEB">
      <w:pPr>
        <w:jc w:val="both"/>
        <w:rPr>
          <w:rFonts w:ascii="Garamond" w:hAnsi="Garamond"/>
        </w:rPr>
      </w:pPr>
    </w:p>
    <w:p w14:paraId="50465B08" w14:textId="0A663ADA" w:rsidR="00EA5EF8" w:rsidRPr="00381F61" w:rsidRDefault="00EA5EF8" w:rsidP="00E71CEB">
      <w:pPr>
        <w:jc w:val="both"/>
        <w:rPr>
          <w:rFonts w:ascii="Garamond" w:hAnsi="Garamond"/>
        </w:rPr>
      </w:pPr>
      <w:r w:rsidRPr="00381F61">
        <w:rPr>
          <w:rFonts w:ascii="Garamond" w:hAnsi="Garamond"/>
        </w:rPr>
        <w:t xml:space="preserve">We think the ‘Risk indicator’ is misleading and unhelpful and should be eliminated.  It assumes that the saver’s </w:t>
      </w:r>
      <w:r w:rsidR="007072DD" w:rsidRPr="00381F61">
        <w:rPr>
          <w:rFonts w:ascii="Garamond" w:hAnsi="Garamond"/>
        </w:rPr>
        <w:t xml:space="preserve">relevant </w:t>
      </w:r>
      <w:r w:rsidRPr="00381F61">
        <w:rPr>
          <w:rFonts w:ascii="Garamond" w:hAnsi="Garamond"/>
        </w:rPr>
        <w:t>investment timeframe is 12 months (</w:t>
      </w:r>
      <w:r w:rsidR="003A2F83" w:rsidRPr="00381F61">
        <w:rPr>
          <w:rFonts w:ascii="Garamond" w:hAnsi="Garamond"/>
        </w:rPr>
        <w:t xml:space="preserve">almost never </w:t>
      </w:r>
      <w:r w:rsidRPr="00381F61">
        <w:rPr>
          <w:rFonts w:ascii="Garamond" w:hAnsi="Garamond"/>
        </w:rPr>
        <w:t>the actual case).  It also uses investment returns</w:t>
      </w:r>
      <w:r w:rsidR="00212B97" w:rsidRPr="00381F61">
        <w:rPr>
          <w:rFonts w:ascii="Garamond" w:hAnsi="Garamond"/>
        </w:rPr>
        <w:t>,</w:t>
      </w:r>
      <w:r w:rsidRPr="00381F61">
        <w:rPr>
          <w:rFonts w:ascii="Garamond" w:hAnsi="Garamond"/>
        </w:rPr>
        <w:t xml:space="preserve"> </w:t>
      </w:r>
      <w:r w:rsidR="00212B97" w:rsidRPr="00381F61">
        <w:rPr>
          <w:rFonts w:ascii="Garamond" w:hAnsi="Garamond"/>
        </w:rPr>
        <w:t xml:space="preserve">to calculate the risk indicator, </w:t>
      </w:r>
      <w:r w:rsidRPr="00381F61">
        <w:rPr>
          <w:rFonts w:ascii="Garamond" w:hAnsi="Garamond"/>
        </w:rPr>
        <w:t xml:space="preserve">that are different from those advised to savers in their fund updates.  Finally, it is based solely on </w:t>
      </w:r>
      <w:r w:rsidR="00212B97" w:rsidRPr="00381F61">
        <w:rPr>
          <w:rFonts w:ascii="Garamond" w:hAnsi="Garamond"/>
        </w:rPr>
        <w:t xml:space="preserve">recent historical </w:t>
      </w:r>
      <w:r w:rsidRPr="00381F61">
        <w:rPr>
          <w:rFonts w:ascii="Garamond" w:hAnsi="Garamond"/>
        </w:rPr>
        <w:t>volatility and is unrelated to the actual returns earned by the fund.</w:t>
      </w:r>
      <w:r w:rsidR="0034012F" w:rsidRPr="00381F61">
        <w:rPr>
          <w:rFonts w:ascii="Garamond" w:hAnsi="Garamond"/>
        </w:rPr>
        <w:t xml:space="preserve">  </w:t>
      </w:r>
      <w:r w:rsidR="001B1B68" w:rsidRPr="00381F61">
        <w:rPr>
          <w:rFonts w:ascii="Garamond" w:hAnsi="Garamond"/>
        </w:rPr>
        <w:t xml:space="preserve">The risk indicator </w:t>
      </w:r>
      <w:r w:rsidR="00206591" w:rsidRPr="00381F61">
        <w:rPr>
          <w:rFonts w:ascii="Garamond" w:hAnsi="Garamond"/>
        </w:rPr>
        <w:t>tries to simplify the issue but ends up as a simplistic</w:t>
      </w:r>
      <w:r w:rsidR="007F3532" w:rsidRPr="00381F61">
        <w:rPr>
          <w:rFonts w:ascii="Garamond" w:hAnsi="Garamond"/>
        </w:rPr>
        <w:t xml:space="preserve"> label.</w:t>
      </w:r>
    </w:p>
    <w:p w14:paraId="1AD9701C" w14:textId="77777777" w:rsidR="00821F74" w:rsidRPr="00381F61" w:rsidRDefault="00821F74" w:rsidP="00E71CEB">
      <w:pPr>
        <w:jc w:val="both"/>
        <w:rPr>
          <w:rFonts w:ascii="Garamond" w:hAnsi="Garamond"/>
        </w:rPr>
      </w:pPr>
    </w:p>
    <w:p w14:paraId="3BAAD9B8" w14:textId="2DFBB601" w:rsidR="00251961" w:rsidRPr="00381F61" w:rsidRDefault="00EA5EF8" w:rsidP="00E71CEB">
      <w:pPr>
        <w:jc w:val="both"/>
        <w:rPr>
          <w:rFonts w:ascii="Garamond" w:hAnsi="Garamond"/>
        </w:rPr>
      </w:pPr>
      <w:r w:rsidRPr="00381F61">
        <w:rPr>
          <w:rFonts w:ascii="Garamond" w:hAnsi="Garamond"/>
          <w:b/>
        </w:rPr>
        <w:t xml:space="preserve">Effective communication?  </w:t>
      </w:r>
      <w:r w:rsidR="00251961" w:rsidRPr="00381F61">
        <w:rPr>
          <w:rFonts w:ascii="Garamond" w:hAnsi="Garamond"/>
        </w:rPr>
        <w:t>The Retirement Commissioner’s 2016 Review did not look at the question of how</w:t>
      </w:r>
      <w:r w:rsidR="00F92DA3" w:rsidRPr="00381F61">
        <w:rPr>
          <w:rFonts w:ascii="Garamond" w:hAnsi="Garamond"/>
        </w:rPr>
        <w:t xml:space="preserve"> well members were served</w:t>
      </w:r>
      <w:r w:rsidR="00CD1966" w:rsidRPr="00381F61">
        <w:rPr>
          <w:rFonts w:ascii="Garamond" w:hAnsi="Garamond"/>
        </w:rPr>
        <w:t xml:space="preserve"> by the new regime </w:t>
      </w:r>
      <w:r w:rsidR="002975A3" w:rsidRPr="00381F61">
        <w:rPr>
          <w:rFonts w:ascii="Garamond" w:hAnsi="Garamond"/>
        </w:rPr>
        <w:t>n</w:t>
      </w:r>
      <w:r w:rsidR="00CD1966" w:rsidRPr="00381F61">
        <w:rPr>
          <w:rFonts w:ascii="Garamond" w:hAnsi="Garamond"/>
        </w:rPr>
        <w:t xml:space="preserve">or whether it had improved the </w:t>
      </w:r>
      <w:r w:rsidR="00F92DA3" w:rsidRPr="00381F61">
        <w:rPr>
          <w:rFonts w:ascii="Garamond" w:hAnsi="Garamond"/>
        </w:rPr>
        <w:t>managers’ practices</w:t>
      </w:r>
      <w:r w:rsidR="00CD1966" w:rsidRPr="00381F61">
        <w:rPr>
          <w:rFonts w:ascii="Garamond" w:hAnsi="Garamond"/>
        </w:rPr>
        <w:t>.  It also did not look at the additional compliance costs imposed on the industry but that are ultimately passed through to the investor.</w:t>
      </w:r>
    </w:p>
    <w:p w14:paraId="635FC88E" w14:textId="77777777" w:rsidR="00401C3D" w:rsidRPr="00381F61" w:rsidRDefault="00401C3D" w:rsidP="00E71CEB">
      <w:pPr>
        <w:jc w:val="both"/>
        <w:rPr>
          <w:rFonts w:ascii="Garamond" w:hAnsi="Garamond"/>
        </w:rPr>
      </w:pPr>
    </w:p>
    <w:p w14:paraId="1BD3B122" w14:textId="6905F4F7" w:rsidR="008A1D09" w:rsidRPr="00381F61" w:rsidRDefault="008342C2" w:rsidP="00563816">
      <w:pPr>
        <w:jc w:val="both"/>
        <w:rPr>
          <w:rFonts w:ascii="Garamond" w:hAnsi="Garamond"/>
        </w:rPr>
      </w:pPr>
      <w:r w:rsidRPr="00381F61">
        <w:rPr>
          <w:rFonts w:ascii="Garamond" w:hAnsi="Garamond"/>
        </w:rPr>
        <w:t xml:space="preserve">Research indicates that different people learn and comprehend information in different ways.  Logic suggests therefore that having a single, prescriptive disclosure regime targets, at most, </w:t>
      </w:r>
      <w:r w:rsidR="00555047" w:rsidRPr="00381F61">
        <w:rPr>
          <w:rFonts w:ascii="Garamond" w:hAnsi="Garamond"/>
        </w:rPr>
        <w:t xml:space="preserve">only </w:t>
      </w:r>
      <w:r w:rsidRPr="00381F61">
        <w:rPr>
          <w:rFonts w:ascii="Garamond" w:hAnsi="Garamond"/>
        </w:rPr>
        <w:t xml:space="preserve">one part of the community.  A better alternative would be a principles-based </w:t>
      </w:r>
      <w:r w:rsidR="00EF5EBD" w:rsidRPr="00381F61">
        <w:rPr>
          <w:rFonts w:ascii="Garamond" w:hAnsi="Garamond"/>
        </w:rPr>
        <w:t>regime where providers of services or the sellers of products are required to achieve ‘understanding’ outcomes.  This would require the regime to identify:</w:t>
      </w:r>
    </w:p>
    <w:p w14:paraId="6625C4E9" w14:textId="77777777" w:rsidR="004A6FB7" w:rsidRPr="00381F61" w:rsidRDefault="004A6FB7" w:rsidP="00563816">
      <w:pPr>
        <w:jc w:val="both"/>
        <w:rPr>
          <w:rFonts w:ascii="Garamond" w:hAnsi="Garamond"/>
          <w:sz w:val="8"/>
          <w:szCs w:val="8"/>
        </w:rPr>
      </w:pPr>
    </w:p>
    <w:p w14:paraId="1AD3F93D" w14:textId="640AA248" w:rsidR="00EF5EBD" w:rsidRPr="00381F61" w:rsidRDefault="00EF5EBD" w:rsidP="00043E1D">
      <w:pPr>
        <w:pStyle w:val="ListParagraph"/>
        <w:numPr>
          <w:ilvl w:val="0"/>
          <w:numId w:val="29"/>
        </w:numPr>
        <w:jc w:val="both"/>
        <w:rPr>
          <w:rFonts w:ascii="Garamond" w:hAnsi="Garamond"/>
        </w:rPr>
      </w:pPr>
      <w:r w:rsidRPr="00381F61">
        <w:rPr>
          <w:rFonts w:ascii="Garamond" w:hAnsi="Garamond"/>
        </w:rPr>
        <w:t xml:space="preserve">What investors (the </w:t>
      </w:r>
      <w:r w:rsidR="008F34C3" w:rsidRPr="00381F61">
        <w:rPr>
          <w:rFonts w:ascii="Garamond" w:hAnsi="Garamond"/>
        </w:rPr>
        <w:t xml:space="preserve">ultimate consumers) </w:t>
      </w:r>
      <w:r w:rsidR="008F34C3" w:rsidRPr="00381F61">
        <w:rPr>
          <w:rFonts w:ascii="Garamond" w:hAnsi="Garamond"/>
          <w:b/>
        </w:rPr>
        <w:t>need to know</w:t>
      </w:r>
      <w:r w:rsidR="008F34C3" w:rsidRPr="00381F61">
        <w:rPr>
          <w:rFonts w:ascii="Garamond" w:hAnsi="Garamond"/>
        </w:rPr>
        <w:t xml:space="preserve"> – this will not be the same for all investors at all stages in their investing lives.  Identifying those various categories of requirement should be the first task.</w:t>
      </w:r>
    </w:p>
    <w:p w14:paraId="27EAA6FD" w14:textId="77777777" w:rsidR="00B67F0D" w:rsidRPr="00381F61" w:rsidRDefault="00B67F0D" w:rsidP="00043E1D">
      <w:pPr>
        <w:pStyle w:val="ListParagraph"/>
        <w:jc w:val="both"/>
        <w:rPr>
          <w:rFonts w:ascii="Garamond" w:hAnsi="Garamond"/>
          <w:sz w:val="8"/>
          <w:szCs w:val="8"/>
        </w:rPr>
      </w:pPr>
    </w:p>
    <w:p w14:paraId="6CE14A58" w14:textId="6F254ACA" w:rsidR="00EF5EBD" w:rsidRPr="00381F61" w:rsidRDefault="00EF5EBD" w:rsidP="00043E1D">
      <w:pPr>
        <w:pStyle w:val="ListParagraph"/>
        <w:numPr>
          <w:ilvl w:val="0"/>
          <w:numId w:val="29"/>
        </w:numPr>
        <w:jc w:val="both"/>
        <w:rPr>
          <w:rFonts w:ascii="Garamond" w:hAnsi="Garamond"/>
        </w:rPr>
      </w:pPr>
      <w:r w:rsidRPr="00381F61">
        <w:rPr>
          <w:rFonts w:ascii="Garamond" w:hAnsi="Garamond"/>
        </w:rPr>
        <w:t xml:space="preserve">What </w:t>
      </w:r>
      <w:r w:rsidR="008F34C3" w:rsidRPr="00381F61">
        <w:rPr>
          <w:rFonts w:ascii="Garamond" w:hAnsi="Garamond"/>
        </w:rPr>
        <w:t xml:space="preserve">investors are </w:t>
      </w:r>
      <w:r w:rsidR="008F34C3" w:rsidRPr="00381F61">
        <w:rPr>
          <w:rFonts w:ascii="Garamond" w:hAnsi="Garamond"/>
          <w:b/>
        </w:rPr>
        <w:t>being told now</w:t>
      </w:r>
      <w:r w:rsidR="008F34C3" w:rsidRPr="00381F61">
        <w:rPr>
          <w:rFonts w:ascii="Garamond" w:hAnsi="Garamond"/>
        </w:rPr>
        <w:t>.</w:t>
      </w:r>
    </w:p>
    <w:p w14:paraId="34C1A69E" w14:textId="77777777" w:rsidR="00501DE6" w:rsidRPr="00381F61" w:rsidRDefault="00501DE6">
      <w:pPr>
        <w:jc w:val="both"/>
        <w:rPr>
          <w:rFonts w:ascii="Garamond" w:hAnsi="Garamond"/>
        </w:rPr>
      </w:pPr>
    </w:p>
    <w:p w14:paraId="38999925" w14:textId="0EEC6A15" w:rsidR="00501DE6" w:rsidRPr="00381F61" w:rsidRDefault="00501DE6">
      <w:pPr>
        <w:jc w:val="both"/>
        <w:rPr>
          <w:rFonts w:ascii="Garamond" w:hAnsi="Garamond"/>
        </w:rPr>
      </w:pPr>
      <w:r w:rsidRPr="00381F61">
        <w:rPr>
          <w:rFonts w:ascii="Garamond" w:hAnsi="Garamond"/>
        </w:rPr>
        <w:t>We suggest that it is really unhelpful for the Financial Markets Authority to say “Ask questions and make sure you understan</w:t>
      </w:r>
      <w:r w:rsidR="00CA6EBB" w:rsidRPr="00381F61">
        <w:rPr>
          <w:rFonts w:ascii="Garamond" w:hAnsi="Garamond"/>
        </w:rPr>
        <w:t>d the product before you invest</w:t>
      </w:r>
      <w:r w:rsidRPr="00381F61">
        <w:rPr>
          <w:rFonts w:ascii="Garamond" w:hAnsi="Garamond"/>
        </w:rPr>
        <w:t>”</w:t>
      </w:r>
      <w:r w:rsidR="00CA6EBB" w:rsidRPr="00381F61">
        <w:rPr>
          <w:rFonts w:ascii="Garamond" w:hAnsi="Garamond"/>
        </w:rPr>
        <w:t>.</w:t>
      </w:r>
      <w:r w:rsidRPr="00381F61">
        <w:rPr>
          <w:rFonts w:ascii="Garamond" w:hAnsi="Garamond"/>
        </w:rPr>
        <w:t xml:space="preserve">  That may have satisfied the old disclosure regime</w:t>
      </w:r>
      <w:r w:rsidR="00F259AF" w:rsidRPr="00381F61">
        <w:rPr>
          <w:rStyle w:val="FootnoteReference"/>
          <w:rFonts w:ascii="Garamond" w:hAnsi="Garamond"/>
        </w:rPr>
        <w:footnoteReference w:id="234"/>
      </w:r>
      <w:r w:rsidR="000A1CA5" w:rsidRPr="00381F61">
        <w:rPr>
          <w:rFonts w:ascii="Garamond" w:hAnsi="Garamond"/>
        </w:rPr>
        <w:t xml:space="preserve"> </w:t>
      </w:r>
      <w:r w:rsidR="00CA6EBB" w:rsidRPr="00381F61">
        <w:rPr>
          <w:rFonts w:ascii="Garamond" w:hAnsi="Garamond"/>
        </w:rPr>
        <w:t>but it adds nothing to the new.  It’s one of those ‘comfort’ statements that r</w:t>
      </w:r>
      <w:r w:rsidR="00E85DD8" w:rsidRPr="00381F61">
        <w:rPr>
          <w:rFonts w:ascii="Garamond" w:hAnsi="Garamond"/>
        </w:rPr>
        <w:t>ead</w:t>
      </w:r>
      <w:r w:rsidR="00212B97" w:rsidRPr="00381F61">
        <w:rPr>
          <w:rFonts w:ascii="Garamond" w:hAnsi="Garamond"/>
        </w:rPr>
        <w:t>s</w:t>
      </w:r>
      <w:r w:rsidR="00E85DD8" w:rsidRPr="00381F61">
        <w:rPr>
          <w:rFonts w:ascii="Garamond" w:hAnsi="Garamond"/>
        </w:rPr>
        <w:t xml:space="preserve"> well but make</w:t>
      </w:r>
      <w:r w:rsidR="00212B97" w:rsidRPr="00381F61">
        <w:rPr>
          <w:rFonts w:ascii="Garamond" w:hAnsi="Garamond"/>
        </w:rPr>
        <w:t>s</w:t>
      </w:r>
      <w:r w:rsidR="00E85DD8" w:rsidRPr="00381F61">
        <w:rPr>
          <w:rFonts w:ascii="Garamond" w:hAnsi="Garamond"/>
        </w:rPr>
        <w:t xml:space="preserve"> no practical difference to a saver’s information needs</w:t>
      </w:r>
      <w:r w:rsidR="001B1B68" w:rsidRPr="00381F61">
        <w:rPr>
          <w:rFonts w:ascii="Garamond" w:hAnsi="Garamond"/>
        </w:rPr>
        <w:t>, information gathering or eventual decisions</w:t>
      </w:r>
      <w:r w:rsidR="00E85DD8" w:rsidRPr="00381F61">
        <w:rPr>
          <w:rFonts w:ascii="Garamond" w:hAnsi="Garamond"/>
        </w:rPr>
        <w:t>.</w:t>
      </w:r>
    </w:p>
    <w:p w14:paraId="05E47AAE" w14:textId="77777777" w:rsidR="00CA6EBB" w:rsidRPr="00381F61" w:rsidRDefault="00CA6EBB">
      <w:pPr>
        <w:jc w:val="both"/>
        <w:rPr>
          <w:rFonts w:ascii="Garamond" w:hAnsi="Garamond"/>
        </w:rPr>
      </w:pPr>
    </w:p>
    <w:p w14:paraId="5870C338" w14:textId="2E2C3C6C" w:rsidR="00260D1C" w:rsidRPr="00381F61" w:rsidRDefault="00DB6B8A">
      <w:pPr>
        <w:jc w:val="both"/>
        <w:rPr>
          <w:rFonts w:ascii="Garamond" w:hAnsi="Garamond"/>
        </w:rPr>
      </w:pPr>
      <w:r w:rsidRPr="00381F61">
        <w:rPr>
          <w:rFonts w:ascii="Garamond" w:hAnsi="Garamond"/>
        </w:rPr>
        <w:t>The FMA has launched its ‘Investor Capability Strategy for 201</w:t>
      </w:r>
      <w:r w:rsidR="00260D1C" w:rsidRPr="00381F61">
        <w:rPr>
          <w:rFonts w:ascii="Garamond" w:hAnsi="Garamond"/>
        </w:rPr>
        <w:t>7-2020</w:t>
      </w:r>
      <w:r w:rsidRPr="00381F61">
        <w:rPr>
          <w:rFonts w:ascii="Garamond" w:hAnsi="Garamond"/>
        </w:rPr>
        <w:t>’</w:t>
      </w:r>
      <w:r w:rsidR="004F4404" w:rsidRPr="00381F61">
        <w:rPr>
          <w:rFonts w:ascii="Garamond" w:hAnsi="Garamond"/>
        </w:rPr>
        <w:t xml:space="preserve"> (see </w:t>
      </w:r>
      <w:hyperlink r:id="rId70" w:history="1">
        <w:r w:rsidR="004F4404" w:rsidRPr="00381F61">
          <w:rPr>
            <w:rStyle w:val="Hyperlink"/>
            <w:rFonts w:ascii="Garamond" w:hAnsi="Garamond"/>
          </w:rPr>
          <w:t>here</w:t>
        </w:r>
      </w:hyperlink>
      <w:r w:rsidR="004F4404" w:rsidRPr="00381F61">
        <w:rPr>
          <w:rFonts w:ascii="Garamond" w:hAnsi="Garamond"/>
        </w:rPr>
        <w:t xml:space="preserve">).  </w:t>
      </w:r>
      <w:r w:rsidR="00260D1C" w:rsidRPr="00381F61">
        <w:rPr>
          <w:rFonts w:ascii="Garamond" w:hAnsi="Garamond"/>
        </w:rPr>
        <w:t>It’s definition of ‘investor capability’ is:</w:t>
      </w:r>
    </w:p>
    <w:p w14:paraId="0A505999" w14:textId="77777777" w:rsidR="00260D1C" w:rsidRPr="00381F61" w:rsidRDefault="00260D1C">
      <w:pPr>
        <w:jc w:val="both"/>
        <w:rPr>
          <w:rFonts w:ascii="Garamond" w:hAnsi="Garamond"/>
          <w:sz w:val="8"/>
          <w:szCs w:val="8"/>
        </w:rPr>
      </w:pPr>
    </w:p>
    <w:p w14:paraId="4A7970EB" w14:textId="20C7998B" w:rsidR="00260D1C" w:rsidRPr="00381F61" w:rsidRDefault="00260D1C" w:rsidP="00701CA1">
      <w:pPr>
        <w:ind w:left="567"/>
        <w:rPr>
          <w:rFonts w:ascii="Garamond" w:hAnsi="Garamond"/>
          <w:sz w:val="22"/>
          <w:szCs w:val="22"/>
        </w:rPr>
      </w:pPr>
      <w:r w:rsidRPr="00381F61">
        <w:rPr>
          <w:rFonts w:ascii="Garamond" w:hAnsi="Garamond"/>
          <w:sz w:val="22"/>
          <w:szCs w:val="22"/>
        </w:rPr>
        <w:t xml:space="preserve">“Investor capability is the ability to make informed judgments </w:t>
      </w:r>
      <w:r w:rsidR="003A2F83" w:rsidRPr="00381F61">
        <w:rPr>
          <w:rFonts w:ascii="Garamond" w:hAnsi="Garamond"/>
          <w:sz w:val="22"/>
          <w:szCs w:val="22"/>
        </w:rPr>
        <w:t>[</w:t>
      </w:r>
      <w:r w:rsidR="00212B97" w:rsidRPr="00381F61">
        <w:rPr>
          <w:rFonts w:ascii="Garamond" w:hAnsi="Garamond"/>
          <w:sz w:val="22"/>
          <w:szCs w:val="22"/>
        </w:rPr>
        <w:t>sic</w:t>
      </w:r>
      <w:r w:rsidR="003A2F83" w:rsidRPr="00381F61">
        <w:rPr>
          <w:rFonts w:ascii="Garamond" w:hAnsi="Garamond"/>
          <w:sz w:val="22"/>
          <w:szCs w:val="22"/>
        </w:rPr>
        <w:t>]</w:t>
      </w:r>
      <w:r w:rsidR="00212B97" w:rsidRPr="00381F61">
        <w:rPr>
          <w:rFonts w:ascii="Garamond" w:hAnsi="Garamond"/>
          <w:sz w:val="22"/>
          <w:szCs w:val="22"/>
        </w:rPr>
        <w:t xml:space="preserve"> </w:t>
      </w:r>
      <w:r w:rsidRPr="00381F61">
        <w:rPr>
          <w:rFonts w:ascii="Garamond" w:hAnsi="Garamond"/>
          <w:sz w:val="22"/>
          <w:szCs w:val="22"/>
        </w:rPr>
        <w:t xml:space="preserve">and effective decisions regarding investments. </w:t>
      </w:r>
      <w:r w:rsidR="00212B97" w:rsidRPr="00381F61">
        <w:rPr>
          <w:rFonts w:ascii="Garamond" w:hAnsi="Garamond"/>
          <w:sz w:val="22"/>
          <w:szCs w:val="22"/>
        </w:rPr>
        <w:t xml:space="preserve"> </w:t>
      </w:r>
      <w:r w:rsidRPr="00381F61">
        <w:rPr>
          <w:rFonts w:ascii="Garamond" w:hAnsi="Garamond"/>
          <w:sz w:val="22"/>
          <w:szCs w:val="22"/>
        </w:rPr>
        <w:t>It is about having the knowledge, understanding, confidence and motivation to make and implement investment strategies and decisions.”</w:t>
      </w:r>
    </w:p>
    <w:p w14:paraId="676D0A01" w14:textId="77777777" w:rsidR="00260D1C" w:rsidRPr="00381F61" w:rsidRDefault="00260D1C" w:rsidP="00260D1C"/>
    <w:p w14:paraId="191FE583" w14:textId="2664F97A" w:rsidR="00DB6B8A" w:rsidRPr="00381F61" w:rsidRDefault="00260D1C">
      <w:pPr>
        <w:jc w:val="both"/>
        <w:rPr>
          <w:rFonts w:ascii="Garamond" w:hAnsi="Garamond"/>
        </w:rPr>
      </w:pPr>
      <w:r w:rsidRPr="00381F61">
        <w:rPr>
          <w:rFonts w:ascii="Garamond" w:hAnsi="Garamond"/>
        </w:rPr>
        <w:t xml:space="preserve">…which we think is ‘all very well’ </w:t>
      </w:r>
      <w:r w:rsidR="00DB432F" w:rsidRPr="00381F61">
        <w:rPr>
          <w:rFonts w:ascii="Garamond" w:hAnsi="Garamond"/>
        </w:rPr>
        <w:t>but</w:t>
      </w:r>
      <w:r w:rsidRPr="00381F61">
        <w:rPr>
          <w:rFonts w:ascii="Garamond" w:hAnsi="Garamond"/>
        </w:rPr>
        <w:t xml:space="preserve"> </w:t>
      </w:r>
      <w:r w:rsidR="00DB432F" w:rsidRPr="00381F61">
        <w:rPr>
          <w:rFonts w:ascii="Garamond" w:hAnsi="Garamond"/>
        </w:rPr>
        <w:t>t</w:t>
      </w:r>
      <w:r w:rsidR="004F4404" w:rsidRPr="00381F61">
        <w:rPr>
          <w:rFonts w:ascii="Garamond" w:hAnsi="Garamond"/>
        </w:rPr>
        <w:t xml:space="preserve">he announcement again seems to be ‘top down’ – telling savers what the FMA thinks savers need to </w:t>
      </w:r>
      <w:r w:rsidR="00B67F0D" w:rsidRPr="00381F61">
        <w:rPr>
          <w:rFonts w:ascii="Garamond" w:hAnsi="Garamond"/>
        </w:rPr>
        <w:t>know/</w:t>
      </w:r>
      <w:r w:rsidR="004F4404" w:rsidRPr="00381F61">
        <w:rPr>
          <w:rFonts w:ascii="Garamond" w:hAnsi="Garamond"/>
        </w:rPr>
        <w:t>do.</w:t>
      </w:r>
      <w:r w:rsidR="00B67F0D" w:rsidRPr="00381F61">
        <w:rPr>
          <w:rFonts w:ascii="Garamond" w:hAnsi="Garamond"/>
        </w:rPr>
        <w:t xml:space="preserve">  We think it should be focussed on what savers actually know and what they are actually doing.  Armed with that information, the FMA should be in a position to build a picture of current shortcomings and possible improvements.</w:t>
      </w:r>
    </w:p>
    <w:p w14:paraId="2596999C" w14:textId="77777777" w:rsidR="007F3532" w:rsidRPr="00381F61" w:rsidRDefault="007F3532" w:rsidP="007F3532">
      <w:pPr>
        <w:jc w:val="both"/>
        <w:rPr>
          <w:rFonts w:ascii="Garamond" w:hAnsi="Garamond"/>
        </w:rPr>
      </w:pPr>
    </w:p>
    <w:p w14:paraId="1D8FB6B6" w14:textId="07ECE4AD" w:rsidR="007F3532" w:rsidRPr="00381F61" w:rsidRDefault="007F3532" w:rsidP="007F3532">
      <w:pPr>
        <w:jc w:val="both"/>
        <w:rPr>
          <w:rFonts w:ascii="Garamond" w:hAnsi="Garamond"/>
        </w:rPr>
      </w:pPr>
      <w:r w:rsidRPr="00381F61">
        <w:rPr>
          <w:rFonts w:ascii="Garamond" w:hAnsi="Garamond"/>
          <w:b/>
        </w:rPr>
        <w:t>The ‘Disclose Register’ – a step in the right direction</w:t>
      </w:r>
    </w:p>
    <w:p w14:paraId="7F75F9F7" w14:textId="77777777" w:rsidR="001B1B68" w:rsidRPr="00381F61" w:rsidRDefault="001B1B68" w:rsidP="007F3532">
      <w:pPr>
        <w:jc w:val="both"/>
        <w:rPr>
          <w:rFonts w:ascii="Garamond" w:hAnsi="Garamond"/>
        </w:rPr>
      </w:pPr>
    </w:p>
    <w:p w14:paraId="2D613112" w14:textId="0C99B308" w:rsidR="007F3532" w:rsidRPr="00381F61" w:rsidRDefault="007F3532" w:rsidP="007F3532">
      <w:pPr>
        <w:jc w:val="both"/>
        <w:rPr>
          <w:rFonts w:ascii="Garamond" w:hAnsi="Garamond"/>
        </w:rPr>
      </w:pPr>
      <w:r w:rsidRPr="00381F61">
        <w:rPr>
          <w:rFonts w:ascii="Garamond" w:hAnsi="Garamond"/>
        </w:rPr>
        <w:t>The government has established the ‘Disclose Register’ (</w:t>
      </w:r>
      <w:hyperlink r:id="rId71" w:history="1">
        <w:r w:rsidRPr="00381F61">
          <w:rPr>
            <w:rStyle w:val="Hyperlink"/>
            <w:rFonts w:ascii="Garamond" w:hAnsi="Garamond"/>
          </w:rPr>
          <w:t>here</w:t>
        </w:r>
      </w:hyperlink>
      <w:r w:rsidRPr="00381F61">
        <w:rPr>
          <w:rFonts w:ascii="Garamond" w:hAnsi="Garamond"/>
        </w:rPr>
        <w:t>) that gathers in one searchable spot all the official documents of every CIV.  These include PDSs, financial statements, the providers’ constitutional documents and the descriptions of key contracts; also</w:t>
      </w:r>
      <w:r w:rsidR="00FA70EA" w:rsidRPr="00381F61">
        <w:rPr>
          <w:rFonts w:ascii="Garamond" w:hAnsi="Garamond"/>
        </w:rPr>
        <w:t>,</w:t>
      </w:r>
      <w:r w:rsidRPr="00381F61">
        <w:rPr>
          <w:rFonts w:ascii="Garamond" w:hAnsi="Garamond"/>
        </w:rPr>
        <w:t xml:space="preserve"> each CIV’s ‘Statement of Investment Performance and Objectives’.  Providers are legally obliged to keep this information up-to-date.</w:t>
      </w:r>
    </w:p>
    <w:p w14:paraId="04A447EC" w14:textId="77777777" w:rsidR="007F3532" w:rsidRPr="00381F61" w:rsidRDefault="007F3532" w:rsidP="007F3532">
      <w:pPr>
        <w:jc w:val="both"/>
        <w:rPr>
          <w:rFonts w:ascii="Garamond" w:hAnsi="Garamond"/>
        </w:rPr>
      </w:pPr>
    </w:p>
    <w:p w14:paraId="551984B4" w14:textId="47948B2A" w:rsidR="00DB6B8A" w:rsidRPr="00381F61" w:rsidRDefault="007F3532" w:rsidP="007F3532">
      <w:pPr>
        <w:jc w:val="both"/>
        <w:rPr>
          <w:rFonts w:ascii="Garamond" w:hAnsi="Garamond"/>
        </w:rPr>
      </w:pPr>
      <w:r w:rsidRPr="00381F61">
        <w:rPr>
          <w:rFonts w:ascii="Garamond" w:hAnsi="Garamond"/>
        </w:rPr>
        <w:t>We think this is a constructive step and suggest that it be extended to cover investment returns and fees</w:t>
      </w:r>
      <w:r w:rsidR="001B1B68" w:rsidRPr="00381F61">
        <w:rPr>
          <w:rFonts w:ascii="Garamond" w:hAnsi="Garamond"/>
        </w:rPr>
        <w:t xml:space="preserve"> in a single place</w:t>
      </w:r>
      <w:r w:rsidRPr="00381F61">
        <w:rPr>
          <w:rFonts w:ascii="Garamond" w:hAnsi="Garamond"/>
        </w:rPr>
        <w:t>.</w:t>
      </w:r>
    </w:p>
    <w:p w14:paraId="7C881BA6" w14:textId="77777777" w:rsidR="001B1B68" w:rsidRPr="00381F61" w:rsidRDefault="001B1B68" w:rsidP="001B1B68">
      <w:pPr>
        <w:jc w:val="both"/>
        <w:rPr>
          <w:rFonts w:ascii="Garamond" w:hAnsi="Garamond"/>
          <w:b/>
        </w:rPr>
      </w:pPr>
    </w:p>
    <w:p w14:paraId="01A2E765" w14:textId="68255DB0" w:rsidR="001B1B68" w:rsidRPr="00381F61" w:rsidRDefault="001B1B68" w:rsidP="001B1B68">
      <w:pPr>
        <w:jc w:val="both"/>
        <w:rPr>
          <w:rFonts w:ascii="Garamond" w:hAnsi="Garamond"/>
          <w:b/>
        </w:rPr>
      </w:pPr>
      <w:r w:rsidRPr="00381F61">
        <w:rPr>
          <w:rFonts w:ascii="Garamond" w:hAnsi="Garamond"/>
          <w:b/>
        </w:rPr>
        <w:t>The role of the Supervisor</w:t>
      </w:r>
    </w:p>
    <w:p w14:paraId="6193BED8" w14:textId="77777777" w:rsidR="001B1B68" w:rsidRPr="00381F61" w:rsidRDefault="001B1B68" w:rsidP="001B1B68">
      <w:pPr>
        <w:jc w:val="both"/>
        <w:rPr>
          <w:rFonts w:ascii="Garamond" w:hAnsi="Garamond"/>
        </w:rPr>
      </w:pPr>
    </w:p>
    <w:p w14:paraId="7C0D444D" w14:textId="5396D065" w:rsidR="001B1B68" w:rsidRPr="00381F61" w:rsidRDefault="001B1B68" w:rsidP="001B1B68">
      <w:pPr>
        <w:jc w:val="both"/>
        <w:rPr>
          <w:rFonts w:ascii="Garamond" w:hAnsi="Garamond"/>
        </w:rPr>
      </w:pPr>
      <w:r w:rsidRPr="00381F61">
        <w:rPr>
          <w:rFonts w:ascii="Garamond" w:hAnsi="Garamond"/>
        </w:rPr>
        <w:t xml:space="preserve">Initially, the regulatory regime required KiwiSaver schemes to have a Supervisor.  That requirement was extended by the Financial Markets Conduct Act 2013 to all collective investment vehicles from 30 November 2016 at the latest.  There is a limited number of Supervisors.  Of the six licensed Supervisors, four have a licence to supervise KiwiSaver schemes and similar CIVs.  Of these, two are owned by Perpetual Guardian so there are effectively only three independent Supervisors.  </w:t>
      </w:r>
    </w:p>
    <w:p w14:paraId="24022F7E" w14:textId="77777777" w:rsidR="001B1B68" w:rsidRPr="00381F61" w:rsidRDefault="001B1B68" w:rsidP="001B1B68">
      <w:pPr>
        <w:jc w:val="both"/>
        <w:rPr>
          <w:rFonts w:ascii="Garamond" w:hAnsi="Garamond"/>
        </w:rPr>
      </w:pPr>
    </w:p>
    <w:p w14:paraId="524E7160" w14:textId="34E776A6" w:rsidR="001B1B68" w:rsidRPr="00381F61" w:rsidRDefault="001B1B68" w:rsidP="001B1B68">
      <w:pPr>
        <w:jc w:val="both"/>
        <w:rPr>
          <w:rFonts w:ascii="Garamond" w:hAnsi="Garamond"/>
        </w:rPr>
      </w:pPr>
      <w:r w:rsidRPr="00381F61">
        <w:rPr>
          <w:rFonts w:ascii="Garamond" w:hAnsi="Garamond"/>
        </w:rPr>
        <w:t>The Supervisor’s role is to be the first line regulator and the FMA then regulates the Supervisors.  We think the 2019 Review should look at the role Supervisors have played and determine whether or not the regime is improving the investment disclosure, improving the behaviour of managers and improving the outcome for the investors</w:t>
      </w:r>
      <w:r w:rsidR="00212B97" w:rsidRPr="00381F61">
        <w:rPr>
          <w:rFonts w:ascii="Garamond" w:hAnsi="Garamond"/>
        </w:rPr>
        <w:t xml:space="preserve"> or</w:t>
      </w:r>
      <w:r w:rsidR="00010996" w:rsidRPr="00381F61">
        <w:rPr>
          <w:rFonts w:ascii="Garamond" w:hAnsi="Garamond"/>
        </w:rPr>
        <w:t xml:space="preserve"> whether, as we suspect, it has</w:t>
      </w:r>
      <w:r w:rsidR="00212B97" w:rsidRPr="00381F61">
        <w:rPr>
          <w:rFonts w:ascii="Garamond" w:hAnsi="Garamond"/>
        </w:rPr>
        <w:t xml:space="preserve"> just increased compliance costs</w:t>
      </w:r>
      <w:r w:rsidRPr="00381F61">
        <w:rPr>
          <w:rFonts w:ascii="Garamond" w:hAnsi="Garamond"/>
        </w:rPr>
        <w:t>.</w:t>
      </w:r>
    </w:p>
    <w:p w14:paraId="59D8A20B" w14:textId="77777777" w:rsidR="001B1B68" w:rsidRPr="00381F61" w:rsidRDefault="001B1B68" w:rsidP="001B1B68">
      <w:pPr>
        <w:jc w:val="both"/>
        <w:rPr>
          <w:rFonts w:ascii="Garamond" w:hAnsi="Garamond"/>
        </w:rPr>
      </w:pPr>
    </w:p>
    <w:p w14:paraId="02E4AF72" w14:textId="68A900CB" w:rsidR="001B1B68" w:rsidRPr="00381F61" w:rsidRDefault="001B1B68" w:rsidP="001B1B68">
      <w:pPr>
        <w:jc w:val="both"/>
        <w:rPr>
          <w:rFonts w:ascii="Garamond" w:hAnsi="Garamond"/>
        </w:rPr>
      </w:pPr>
      <w:r w:rsidRPr="00381F61">
        <w:rPr>
          <w:rFonts w:ascii="Garamond" w:hAnsi="Garamond"/>
        </w:rPr>
        <w:t>We suspect that there is no evidence that the Supervisor regime has improved the position of investors</w:t>
      </w:r>
      <w:r w:rsidR="00212B97" w:rsidRPr="00381F61">
        <w:rPr>
          <w:rFonts w:ascii="Garamond" w:hAnsi="Garamond"/>
        </w:rPr>
        <w:t>,</w:t>
      </w:r>
      <w:r w:rsidRPr="00381F61">
        <w:rPr>
          <w:rFonts w:ascii="Garamond" w:hAnsi="Garamond"/>
        </w:rPr>
        <w:t xml:space="preserve"> but we should find out.</w:t>
      </w:r>
    </w:p>
    <w:p w14:paraId="1A2B6482" w14:textId="77777777" w:rsidR="001B1B68" w:rsidRPr="00381F61" w:rsidRDefault="001B1B68" w:rsidP="001B1B68">
      <w:pPr>
        <w:jc w:val="both"/>
        <w:rPr>
          <w:rFonts w:ascii="Garamond" w:hAnsi="Garamond"/>
        </w:rPr>
      </w:pPr>
    </w:p>
    <w:p w14:paraId="0DBB9CA2" w14:textId="77777777" w:rsidR="001B1B68" w:rsidRPr="00381F61" w:rsidRDefault="001B1B68" w:rsidP="001B1B68">
      <w:pPr>
        <w:jc w:val="both"/>
        <w:rPr>
          <w:rFonts w:ascii="Garamond" w:hAnsi="Garamond"/>
          <w:b/>
        </w:rPr>
      </w:pPr>
      <w:r w:rsidRPr="00381F61">
        <w:rPr>
          <w:rFonts w:ascii="Garamond" w:hAnsi="Garamond"/>
          <w:b/>
        </w:rPr>
        <w:t>Projected income from KiwiSaver</w:t>
      </w:r>
    </w:p>
    <w:p w14:paraId="7174AF51" w14:textId="77777777" w:rsidR="001B1B68" w:rsidRPr="00381F61" w:rsidRDefault="001B1B68" w:rsidP="001B1B68">
      <w:pPr>
        <w:jc w:val="both"/>
        <w:rPr>
          <w:rFonts w:ascii="Garamond" w:hAnsi="Garamond"/>
        </w:rPr>
      </w:pPr>
    </w:p>
    <w:p w14:paraId="2476A6AC" w14:textId="2EBF9479" w:rsidR="001B1B68" w:rsidRPr="00381F61" w:rsidRDefault="001B1B68" w:rsidP="001B1B68">
      <w:pPr>
        <w:jc w:val="both"/>
        <w:rPr>
          <w:rFonts w:ascii="Garamond" w:hAnsi="Garamond"/>
        </w:rPr>
      </w:pPr>
      <w:r w:rsidRPr="00381F61">
        <w:rPr>
          <w:rFonts w:ascii="Garamond" w:hAnsi="Garamond"/>
        </w:rPr>
        <w:t xml:space="preserve">In future, KiwiSaver providers will be required to disclose to investors their expected balance at retirement and the retirement income that the balance will support, made up of investment returns and the expenditure of capital.  The projections will be on a defined set of assumptions (nothing to do with the provider’s own performance) and use a defined formula.  The return assumptions will vary by investment strategy calculated on a broad-brush basis </w:t>
      </w:r>
      <w:r w:rsidR="008B6373" w:rsidRPr="00381F61">
        <w:rPr>
          <w:rFonts w:ascii="Garamond" w:hAnsi="Garamond"/>
        </w:rPr>
        <w:t xml:space="preserve">(conservative, balanced and growth) </w:t>
      </w:r>
      <w:r w:rsidRPr="00381F61">
        <w:rPr>
          <w:rFonts w:ascii="Garamond" w:hAnsi="Garamond"/>
        </w:rPr>
        <w:t>and providers will choose which of the three strategies is closest to that of the individual over the full saving period to retirement.  After retirement the expected return will be prescribed for all providers</w:t>
      </w:r>
      <w:r w:rsidR="008B6373" w:rsidRPr="00381F61">
        <w:rPr>
          <w:rFonts w:ascii="Garamond" w:hAnsi="Garamond"/>
        </w:rPr>
        <w:t xml:space="preserve"> equal to the conservative strategy</w:t>
      </w:r>
      <w:r w:rsidR="00010996" w:rsidRPr="00381F61">
        <w:rPr>
          <w:rFonts w:ascii="Garamond" w:hAnsi="Garamond"/>
        </w:rPr>
        <w:t>’s expected</w:t>
      </w:r>
      <w:r w:rsidR="008B6373" w:rsidRPr="00381F61">
        <w:rPr>
          <w:rFonts w:ascii="Garamond" w:hAnsi="Garamond"/>
        </w:rPr>
        <w:t xml:space="preserve"> return</w:t>
      </w:r>
      <w:r w:rsidRPr="00381F61">
        <w:rPr>
          <w:rFonts w:ascii="Garamond" w:hAnsi="Garamond"/>
        </w:rPr>
        <w:t>.</w:t>
      </w:r>
    </w:p>
    <w:p w14:paraId="76E4CBDA" w14:textId="77777777" w:rsidR="001B1B68" w:rsidRPr="00381F61" w:rsidRDefault="001B1B68" w:rsidP="001B1B68">
      <w:pPr>
        <w:jc w:val="both"/>
        <w:rPr>
          <w:rFonts w:ascii="Garamond" w:hAnsi="Garamond"/>
        </w:rPr>
      </w:pPr>
    </w:p>
    <w:p w14:paraId="15753E68" w14:textId="381471F1" w:rsidR="001B1B68" w:rsidRPr="00381F61" w:rsidRDefault="001B1B68" w:rsidP="001B1B68">
      <w:pPr>
        <w:jc w:val="both"/>
        <w:rPr>
          <w:rFonts w:ascii="Garamond" w:hAnsi="Garamond"/>
        </w:rPr>
      </w:pPr>
      <w:r w:rsidRPr="00381F61">
        <w:rPr>
          <w:rFonts w:ascii="Garamond" w:hAnsi="Garamond"/>
        </w:rPr>
        <w:t xml:space="preserve">We </w:t>
      </w:r>
      <w:r w:rsidR="00010996" w:rsidRPr="00381F61">
        <w:rPr>
          <w:rFonts w:ascii="Garamond" w:hAnsi="Garamond"/>
        </w:rPr>
        <w:t xml:space="preserve">do not expect </w:t>
      </w:r>
      <w:r w:rsidRPr="00381F61">
        <w:rPr>
          <w:rFonts w:ascii="Garamond" w:hAnsi="Garamond"/>
        </w:rPr>
        <w:t xml:space="preserve">the projected income requirement for KiwiSaver schemes </w:t>
      </w:r>
      <w:r w:rsidR="00010996" w:rsidRPr="00381F61">
        <w:rPr>
          <w:rFonts w:ascii="Garamond" w:hAnsi="Garamond"/>
        </w:rPr>
        <w:t>to</w:t>
      </w:r>
      <w:r w:rsidRPr="00381F61">
        <w:rPr>
          <w:rFonts w:ascii="Garamond" w:hAnsi="Garamond"/>
        </w:rPr>
        <w:t xml:space="preserve"> improve savers’ preparedness for retirement.  </w:t>
      </w:r>
      <w:r w:rsidR="008B6373" w:rsidRPr="00381F61">
        <w:rPr>
          <w:rFonts w:ascii="Garamond" w:hAnsi="Garamond"/>
        </w:rPr>
        <w:t xml:space="preserve">It will simply give them </w:t>
      </w:r>
      <w:r w:rsidR="00010996" w:rsidRPr="00381F61">
        <w:rPr>
          <w:rFonts w:ascii="Garamond" w:hAnsi="Garamond"/>
        </w:rPr>
        <w:t>four</w:t>
      </w:r>
      <w:r w:rsidR="008B6373" w:rsidRPr="00381F61">
        <w:rPr>
          <w:rFonts w:ascii="Garamond" w:hAnsi="Garamond"/>
        </w:rPr>
        <w:t xml:space="preserve"> more numbers to be confused about (projected balance</w:t>
      </w:r>
      <w:r w:rsidR="00010996" w:rsidRPr="00381F61">
        <w:rPr>
          <w:rFonts w:ascii="Garamond" w:hAnsi="Garamond"/>
        </w:rPr>
        <w:t>, both</w:t>
      </w:r>
      <w:r w:rsidR="008B6373" w:rsidRPr="00381F61">
        <w:rPr>
          <w:rFonts w:ascii="Garamond" w:hAnsi="Garamond"/>
        </w:rPr>
        <w:t xml:space="preserve"> at retirement and in today’s money</w:t>
      </w:r>
      <w:r w:rsidR="00010996" w:rsidRPr="00381F61">
        <w:rPr>
          <w:rFonts w:ascii="Garamond" w:hAnsi="Garamond"/>
        </w:rPr>
        <w:t>;</w:t>
      </w:r>
      <w:r w:rsidR="008B6373" w:rsidRPr="00381F61">
        <w:rPr>
          <w:rFonts w:ascii="Garamond" w:hAnsi="Garamond"/>
        </w:rPr>
        <w:t xml:space="preserve"> projected income</w:t>
      </w:r>
      <w:r w:rsidR="00010996" w:rsidRPr="00381F61">
        <w:rPr>
          <w:rFonts w:ascii="Garamond" w:hAnsi="Garamond"/>
        </w:rPr>
        <w:t>,</w:t>
      </w:r>
      <w:r w:rsidR="008B6373" w:rsidRPr="00381F61">
        <w:rPr>
          <w:rFonts w:ascii="Garamond" w:hAnsi="Garamond"/>
        </w:rPr>
        <w:t xml:space="preserve"> </w:t>
      </w:r>
      <w:r w:rsidR="00010996" w:rsidRPr="00381F61">
        <w:rPr>
          <w:rFonts w:ascii="Garamond" w:hAnsi="Garamond"/>
        </w:rPr>
        <w:t xml:space="preserve">both </w:t>
      </w:r>
      <w:r w:rsidR="008B6373" w:rsidRPr="00381F61">
        <w:rPr>
          <w:rFonts w:ascii="Garamond" w:hAnsi="Garamond"/>
        </w:rPr>
        <w:t xml:space="preserve">at the point of retirement and in today’s money).  </w:t>
      </w:r>
      <w:r w:rsidRPr="00381F61">
        <w:rPr>
          <w:rFonts w:ascii="Garamond" w:hAnsi="Garamond"/>
        </w:rPr>
        <w:t>However, the more important issue is how will the government and the Retirement Commissioner determine whether the new requirement will be successful.  We think that the basis for the projections and nature of the disclosure are likely to be confusing and will probably encourage savers to make decisions based on poor information</w:t>
      </w:r>
      <w:r w:rsidR="00381F61">
        <w:rPr>
          <w:rFonts w:ascii="Garamond" w:hAnsi="Garamond"/>
        </w:rPr>
        <w:t xml:space="preserve"> and</w:t>
      </w:r>
      <w:r w:rsidR="008B6373" w:rsidRPr="00381F61">
        <w:rPr>
          <w:rFonts w:ascii="Garamond" w:hAnsi="Garamond"/>
        </w:rPr>
        <w:t xml:space="preserve"> based on expected average return</w:t>
      </w:r>
      <w:r w:rsidR="00010996" w:rsidRPr="00381F61">
        <w:rPr>
          <w:rFonts w:ascii="Garamond" w:hAnsi="Garamond"/>
        </w:rPr>
        <w:t>s</w:t>
      </w:r>
      <w:r w:rsidR="008B6373" w:rsidRPr="00381F61">
        <w:rPr>
          <w:rFonts w:ascii="Garamond" w:hAnsi="Garamond"/>
        </w:rPr>
        <w:t xml:space="preserve"> without due regard for risk</w:t>
      </w:r>
      <w:r w:rsidRPr="00381F61">
        <w:rPr>
          <w:rFonts w:ascii="Garamond" w:hAnsi="Garamond"/>
        </w:rPr>
        <w:t>.</w:t>
      </w:r>
    </w:p>
    <w:p w14:paraId="51B360E3" w14:textId="77777777" w:rsidR="001B1B68" w:rsidRPr="00381F61" w:rsidRDefault="001B1B68" w:rsidP="001B1B68">
      <w:pPr>
        <w:jc w:val="both"/>
        <w:rPr>
          <w:rFonts w:ascii="Garamond" w:hAnsi="Garamond"/>
        </w:rPr>
      </w:pPr>
    </w:p>
    <w:p w14:paraId="62FCC8BB" w14:textId="78651AA0" w:rsidR="001B1B68" w:rsidRPr="00381F61" w:rsidRDefault="001B1B68" w:rsidP="001B1B68">
      <w:pPr>
        <w:jc w:val="both"/>
        <w:rPr>
          <w:rFonts w:ascii="Garamond" w:hAnsi="Garamond"/>
        </w:rPr>
      </w:pPr>
      <w:r w:rsidRPr="00381F61">
        <w:rPr>
          <w:rFonts w:ascii="Garamond" w:hAnsi="Garamond"/>
        </w:rPr>
        <w:t>Rather than the new rules-based, deterministic approach, we think a principles-based approach designed to be helpful would be less misleading</w:t>
      </w:r>
      <w:r w:rsidR="00010996" w:rsidRPr="00381F61">
        <w:rPr>
          <w:rFonts w:ascii="Garamond" w:hAnsi="Garamond"/>
        </w:rPr>
        <w:t xml:space="preserve"> and more helpful for savers</w:t>
      </w:r>
      <w:r w:rsidRPr="00381F61">
        <w:rPr>
          <w:rFonts w:ascii="Garamond" w:hAnsi="Garamond"/>
        </w:rPr>
        <w:t>.  In fact, logic suggests that a better approach would have been for the Commission for Financial Capability:</w:t>
      </w:r>
    </w:p>
    <w:p w14:paraId="0C91CFF7" w14:textId="3FBE87A5" w:rsidR="001B1B68" w:rsidRPr="00381F61" w:rsidRDefault="001B1B68" w:rsidP="00891E0F">
      <w:pPr>
        <w:pStyle w:val="ListParagraph"/>
        <w:numPr>
          <w:ilvl w:val="0"/>
          <w:numId w:val="72"/>
        </w:numPr>
        <w:jc w:val="both"/>
        <w:rPr>
          <w:rFonts w:ascii="Garamond" w:hAnsi="Garamond"/>
        </w:rPr>
      </w:pPr>
      <w:r w:rsidRPr="00381F61">
        <w:rPr>
          <w:rFonts w:ascii="Garamond" w:hAnsi="Garamond"/>
        </w:rPr>
        <w:t>to develop a software application that helps savers understand their position</w:t>
      </w:r>
      <w:r w:rsidR="00010996" w:rsidRPr="00381F61">
        <w:rPr>
          <w:rFonts w:ascii="Garamond" w:hAnsi="Garamond"/>
        </w:rPr>
        <w:t xml:space="preserve"> and that</w:t>
      </w:r>
    </w:p>
    <w:p w14:paraId="4519188A" w14:textId="782E658E" w:rsidR="001B1B68" w:rsidRPr="00381F61" w:rsidRDefault="001B1B68" w:rsidP="00891E0F">
      <w:pPr>
        <w:pStyle w:val="ListParagraph"/>
        <w:numPr>
          <w:ilvl w:val="0"/>
          <w:numId w:val="72"/>
        </w:numPr>
        <w:jc w:val="both"/>
        <w:rPr>
          <w:rFonts w:ascii="Garamond" w:hAnsi="Garamond"/>
        </w:rPr>
      </w:pPr>
      <w:r w:rsidRPr="00381F61">
        <w:rPr>
          <w:rFonts w:ascii="Garamond" w:hAnsi="Garamond"/>
        </w:rPr>
        <w:t>lets savers vary the assumptions, and</w:t>
      </w:r>
      <w:r w:rsidR="00010996" w:rsidRPr="00381F61">
        <w:rPr>
          <w:rFonts w:ascii="Garamond" w:hAnsi="Garamond"/>
        </w:rPr>
        <w:t xml:space="preserve"> then</w:t>
      </w:r>
    </w:p>
    <w:p w14:paraId="426D7350" w14:textId="56C2B7D8" w:rsidR="001B1B68" w:rsidRPr="00381F61" w:rsidRDefault="001B1B68" w:rsidP="00891E0F">
      <w:pPr>
        <w:pStyle w:val="ListParagraph"/>
        <w:numPr>
          <w:ilvl w:val="0"/>
          <w:numId w:val="72"/>
        </w:numPr>
        <w:jc w:val="both"/>
        <w:rPr>
          <w:rFonts w:ascii="Garamond" w:hAnsi="Garamond"/>
        </w:rPr>
      </w:pPr>
      <w:r w:rsidRPr="00381F61">
        <w:rPr>
          <w:rFonts w:ascii="Garamond" w:hAnsi="Garamond"/>
        </w:rPr>
        <w:t>require all providers to provide monthly APIs to the central</w:t>
      </w:r>
      <w:r w:rsidR="00010996" w:rsidRPr="00381F61">
        <w:rPr>
          <w:rFonts w:ascii="Garamond" w:hAnsi="Garamond"/>
        </w:rPr>
        <w:t>ly administered</w:t>
      </w:r>
      <w:r w:rsidRPr="00381F61">
        <w:rPr>
          <w:rFonts w:ascii="Garamond" w:hAnsi="Garamond"/>
        </w:rPr>
        <w:t xml:space="preserve"> tool so that the projections could be personalised to each KiwiSaver scheme </w:t>
      </w:r>
      <w:r w:rsidR="008B6373" w:rsidRPr="00381F61">
        <w:rPr>
          <w:rFonts w:ascii="Garamond" w:hAnsi="Garamond"/>
        </w:rPr>
        <w:t xml:space="preserve">for each KiwiSaver member </w:t>
      </w:r>
      <w:r w:rsidRPr="00381F61">
        <w:rPr>
          <w:rFonts w:ascii="Garamond" w:hAnsi="Garamond"/>
        </w:rPr>
        <w:t>and updated with the latest information.</w:t>
      </w:r>
    </w:p>
    <w:p w14:paraId="0723F683" w14:textId="77777777" w:rsidR="007F3532" w:rsidRPr="00381F61" w:rsidRDefault="007F3532" w:rsidP="007F3532">
      <w:pPr>
        <w:jc w:val="both"/>
        <w:rPr>
          <w:rFonts w:ascii="Garamond" w:hAnsi="Garamond"/>
        </w:rPr>
      </w:pPr>
    </w:p>
    <w:p w14:paraId="230B9ACD" w14:textId="77777777" w:rsidR="00DB432F" w:rsidRPr="00381F61" w:rsidRDefault="00FA70EA">
      <w:pPr>
        <w:jc w:val="both"/>
        <w:rPr>
          <w:rFonts w:ascii="Garamond" w:hAnsi="Garamond"/>
          <w:b/>
        </w:rPr>
      </w:pPr>
      <w:r w:rsidRPr="00381F61">
        <w:rPr>
          <w:rFonts w:ascii="Garamond" w:hAnsi="Garamond"/>
          <w:b/>
        </w:rPr>
        <w:t>In summary</w:t>
      </w:r>
    </w:p>
    <w:p w14:paraId="295D48BC" w14:textId="59EC891E" w:rsidR="00CA6EBB" w:rsidRPr="00381F61" w:rsidRDefault="000D65AC">
      <w:pPr>
        <w:jc w:val="both"/>
        <w:rPr>
          <w:rFonts w:ascii="Garamond" w:hAnsi="Garamond"/>
        </w:rPr>
      </w:pPr>
      <w:r w:rsidRPr="00381F61">
        <w:rPr>
          <w:rFonts w:ascii="Garamond" w:hAnsi="Garamond"/>
        </w:rPr>
        <w:t xml:space="preserve">We think that the </w:t>
      </w:r>
      <w:r w:rsidR="00B67F0D" w:rsidRPr="00381F61">
        <w:rPr>
          <w:rFonts w:ascii="Garamond" w:hAnsi="Garamond"/>
        </w:rPr>
        <w:t xml:space="preserve">overall </w:t>
      </w:r>
      <w:r w:rsidRPr="00381F61">
        <w:rPr>
          <w:rFonts w:ascii="Garamond" w:hAnsi="Garamond"/>
        </w:rPr>
        <w:t>process started by the FMA</w:t>
      </w:r>
      <w:r w:rsidR="00B67F0D" w:rsidRPr="00381F61">
        <w:rPr>
          <w:rFonts w:ascii="Garamond" w:hAnsi="Garamond"/>
        </w:rPr>
        <w:t xml:space="preserve"> </w:t>
      </w:r>
      <w:r w:rsidR="00DB432F" w:rsidRPr="00381F61">
        <w:rPr>
          <w:rFonts w:ascii="Garamond" w:hAnsi="Garamond"/>
        </w:rPr>
        <w:t xml:space="preserve">eight </w:t>
      </w:r>
      <w:r w:rsidR="00B67F0D" w:rsidRPr="00381F61">
        <w:rPr>
          <w:rFonts w:ascii="Garamond" w:hAnsi="Garamond"/>
        </w:rPr>
        <w:t>years ago</w:t>
      </w:r>
      <w:r w:rsidRPr="00381F61">
        <w:rPr>
          <w:rFonts w:ascii="Garamond" w:hAnsi="Garamond"/>
        </w:rPr>
        <w:t xml:space="preserve"> is just a step and the FMA probably accepts there is a long road still to travel on disclosure issues.  The old regime was founded principally on legally protecting providers</w:t>
      </w:r>
      <w:r w:rsidR="00B67F0D" w:rsidRPr="00381F61">
        <w:rPr>
          <w:rFonts w:ascii="Garamond" w:hAnsi="Garamond"/>
        </w:rPr>
        <w:t xml:space="preserve"> from savers</w:t>
      </w:r>
      <w:r w:rsidRPr="00381F61">
        <w:rPr>
          <w:rFonts w:ascii="Garamond" w:hAnsi="Garamond"/>
        </w:rPr>
        <w:t xml:space="preserve"> rather than helping savers</w:t>
      </w:r>
      <w:r w:rsidR="00B67F0D" w:rsidRPr="00381F61">
        <w:rPr>
          <w:rFonts w:ascii="Garamond" w:hAnsi="Garamond"/>
        </w:rPr>
        <w:t xml:space="preserve"> to make appropriate decisions</w:t>
      </w:r>
      <w:r w:rsidRPr="00381F61">
        <w:rPr>
          <w:rFonts w:ascii="Garamond" w:hAnsi="Garamond"/>
        </w:rPr>
        <w:t>.  The new regime is better in some respects but worse in others.  It is still not member-centric.</w:t>
      </w:r>
    </w:p>
    <w:p w14:paraId="4C2FCE2B" w14:textId="2676E15B" w:rsidR="00795802" w:rsidRPr="00381F61" w:rsidRDefault="00795802">
      <w:pPr>
        <w:jc w:val="both"/>
        <w:rPr>
          <w:rFonts w:ascii="Garamond" w:hAnsi="Garamond"/>
        </w:rPr>
      </w:pPr>
    </w:p>
    <w:p w14:paraId="46787F0A" w14:textId="77777777" w:rsidR="00DB432F" w:rsidRPr="00381F61" w:rsidRDefault="00DB432F" w:rsidP="00DB432F">
      <w:pPr>
        <w:jc w:val="both"/>
        <w:rPr>
          <w:rFonts w:ascii="Garamond" w:hAnsi="Garamond"/>
        </w:rPr>
      </w:pPr>
      <w:r w:rsidRPr="00381F61">
        <w:rPr>
          <w:rFonts w:ascii="Garamond" w:hAnsi="Garamond"/>
          <w:b/>
        </w:rPr>
        <w:t>Terms of reference for 2019 Review</w:t>
      </w:r>
    </w:p>
    <w:p w14:paraId="17AE6A1E" w14:textId="77777777" w:rsidR="00DB432F" w:rsidRPr="00381F61" w:rsidRDefault="00DB432F" w:rsidP="00DB432F">
      <w:pPr>
        <w:jc w:val="both"/>
        <w:rPr>
          <w:rFonts w:ascii="Garamond" w:hAnsi="Garamond"/>
        </w:rPr>
      </w:pPr>
    </w:p>
    <w:p w14:paraId="704EC4CD" w14:textId="4A6467C5" w:rsidR="00490266" w:rsidRPr="00381F61" w:rsidRDefault="00DB432F" w:rsidP="00DB432F">
      <w:pPr>
        <w:jc w:val="both"/>
        <w:rPr>
          <w:rFonts w:ascii="Garamond" w:hAnsi="Garamond"/>
        </w:rPr>
      </w:pPr>
      <w:r w:rsidRPr="00381F61">
        <w:rPr>
          <w:rFonts w:ascii="Garamond" w:hAnsi="Garamond"/>
        </w:rPr>
        <w:t>There was no mention in the Terms of Reference for the Retirement Commissioner’s 2019 Review of the issues associated with the disclosure regime for retirement saving schemes.</w:t>
      </w:r>
      <w:r w:rsidR="00490266" w:rsidRPr="00381F61">
        <w:rPr>
          <w:rFonts w:ascii="Garamond" w:hAnsi="Garamond"/>
        </w:rPr>
        <w:t xml:space="preserve">  The only indirect reference was to the “public’s perception and understanding” of:</w:t>
      </w:r>
    </w:p>
    <w:p w14:paraId="55567EC4" w14:textId="771233F6" w:rsidR="00490266" w:rsidRPr="00381F61" w:rsidRDefault="00490266" w:rsidP="00490266">
      <w:pPr>
        <w:pStyle w:val="ListParagraph"/>
        <w:numPr>
          <w:ilvl w:val="0"/>
          <w:numId w:val="68"/>
        </w:numPr>
        <w:jc w:val="both"/>
        <w:rPr>
          <w:rFonts w:ascii="Garamond" w:hAnsi="Garamond"/>
        </w:rPr>
      </w:pPr>
      <w:r w:rsidRPr="00381F61">
        <w:rPr>
          <w:rFonts w:ascii="Garamond" w:hAnsi="Garamond"/>
        </w:rPr>
        <w:t>Fees charged by KiwiSaver schemes – we also have more to say in the next Section 19;</w:t>
      </w:r>
    </w:p>
    <w:p w14:paraId="1929BF51" w14:textId="27DB45F0" w:rsidR="00DB432F" w:rsidRPr="00381F61" w:rsidRDefault="00490266" w:rsidP="00891E0F">
      <w:pPr>
        <w:pStyle w:val="ListParagraph"/>
        <w:numPr>
          <w:ilvl w:val="0"/>
          <w:numId w:val="68"/>
        </w:numPr>
        <w:jc w:val="both"/>
        <w:rPr>
          <w:rFonts w:ascii="Garamond" w:hAnsi="Garamond"/>
        </w:rPr>
      </w:pPr>
      <w:r w:rsidRPr="00381F61">
        <w:rPr>
          <w:rFonts w:ascii="Garamond" w:hAnsi="Garamond"/>
        </w:rPr>
        <w:t>So-called ‘ethical’ investments by KiwiSaver schemes</w:t>
      </w:r>
      <w:r w:rsidR="00DB432F" w:rsidRPr="00381F61">
        <w:rPr>
          <w:rFonts w:ascii="Garamond" w:hAnsi="Garamond"/>
        </w:rPr>
        <w:t>.</w:t>
      </w:r>
    </w:p>
    <w:p w14:paraId="719D45AA" w14:textId="383736C3" w:rsidR="00DB432F" w:rsidRPr="00381F61" w:rsidRDefault="00DB432F" w:rsidP="00DB432F">
      <w:pPr>
        <w:jc w:val="both"/>
        <w:rPr>
          <w:rFonts w:ascii="Garamond" w:hAnsi="Garamond"/>
        </w:rPr>
      </w:pPr>
    </w:p>
    <w:p w14:paraId="393CBA45" w14:textId="000A6844" w:rsidR="00490266" w:rsidRPr="00381F61" w:rsidRDefault="00490266" w:rsidP="00DB432F">
      <w:pPr>
        <w:jc w:val="both"/>
        <w:rPr>
          <w:rFonts w:ascii="Garamond" w:hAnsi="Garamond"/>
        </w:rPr>
      </w:pPr>
      <w:r w:rsidRPr="00381F61">
        <w:rPr>
          <w:rFonts w:ascii="Garamond" w:hAnsi="Garamond"/>
        </w:rPr>
        <w:t>We have covered those issues in our commentary on the 2019 Terms of Reference in the Introduction to this report.</w:t>
      </w:r>
    </w:p>
    <w:p w14:paraId="2A4E969A" w14:textId="77777777" w:rsidR="00490266" w:rsidRPr="00381F61" w:rsidRDefault="00490266" w:rsidP="00DB432F">
      <w:pPr>
        <w:jc w:val="both"/>
        <w:rPr>
          <w:rFonts w:ascii="Garamond" w:hAnsi="Garamond"/>
        </w:rPr>
      </w:pPr>
    </w:p>
    <w:p w14:paraId="39867049" w14:textId="2988DCA3" w:rsidR="00DB432F" w:rsidRPr="00381F61" w:rsidRDefault="00490266" w:rsidP="00DB432F">
      <w:pPr>
        <w:jc w:val="both"/>
        <w:rPr>
          <w:rFonts w:ascii="Garamond" w:hAnsi="Garamond"/>
        </w:rPr>
      </w:pPr>
      <w:r w:rsidRPr="00381F61">
        <w:rPr>
          <w:rFonts w:ascii="Garamond" w:hAnsi="Garamond"/>
        </w:rPr>
        <w:t>Of greater significance are</w:t>
      </w:r>
      <w:r w:rsidR="00DB432F" w:rsidRPr="00381F61">
        <w:rPr>
          <w:rFonts w:ascii="Garamond" w:hAnsi="Garamond"/>
        </w:rPr>
        <w:t xml:space="preserve"> the following questions </w:t>
      </w:r>
      <w:r w:rsidRPr="00381F61">
        <w:rPr>
          <w:rFonts w:ascii="Garamond" w:hAnsi="Garamond"/>
        </w:rPr>
        <w:t xml:space="preserve">that </w:t>
      </w:r>
      <w:r w:rsidR="00DB432F" w:rsidRPr="00381F61">
        <w:rPr>
          <w:rFonts w:ascii="Garamond" w:hAnsi="Garamond"/>
        </w:rPr>
        <w:t>will need to be addressed.</w:t>
      </w:r>
    </w:p>
    <w:p w14:paraId="4F0FFEB8" w14:textId="77777777" w:rsidR="004D35B3" w:rsidRPr="00381F61" w:rsidRDefault="004D35B3">
      <w:pPr>
        <w:jc w:val="both"/>
        <w:rPr>
          <w:rFonts w:ascii="Garamond" w:hAnsi="Garamond"/>
        </w:rPr>
      </w:pPr>
    </w:p>
    <w:p w14:paraId="7ABC2298" w14:textId="4F4FC80E" w:rsidR="00CA6EBB" w:rsidRPr="00381F61" w:rsidRDefault="00CA6EBB">
      <w:pPr>
        <w:jc w:val="both"/>
        <w:rPr>
          <w:rFonts w:ascii="Garamond" w:hAnsi="Garamond"/>
          <w:b/>
        </w:rPr>
      </w:pPr>
      <w:r w:rsidRPr="00381F61">
        <w:rPr>
          <w:rFonts w:ascii="Garamond" w:hAnsi="Garamond"/>
          <w:b/>
        </w:rPr>
        <w:t>Questions New Zealand need</w:t>
      </w:r>
      <w:r w:rsidR="00CC0BC7" w:rsidRPr="00381F61">
        <w:rPr>
          <w:rFonts w:ascii="Garamond" w:hAnsi="Garamond"/>
          <w:b/>
        </w:rPr>
        <w:t>s</w:t>
      </w:r>
      <w:r w:rsidRPr="00381F61">
        <w:rPr>
          <w:rFonts w:ascii="Garamond" w:hAnsi="Garamond"/>
          <w:b/>
        </w:rPr>
        <w:t xml:space="preserve"> to discuss</w:t>
      </w:r>
      <w:r w:rsidR="00882532" w:rsidRPr="00381F61">
        <w:rPr>
          <w:rFonts w:ascii="Garamond" w:hAnsi="Garamond"/>
          <w:b/>
        </w:rPr>
        <w:t xml:space="preserve"> on disclosure issues</w:t>
      </w:r>
      <w:r w:rsidR="00CC0BC7" w:rsidRPr="00381F61">
        <w:rPr>
          <w:rFonts w:ascii="Garamond" w:hAnsi="Garamond"/>
          <w:b/>
        </w:rPr>
        <w:t>:</w:t>
      </w:r>
    </w:p>
    <w:p w14:paraId="1E881A4E" w14:textId="77777777" w:rsidR="00CA6EBB" w:rsidRPr="00381F61" w:rsidRDefault="00CA6EBB">
      <w:pPr>
        <w:jc w:val="both"/>
        <w:rPr>
          <w:rFonts w:ascii="Garamond" w:hAnsi="Garamond"/>
        </w:rPr>
      </w:pPr>
    </w:p>
    <w:p w14:paraId="2C2D589D" w14:textId="77777777" w:rsidR="002975A3" w:rsidRPr="00381F61" w:rsidRDefault="002975A3" w:rsidP="002975A3">
      <w:pPr>
        <w:pStyle w:val="ListParagraph"/>
        <w:numPr>
          <w:ilvl w:val="0"/>
          <w:numId w:val="57"/>
        </w:numPr>
        <w:jc w:val="both"/>
        <w:rPr>
          <w:rFonts w:ascii="Garamond" w:hAnsi="Garamond"/>
        </w:rPr>
      </w:pPr>
      <w:r w:rsidRPr="00381F61">
        <w:rPr>
          <w:rFonts w:ascii="Garamond" w:hAnsi="Garamond"/>
        </w:rPr>
        <w:t>Do savers read the PDS and do they understand the key components of the CIV covered by the PDS?</w:t>
      </w:r>
    </w:p>
    <w:p w14:paraId="62AD4D7C" w14:textId="77777777" w:rsidR="002975A3" w:rsidRPr="00381F61" w:rsidRDefault="002975A3" w:rsidP="002975A3">
      <w:pPr>
        <w:pStyle w:val="ListParagraph"/>
        <w:jc w:val="both"/>
        <w:rPr>
          <w:rFonts w:ascii="Garamond" w:hAnsi="Garamond"/>
        </w:rPr>
      </w:pPr>
    </w:p>
    <w:p w14:paraId="7D1A1D61" w14:textId="43E940EC" w:rsidR="001B1B68" w:rsidRPr="00381F61" w:rsidRDefault="001B1B68" w:rsidP="002975A3">
      <w:pPr>
        <w:pStyle w:val="ListParagraph"/>
        <w:numPr>
          <w:ilvl w:val="0"/>
          <w:numId w:val="57"/>
        </w:numPr>
        <w:jc w:val="both"/>
        <w:rPr>
          <w:rFonts w:ascii="Garamond" w:hAnsi="Garamond"/>
        </w:rPr>
      </w:pPr>
      <w:r w:rsidRPr="00381F61">
        <w:rPr>
          <w:rFonts w:ascii="Garamond" w:hAnsi="Garamond"/>
        </w:rPr>
        <w:t>Does the PDS contain the important information that an investor should consider?</w:t>
      </w:r>
    </w:p>
    <w:p w14:paraId="6DE6095F" w14:textId="77777777" w:rsidR="001B1B68" w:rsidRPr="00381F61" w:rsidRDefault="001B1B68" w:rsidP="00891E0F">
      <w:pPr>
        <w:pStyle w:val="ListParagraph"/>
        <w:rPr>
          <w:rFonts w:ascii="Garamond" w:hAnsi="Garamond"/>
        </w:rPr>
      </w:pPr>
    </w:p>
    <w:p w14:paraId="2D826EB5" w14:textId="123457D4" w:rsidR="002975A3" w:rsidRPr="00381F61" w:rsidRDefault="002975A3" w:rsidP="002975A3">
      <w:pPr>
        <w:pStyle w:val="ListParagraph"/>
        <w:numPr>
          <w:ilvl w:val="0"/>
          <w:numId w:val="57"/>
        </w:numPr>
        <w:jc w:val="both"/>
        <w:rPr>
          <w:rFonts w:ascii="Garamond" w:hAnsi="Garamond"/>
        </w:rPr>
      </w:pPr>
      <w:r w:rsidRPr="00381F61">
        <w:rPr>
          <w:rFonts w:ascii="Garamond" w:hAnsi="Garamond"/>
        </w:rPr>
        <w:t>Has the PDS improved the quality of disclosure and access by ordinary savers?</w:t>
      </w:r>
    </w:p>
    <w:p w14:paraId="7FDDD55D" w14:textId="77777777" w:rsidR="002975A3" w:rsidRPr="00381F61" w:rsidRDefault="002975A3" w:rsidP="002975A3">
      <w:pPr>
        <w:ind w:left="709"/>
        <w:jc w:val="both"/>
        <w:rPr>
          <w:rFonts w:ascii="Garamond" w:hAnsi="Garamond"/>
        </w:rPr>
      </w:pPr>
    </w:p>
    <w:p w14:paraId="7C4F5927" w14:textId="078E9724" w:rsidR="002975A3" w:rsidRPr="00381F61" w:rsidRDefault="002975A3" w:rsidP="002975A3">
      <w:pPr>
        <w:pStyle w:val="ListParagraph"/>
        <w:numPr>
          <w:ilvl w:val="0"/>
          <w:numId w:val="57"/>
        </w:numPr>
        <w:jc w:val="both"/>
        <w:rPr>
          <w:rFonts w:ascii="Garamond" w:hAnsi="Garamond"/>
        </w:rPr>
      </w:pPr>
      <w:r w:rsidRPr="00381F61">
        <w:rPr>
          <w:rFonts w:ascii="Garamond" w:hAnsi="Garamond"/>
        </w:rPr>
        <w:t>What are the key things an investor should know about a provider and do all these have to be in a single document?</w:t>
      </w:r>
      <w:r w:rsidR="00084A66" w:rsidRPr="00381F61">
        <w:rPr>
          <w:rFonts w:ascii="Garamond" w:hAnsi="Garamond"/>
        </w:rPr>
        <w:t xml:space="preserve">  What is the likely pattern of returns in terms of income and market movements?</w:t>
      </w:r>
    </w:p>
    <w:p w14:paraId="5210883B" w14:textId="77777777" w:rsidR="002975A3" w:rsidRPr="00381F61" w:rsidRDefault="002975A3" w:rsidP="00563816">
      <w:pPr>
        <w:ind w:left="709"/>
        <w:jc w:val="both"/>
        <w:rPr>
          <w:rFonts w:ascii="Garamond" w:hAnsi="Garamond"/>
        </w:rPr>
      </w:pPr>
    </w:p>
    <w:p w14:paraId="60BA1FE3" w14:textId="7835A3BA" w:rsidR="00CA6EBB" w:rsidRPr="00381F61" w:rsidRDefault="00CA6EBB" w:rsidP="00043E1D">
      <w:pPr>
        <w:pStyle w:val="ListParagraph"/>
        <w:numPr>
          <w:ilvl w:val="0"/>
          <w:numId w:val="57"/>
        </w:numPr>
        <w:jc w:val="both"/>
        <w:rPr>
          <w:rFonts w:ascii="Garamond" w:hAnsi="Garamond"/>
        </w:rPr>
      </w:pPr>
      <w:r w:rsidRPr="00381F61">
        <w:rPr>
          <w:rFonts w:ascii="Garamond" w:hAnsi="Garamond"/>
        </w:rPr>
        <w:t xml:space="preserve">What do savers </w:t>
      </w:r>
      <w:r w:rsidR="002975A3" w:rsidRPr="00381F61">
        <w:rPr>
          <w:rFonts w:ascii="Garamond" w:hAnsi="Garamond"/>
        </w:rPr>
        <w:t xml:space="preserve">actually </w:t>
      </w:r>
      <w:r w:rsidRPr="00381F61">
        <w:rPr>
          <w:rFonts w:ascii="Garamond" w:hAnsi="Garamond"/>
        </w:rPr>
        <w:t>know and what do they need to know about the collective investment products they already use?</w:t>
      </w:r>
      <w:r w:rsidR="000D65AC" w:rsidRPr="00381F61">
        <w:rPr>
          <w:rFonts w:ascii="Garamond" w:hAnsi="Garamond"/>
        </w:rPr>
        <w:t xml:space="preserve">  Where is the evidence?</w:t>
      </w:r>
    </w:p>
    <w:p w14:paraId="076CDCEB" w14:textId="77777777" w:rsidR="008A1D09" w:rsidRPr="00381F61" w:rsidRDefault="008A1D09" w:rsidP="00043E1D">
      <w:pPr>
        <w:pStyle w:val="ListParagraph"/>
        <w:jc w:val="both"/>
        <w:rPr>
          <w:rFonts w:ascii="Garamond" w:hAnsi="Garamond"/>
        </w:rPr>
      </w:pPr>
    </w:p>
    <w:p w14:paraId="2F0CE3F0" w14:textId="1E8B7EE5" w:rsidR="00CA6EBB" w:rsidRPr="00381F61" w:rsidRDefault="00CA6EBB" w:rsidP="00043E1D">
      <w:pPr>
        <w:pStyle w:val="ListParagraph"/>
        <w:numPr>
          <w:ilvl w:val="0"/>
          <w:numId w:val="57"/>
        </w:numPr>
        <w:jc w:val="both"/>
        <w:rPr>
          <w:rFonts w:ascii="Garamond" w:hAnsi="Garamond"/>
        </w:rPr>
      </w:pPr>
      <w:r w:rsidRPr="00381F61">
        <w:rPr>
          <w:rFonts w:ascii="Garamond" w:hAnsi="Garamond"/>
        </w:rPr>
        <w:t xml:space="preserve">Where precisely can the average saver get the help they need to understand </w:t>
      </w:r>
      <w:r w:rsidR="00063C2A" w:rsidRPr="00381F61">
        <w:rPr>
          <w:rFonts w:ascii="Garamond" w:hAnsi="Garamond"/>
        </w:rPr>
        <w:t>the products they need to use?  S</w:t>
      </w:r>
      <w:r w:rsidRPr="00381F61">
        <w:rPr>
          <w:rFonts w:ascii="Garamond" w:hAnsi="Garamond"/>
        </w:rPr>
        <w:t xml:space="preserve">aying they should seek advice from </w:t>
      </w:r>
      <w:r w:rsidR="00063C2A" w:rsidRPr="00381F61">
        <w:rPr>
          <w:rFonts w:ascii="Garamond" w:hAnsi="Garamond"/>
        </w:rPr>
        <w:t>an ‘Authorised Financial Adviser’</w:t>
      </w:r>
      <w:r w:rsidR="0071467B" w:rsidRPr="00381F61">
        <w:rPr>
          <w:rStyle w:val="FootnoteReference"/>
          <w:rFonts w:ascii="Garamond" w:hAnsi="Garamond"/>
        </w:rPr>
        <w:footnoteReference w:id="235"/>
      </w:r>
      <w:r w:rsidR="00063C2A" w:rsidRPr="00381F61">
        <w:rPr>
          <w:rFonts w:ascii="Garamond" w:hAnsi="Garamond"/>
        </w:rPr>
        <w:t>, a ‘Registered Financial Adviser’</w:t>
      </w:r>
      <w:r w:rsidR="00E85DD8" w:rsidRPr="00381F61">
        <w:rPr>
          <w:rStyle w:val="FootnoteReference"/>
          <w:rFonts w:ascii="Garamond" w:hAnsi="Garamond"/>
        </w:rPr>
        <w:footnoteReference w:id="236"/>
      </w:r>
      <w:r w:rsidR="00063C2A" w:rsidRPr="00381F61">
        <w:rPr>
          <w:rFonts w:ascii="Garamond" w:hAnsi="Garamond"/>
        </w:rPr>
        <w:t xml:space="preserve"> or a ‘Qualifying Financial Entity’ adviser</w:t>
      </w:r>
      <w:r w:rsidR="00E85DD8" w:rsidRPr="00381F61">
        <w:rPr>
          <w:rStyle w:val="FootnoteReference"/>
          <w:rFonts w:ascii="Garamond" w:hAnsi="Garamond"/>
        </w:rPr>
        <w:footnoteReference w:id="237"/>
      </w:r>
      <w:r w:rsidR="00063C2A" w:rsidRPr="00381F61">
        <w:rPr>
          <w:rFonts w:ascii="Garamond" w:hAnsi="Garamond"/>
        </w:rPr>
        <w:t xml:space="preserve"> (see </w:t>
      </w:r>
      <w:hyperlink r:id="rId72" w:anchor="types" w:history="1">
        <w:r w:rsidR="00063C2A" w:rsidRPr="00381F61">
          <w:rPr>
            <w:rStyle w:val="Hyperlink"/>
            <w:rFonts w:ascii="Garamond" w:hAnsi="Garamond"/>
          </w:rPr>
          <w:t>here</w:t>
        </w:r>
      </w:hyperlink>
      <w:r w:rsidR="00063C2A" w:rsidRPr="00381F61">
        <w:rPr>
          <w:rFonts w:ascii="Garamond" w:hAnsi="Garamond"/>
        </w:rPr>
        <w:t>) is unhelpful.</w:t>
      </w:r>
    </w:p>
    <w:p w14:paraId="676AC1A5" w14:textId="77777777" w:rsidR="00F36C15" w:rsidRPr="00381F61" w:rsidRDefault="00F36C15" w:rsidP="00043E1D">
      <w:pPr>
        <w:ind w:left="709"/>
        <w:jc w:val="both"/>
        <w:rPr>
          <w:rFonts w:ascii="Garamond" w:hAnsi="Garamond"/>
        </w:rPr>
      </w:pPr>
    </w:p>
    <w:p w14:paraId="31329AED" w14:textId="53CC81B6" w:rsidR="00F36C15" w:rsidRPr="00381F61" w:rsidRDefault="00F36C15" w:rsidP="00043E1D">
      <w:pPr>
        <w:pStyle w:val="ListParagraph"/>
        <w:numPr>
          <w:ilvl w:val="0"/>
          <w:numId w:val="57"/>
        </w:numPr>
        <w:jc w:val="both"/>
        <w:rPr>
          <w:rFonts w:ascii="Garamond" w:hAnsi="Garamond"/>
        </w:rPr>
      </w:pPr>
      <w:r w:rsidRPr="00381F61">
        <w:rPr>
          <w:rFonts w:ascii="Garamond" w:hAnsi="Garamond"/>
        </w:rPr>
        <w:t xml:space="preserve">Does the FMA know what savers need to know </w:t>
      </w:r>
      <w:r w:rsidR="0075332D" w:rsidRPr="00381F61">
        <w:rPr>
          <w:rFonts w:ascii="Garamond" w:hAnsi="Garamond"/>
        </w:rPr>
        <w:t xml:space="preserve">and how is the FMA finding out whether providers of managed funds are delivering that information?  </w:t>
      </w:r>
      <w:r w:rsidR="002B0212" w:rsidRPr="00381F61">
        <w:rPr>
          <w:rFonts w:ascii="Garamond" w:hAnsi="Garamond"/>
        </w:rPr>
        <w:t>For example, h</w:t>
      </w:r>
      <w:r w:rsidR="0075332D" w:rsidRPr="00381F61">
        <w:rPr>
          <w:rFonts w:ascii="Garamond" w:hAnsi="Garamond"/>
        </w:rPr>
        <w:t>as the FMA run ‘mystery shopper’ programmes with providers?  Has it benchmarked service standards for common transactions (joining, changing details, changing contributions, changing investment strategy etc)?</w:t>
      </w:r>
      <w:r w:rsidR="0075332D" w:rsidRPr="00381F61">
        <w:rPr>
          <w:rStyle w:val="FootnoteReference"/>
          <w:rFonts w:ascii="Garamond" w:hAnsi="Garamond"/>
        </w:rPr>
        <w:footnoteReference w:id="238"/>
      </w:r>
    </w:p>
    <w:p w14:paraId="5876DABE" w14:textId="77777777" w:rsidR="000D65AC" w:rsidRPr="00381F61" w:rsidRDefault="000D65AC" w:rsidP="00043E1D">
      <w:pPr>
        <w:ind w:left="709"/>
        <w:jc w:val="both"/>
        <w:rPr>
          <w:rFonts w:ascii="Garamond" w:hAnsi="Garamond"/>
        </w:rPr>
      </w:pPr>
    </w:p>
    <w:p w14:paraId="02E178EE" w14:textId="5BB34928" w:rsidR="000D65AC" w:rsidRPr="00381F61" w:rsidRDefault="000D65AC" w:rsidP="00043E1D">
      <w:pPr>
        <w:pStyle w:val="ListParagraph"/>
        <w:numPr>
          <w:ilvl w:val="0"/>
          <w:numId w:val="57"/>
        </w:numPr>
        <w:jc w:val="both"/>
        <w:rPr>
          <w:rFonts w:ascii="Garamond" w:hAnsi="Garamond"/>
        </w:rPr>
      </w:pPr>
      <w:r w:rsidRPr="00381F61">
        <w:rPr>
          <w:rFonts w:ascii="Garamond" w:hAnsi="Garamond"/>
        </w:rPr>
        <w:t xml:space="preserve">What are savers currently receiving on a regular basis?  What is current ‘best practice’?  How much do savers understand </w:t>
      </w:r>
      <w:r w:rsidR="00010996" w:rsidRPr="00381F61">
        <w:rPr>
          <w:rFonts w:ascii="Garamond" w:hAnsi="Garamond"/>
        </w:rPr>
        <w:t xml:space="preserve">about </w:t>
      </w:r>
      <w:r w:rsidRPr="00381F61">
        <w:rPr>
          <w:rFonts w:ascii="Garamond" w:hAnsi="Garamond"/>
        </w:rPr>
        <w:t>the things they are being told?  How can savers be helped in this communication process?  Again, where is the evidence?</w:t>
      </w:r>
    </w:p>
    <w:p w14:paraId="46AB1211" w14:textId="77777777" w:rsidR="000D65AC" w:rsidRPr="00381F61" w:rsidRDefault="000D65AC" w:rsidP="00043E1D">
      <w:pPr>
        <w:ind w:left="709"/>
        <w:jc w:val="both"/>
        <w:rPr>
          <w:rFonts w:ascii="Garamond" w:hAnsi="Garamond"/>
        </w:rPr>
      </w:pPr>
    </w:p>
    <w:p w14:paraId="134484E5" w14:textId="5EA5E090" w:rsidR="000D65AC" w:rsidRPr="00381F61" w:rsidRDefault="000D65AC" w:rsidP="00043E1D">
      <w:pPr>
        <w:pStyle w:val="ListParagraph"/>
        <w:numPr>
          <w:ilvl w:val="0"/>
          <w:numId w:val="57"/>
        </w:numPr>
        <w:jc w:val="both"/>
        <w:rPr>
          <w:rFonts w:ascii="Garamond" w:hAnsi="Garamond"/>
        </w:rPr>
      </w:pPr>
      <w:r w:rsidRPr="00381F61">
        <w:rPr>
          <w:rFonts w:ascii="Garamond" w:hAnsi="Garamond"/>
        </w:rPr>
        <w:t>What are the current costs of compliance (initial and on-going)?  Given that members ultimately pay for these, how can the regulatory regime work to reduce these?</w:t>
      </w:r>
      <w:r w:rsidR="002B0212" w:rsidRPr="00381F61">
        <w:rPr>
          <w:rFonts w:ascii="Garamond" w:hAnsi="Garamond"/>
        </w:rPr>
        <w:t xml:space="preserve">  How can technology help?  In other words, why must the key messages be reduced to a single, written document?</w:t>
      </w:r>
    </w:p>
    <w:p w14:paraId="34C44FC0" w14:textId="77777777" w:rsidR="00795802" w:rsidRPr="00381F61" w:rsidRDefault="00795802" w:rsidP="0062635B">
      <w:pPr>
        <w:ind w:left="709"/>
        <w:jc w:val="both"/>
        <w:rPr>
          <w:rFonts w:ascii="Garamond" w:hAnsi="Garamond"/>
        </w:rPr>
      </w:pPr>
    </w:p>
    <w:p w14:paraId="2AD4B897" w14:textId="08A8DEF8" w:rsidR="00795802" w:rsidRPr="00381F61" w:rsidRDefault="00795802" w:rsidP="00043E1D">
      <w:pPr>
        <w:pStyle w:val="ListParagraph"/>
        <w:numPr>
          <w:ilvl w:val="0"/>
          <w:numId w:val="57"/>
        </w:numPr>
        <w:jc w:val="both"/>
        <w:rPr>
          <w:rFonts w:ascii="Garamond" w:hAnsi="Garamond"/>
        </w:rPr>
      </w:pPr>
      <w:r w:rsidRPr="00381F61">
        <w:rPr>
          <w:rFonts w:ascii="Garamond" w:hAnsi="Garamond"/>
        </w:rPr>
        <w:t>Why not increase the scope of the current ‘Disclose Register’ to include other key information about each CIV like investment returns and fees?</w:t>
      </w:r>
    </w:p>
    <w:p w14:paraId="7F4AB588" w14:textId="77777777" w:rsidR="001B1B68" w:rsidRPr="00381F61" w:rsidRDefault="001B1B68" w:rsidP="00891E0F">
      <w:pPr>
        <w:pStyle w:val="ListParagraph"/>
        <w:rPr>
          <w:rFonts w:ascii="Garamond" w:hAnsi="Garamond"/>
        </w:rPr>
      </w:pPr>
    </w:p>
    <w:p w14:paraId="0B34E031" w14:textId="16039ADA" w:rsidR="001B1B68" w:rsidRPr="00381F61" w:rsidRDefault="001B1B68" w:rsidP="001B1B68">
      <w:pPr>
        <w:pStyle w:val="ListParagraph"/>
        <w:numPr>
          <w:ilvl w:val="0"/>
          <w:numId w:val="57"/>
        </w:numPr>
        <w:jc w:val="both"/>
        <w:rPr>
          <w:rFonts w:ascii="Garamond" w:hAnsi="Garamond"/>
        </w:rPr>
      </w:pPr>
      <w:r w:rsidRPr="00381F61">
        <w:rPr>
          <w:rFonts w:ascii="Garamond" w:hAnsi="Garamond"/>
        </w:rPr>
        <w:t>Has the latest requirement for the disclosure of KiwiSaver fees on the annual statement improved an investor’s understanding of fees and improved returns or reduced risk?</w:t>
      </w:r>
    </w:p>
    <w:p w14:paraId="068981C3" w14:textId="77777777" w:rsidR="001B1B68" w:rsidRPr="00381F61" w:rsidRDefault="001B1B68" w:rsidP="001B1B68">
      <w:pPr>
        <w:pStyle w:val="ListParagraph"/>
        <w:rPr>
          <w:rFonts w:ascii="Garamond" w:hAnsi="Garamond"/>
        </w:rPr>
      </w:pPr>
    </w:p>
    <w:p w14:paraId="6443B92B" w14:textId="20BC42F5" w:rsidR="001B1B68" w:rsidRPr="00381F61" w:rsidRDefault="001B1B68" w:rsidP="001B1B68">
      <w:pPr>
        <w:pStyle w:val="ListParagraph"/>
        <w:numPr>
          <w:ilvl w:val="0"/>
          <w:numId w:val="57"/>
        </w:numPr>
        <w:jc w:val="both"/>
        <w:rPr>
          <w:rFonts w:ascii="Garamond" w:hAnsi="Garamond"/>
        </w:rPr>
      </w:pPr>
      <w:r w:rsidRPr="00381F61">
        <w:rPr>
          <w:rFonts w:ascii="Garamond" w:hAnsi="Garamond"/>
        </w:rPr>
        <w:t>Will the new projection requirements lead to better decisions and allow savers to be better prepared for retirement?</w:t>
      </w:r>
    </w:p>
    <w:p w14:paraId="152385F8" w14:textId="77777777" w:rsidR="001B1B68" w:rsidRPr="00381F61" w:rsidRDefault="001B1B68" w:rsidP="001B1B68">
      <w:pPr>
        <w:pStyle w:val="ListParagraph"/>
        <w:rPr>
          <w:rFonts w:ascii="Garamond" w:hAnsi="Garamond"/>
        </w:rPr>
      </w:pPr>
    </w:p>
    <w:p w14:paraId="0ED74713" w14:textId="224D5320" w:rsidR="001B1B68" w:rsidRPr="00381F61" w:rsidRDefault="001B1B68" w:rsidP="001B1B68">
      <w:pPr>
        <w:pStyle w:val="ListParagraph"/>
        <w:numPr>
          <w:ilvl w:val="0"/>
          <w:numId w:val="57"/>
        </w:numPr>
        <w:jc w:val="both"/>
        <w:rPr>
          <w:rFonts w:ascii="Garamond" w:hAnsi="Garamond"/>
        </w:rPr>
      </w:pPr>
      <w:r w:rsidRPr="00381F61">
        <w:rPr>
          <w:rFonts w:ascii="Garamond" w:hAnsi="Garamond"/>
        </w:rPr>
        <w:t>How will we capture data to assess the value of the fees’ disclosure and the projected income disclosure to determine whether they have achieved their goals?</w:t>
      </w:r>
    </w:p>
    <w:p w14:paraId="73CE5E6B" w14:textId="77777777" w:rsidR="001B1B68" w:rsidRPr="00381F61" w:rsidRDefault="001B1B68" w:rsidP="001B1B68">
      <w:pPr>
        <w:pStyle w:val="ListParagraph"/>
        <w:rPr>
          <w:rFonts w:ascii="Garamond" w:hAnsi="Garamond"/>
        </w:rPr>
      </w:pPr>
    </w:p>
    <w:p w14:paraId="4F0929C1" w14:textId="7B880203" w:rsidR="001B1B68" w:rsidRPr="00381F61" w:rsidRDefault="001B1B68" w:rsidP="001B1B68">
      <w:pPr>
        <w:pStyle w:val="ListParagraph"/>
        <w:numPr>
          <w:ilvl w:val="0"/>
          <w:numId w:val="57"/>
        </w:numPr>
        <w:jc w:val="both"/>
        <w:rPr>
          <w:rFonts w:ascii="Garamond" w:hAnsi="Garamond"/>
        </w:rPr>
      </w:pPr>
      <w:r w:rsidRPr="00381F61">
        <w:rPr>
          <w:rFonts w:ascii="Garamond" w:hAnsi="Garamond"/>
        </w:rPr>
        <w:t>Has the Supervisor regime improved the position for investors?</w:t>
      </w:r>
    </w:p>
    <w:p w14:paraId="517E8F42" w14:textId="77777777" w:rsidR="001B1B68" w:rsidRPr="00381F61" w:rsidRDefault="001B1B68" w:rsidP="00891E0F">
      <w:pPr>
        <w:ind w:left="360"/>
        <w:jc w:val="both"/>
        <w:rPr>
          <w:rFonts w:ascii="Garamond" w:hAnsi="Garamond"/>
        </w:rPr>
      </w:pPr>
    </w:p>
    <w:p w14:paraId="7C4DD960" w14:textId="77777777" w:rsidR="00AA379B" w:rsidRPr="00381F61" w:rsidRDefault="00AA379B">
      <w:pPr>
        <w:rPr>
          <w:rFonts w:ascii="Garamond" w:hAnsi="Garamond"/>
          <w:b/>
        </w:rPr>
      </w:pPr>
      <w:r w:rsidRPr="00381F61">
        <w:rPr>
          <w:rFonts w:ascii="Garamond" w:hAnsi="Garamond"/>
          <w:b/>
        </w:rPr>
        <w:br w:type="page"/>
      </w:r>
    </w:p>
    <w:p w14:paraId="61DC095A" w14:textId="32D6FA52" w:rsidR="00CD1966" w:rsidRPr="00381F61" w:rsidRDefault="00A97583" w:rsidP="00E71CEB">
      <w:pPr>
        <w:jc w:val="both"/>
        <w:rPr>
          <w:rFonts w:ascii="Garamond" w:hAnsi="Garamond"/>
          <w:b/>
        </w:rPr>
      </w:pPr>
      <w:r w:rsidRPr="00381F61">
        <w:rPr>
          <w:rFonts w:ascii="Garamond" w:hAnsi="Garamond"/>
          <w:b/>
        </w:rPr>
        <w:t>1</w:t>
      </w:r>
      <w:r w:rsidR="00F519BC" w:rsidRPr="00381F61">
        <w:rPr>
          <w:rFonts w:ascii="Garamond" w:hAnsi="Garamond"/>
          <w:b/>
        </w:rPr>
        <w:t>9</w:t>
      </w:r>
      <w:r w:rsidRPr="00381F61">
        <w:rPr>
          <w:rFonts w:ascii="Garamond" w:hAnsi="Garamond"/>
          <w:b/>
        </w:rPr>
        <w:t>.</w:t>
      </w:r>
      <w:r w:rsidR="008043AB" w:rsidRPr="00381F61">
        <w:rPr>
          <w:rFonts w:ascii="Garamond" w:hAnsi="Garamond"/>
          <w:b/>
        </w:rPr>
        <w:tab/>
      </w:r>
      <w:r w:rsidR="00B42004" w:rsidRPr="00381F61">
        <w:rPr>
          <w:rFonts w:ascii="Garamond" w:hAnsi="Garamond"/>
          <w:b/>
        </w:rPr>
        <w:t>Regulation – standards of conduct; investment performance comparisons</w:t>
      </w:r>
    </w:p>
    <w:p w14:paraId="476B82B8" w14:textId="77777777" w:rsidR="001B1B68" w:rsidRPr="00381F61" w:rsidRDefault="001B1B68" w:rsidP="00E71CEB">
      <w:pPr>
        <w:jc w:val="both"/>
        <w:rPr>
          <w:rFonts w:ascii="Garamond" w:hAnsi="Garamond"/>
          <w:b/>
        </w:rPr>
      </w:pPr>
    </w:p>
    <w:p w14:paraId="5E42ECE5" w14:textId="606CEC08" w:rsidR="00CD1966" w:rsidRPr="00381F61" w:rsidRDefault="00291B39" w:rsidP="00E71CEB">
      <w:pPr>
        <w:jc w:val="both"/>
        <w:rPr>
          <w:rFonts w:ascii="Garamond" w:hAnsi="Garamond"/>
        </w:rPr>
      </w:pPr>
      <w:r w:rsidRPr="00381F61">
        <w:rPr>
          <w:rFonts w:ascii="Garamond" w:hAnsi="Garamond"/>
        </w:rPr>
        <w:t xml:space="preserve">As stated </w:t>
      </w:r>
      <w:r w:rsidR="00DC4FD2" w:rsidRPr="00381F61">
        <w:rPr>
          <w:rFonts w:ascii="Garamond" w:hAnsi="Garamond"/>
        </w:rPr>
        <w:t xml:space="preserve">in section 11 (The role of the government), only governments can regulate to enforce codes of private (and public) conduct.  In a retirement saving context, we suggested that this covers minimum </w:t>
      </w:r>
      <w:r w:rsidR="00431864" w:rsidRPr="00381F61">
        <w:rPr>
          <w:rFonts w:ascii="Garamond" w:hAnsi="Garamond"/>
        </w:rPr>
        <w:t xml:space="preserve">disclosure and </w:t>
      </w:r>
      <w:r w:rsidR="00DC4FD2" w:rsidRPr="00381F61">
        <w:rPr>
          <w:rFonts w:ascii="Garamond" w:hAnsi="Garamond"/>
        </w:rPr>
        <w:t>reporting standards (covered in the last section 18)</w:t>
      </w:r>
      <w:r w:rsidR="00384496" w:rsidRPr="00381F61">
        <w:rPr>
          <w:rFonts w:ascii="Garamond" w:hAnsi="Garamond"/>
        </w:rPr>
        <w:t xml:space="preserve"> and also requir</w:t>
      </w:r>
      <w:r w:rsidR="00010996" w:rsidRPr="00381F61">
        <w:rPr>
          <w:rFonts w:ascii="Garamond" w:hAnsi="Garamond"/>
        </w:rPr>
        <w:t>es</w:t>
      </w:r>
      <w:r w:rsidR="00384496" w:rsidRPr="00381F61">
        <w:rPr>
          <w:rFonts w:ascii="Garamond" w:hAnsi="Garamond"/>
        </w:rPr>
        <w:t xml:space="preserve"> financial service providers “…to ensure investors and experts know what they need to know”.</w:t>
      </w:r>
    </w:p>
    <w:p w14:paraId="6E978460" w14:textId="77777777" w:rsidR="00DC4FD2" w:rsidRPr="00381F61" w:rsidRDefault="00DC4FD2" w:rsidP="00CD1966">
      <w:pPr>
        <w:jc w:val="both"/>
        <w:rPr>
          <w:rFonts w:ascii="Garamond" w:hAnsi="Garamond"/>
        </w:rPr>
      </w:pPr>
    </w:p>
    <w:p w14:paraId="0F7D69F9" w14:textId="77777777" w:rsidR="00384496" w:rsidRPr="00381F61" w:rsidRDefault="00384496" w:rsidP="00CD1966">
      <w:pPr>
        <w:jc w:val="both"/>
        <w:rPr>
          <w:rFonts w:ascii="Garamond" w:hAnsi="Garamond"/>
          <w:b/>
        </w:rPr>
      </w:pPr>
      <w:r w:rsidRPr="00381F61">
        <w:rPr>
          <w:rFonts w:ascii="Garamond" w:hAnsi="Garamond"/>
          <w:b/>
        </w:rPr>
        <w:t>Code of conduct</w:t>
      </w:r>
    </w:p>
    <w:p w14:paraId="19536D5D" w14:textId="77777777" w:rsidR="00431864" w:rsidRPr="00381F61" w:rsidRDefault="00DC4FD2" w:rsidP="00CD1966">
      <w:pPr>
        <w:jc w:val="both"/>
        <w:rPr>
          <w:rFonts w:ascii="Garamond" w:hAnsi="Garamond"/>
        </w:rPr>
      </w:pPr>
      <w:r w:rsidRPr="00381F61">
        <w:rPr>
          <w:rFonts w:ascii="Garamond" w:hAnsi="Garamond"/>
        </w:rPr>
        <w:t>The Financial Markets Authority (FMA)</w:t>
      </w:r>
      <w:r w:rsidR="00431864" w:rsidRPr="00381F61">
        <w:rPr>
          <w:rFonts w:ascii="Garamond" w:hAnsi="Garamond"/>
        </w:rPr>
        <w:t xml:space="preserve"> is:</w:t>
      </w:r>
    </w:p>
    <w:p w14:paraId="4D51D6F2" w14:textId="77777777" w:rsidR="00431864" w:rsidRPr="00381F61" w:rsidRDefault="00431864" w:rsidP="00CD1966">
      <w:pPr>
        <w:jc w:val="both"/>
        <w:rPr>
          <w:rFonts w:ascii="Garamond" w:hAnsi="Garamond"/>
          <w:sz w:val="8"/>
          <w:szCs w:val="8"/>
        </w:rPr>
      </w:pPr>
    </w:p>
    <w:p w14:paraId="46411F8D" w14:textId="259EFA46" w:rsidR="00431864" w:rsidRPr="00381F61" w:rsidRDefault="00431864" w:rsidP="00043E1D">
      <w:pPr>
        <w:ind w:left="709"/>
        <w:jc w:val="both"/>
        <w:rPr>
          <w:rFonts w:ascii="Garamond" w:hAnsi="Garamond" w:cs="Arial"/>
          <w:color w:val="000000" w:themeColor="text1"/>
          <w:sz w:val="22"/>
          <w:szCs w:val="22"/>
          <w:shd w:val="clear" w:color="auto" w:fill="FFFFFF"/>
        </w:rPr>
      </w:pPr>
      <w:r w:rsidRPr="00381F61">
        <w:rPr>
          <w:rFonts w:ascii="Garamond" w:hAnsi="Garamond"/>
          <w:color w:val="000000" w:themeColor="text1"/>
          <w:sz w:val="22"/>
          <w:szCs w:val="22"/>
        </w:rPr>
        <w:t>“…</w:t>
      </w:r>
      <w:r w:rsidRPr="00381F61">
        <w:rPr>
          <w:rFonts w:ascii="Garamond" w:hAnsi="Garamond" w:cs="Arial"/>
          <w:color w:val="000000" w:themeColor="text1"/>
          <w:sz w:val="22"/>
          <w:szCs w:val="22"/>
          <w:shd w:val="clear" w:color="auto" w:fill="FFFFFF"/>
        </w:rPr>
        <w:t xml:space="preserve">the New Zealand government agency responsible for enforcing securities, financial reporting and company law as they apply to financial services and securities markets. We also regulate securities exchanges, financial advisers and brokers, auditors, trustees and issuers - including issuers of KiwiSaver and superannuation schemes.” (web site accessible </w:t>
      </w:r>
      <w:hyperlink r:id="rId73" w:history="1">
        <w:r w:rsidRPr="00381F61">
          <w:rPr>
            <w:rStyle w:val="Hyperlink"/>
            <w:rFonts w:ascii="Garamond" w:hAnsi="Garamond" w:cs="Arial"/>
            <w:color w:val="000000" w:themeColor="text1"/>
            <w:sz w:val="22"/>
            <w:szCs w:val="22"/>
            <w:shd w:val="clear" w:color="auto" w:fill="FFFFFF"/>
          </w:rPr>
          <w:t>here</w:t>
        </w:r>
      </w:hyperlink>
      <w:r w:rsidRPr="00381F61">
        <w:rPr>
          <w:rFonts w:ascii="Garamond" w:hAnsi="Garamond" w:cs="Arial"/>
          <w:color w:val="000000" w:themeColor="text1"/>
          <w:sz w:val="22"/>
          <w:szCs w:val="22"/>
          <w:shd w:val="clear" w:color="auto" w:fill="FFFFFF"/>
        </w:rPr>
        <w:t>)</w:t>
      </w:r>
    </w:p>
    <w:p w14:paraId="51F3836E" w14:textId="77777777" w:rsidR="00556524" w:rsidRPr="00381F61" w:rsidRDefault="00556524" w:rsidP="00431864">
      <w:pPr>
        <w:rPr>
          <w:rFonts w:ascii="Garamond" w:hAnsi="Garamond"/>
        </w:rPr>
      </w:pPr>
    </w:p>
    <w:p w14:paraId="4990A68A" w14:textId="03640A03" w:rsidR="00431864" w:rsidRPr="00381F61" w:rsidRDefault="00556524" w:rsidP="00043E1D">
      <w:pPr>
        <w:jc w:val="both"/>
        <w:rPr>
          <w:rFonts w:ascii="Garamond" w:hAnsi="Garamond"/>
        </w:rPr>
      </w:pPr>
      <w:r w:rsidRPr="00381F61">
        <w:rPr>
          <w:rFonts w:ascii="Garamond" w:hAnsi="Garamond"/>
          <w:color w:val="000000" w:themeColor="text1"/>
        </w:rPr>
        <w:t>The FMA</w:t>
      </w:r>
      <w:r w:rsidR="002E7535" w:rsidRPr="00381F61">
        <w:rPr>
          <w:rFonts w:ascii="Garamond" w:hAnsi="Garamond" w:cs="Arial"/>
          <w:color w:val="000000" w:themeColor="text1"/>
        </w:rPr>
        <w:t xml:space="preserve"> </w:t>
      </w:r>
      <w:r w:rsidR="00381F61">
        <w:rPr>
          <w:rFonts w:ascii="Garamond" w:hAnsi="Garamond" w:cs="Arial"/>
          <w:color w:val="000000" w:themeColor="text1"/>
        </w:rPr>
        <w:t>p</w:t>
      </w:r>
      <w:r w:rsidR="002E7535" w:rsidRPr="00381F61">
        <w:rPr>
          <w:rFonts w:ascii="Garamond" w:hAnsi="Garamond" w:cs="Arial"/>
          <w:color w:val="000000" w:themeColor="text1"/>
        </w:rPr>
        <w:t>artners “…with public and private organisations to develop and promote education resources and messages to help investors make better investment decisions.”</w:t>
      </w:r>
      <w:r w:rsidRPr="00381F61">
        <w:rPr>
          <w:rFonts w:ascii="Garamond" w:hAnsi="Garamond" w:cs="Arial"/>
          <w:color w:val="000000" w:themeColor="text1"/>
        </w:rPr>
        <w:t xml:space="preserve"> (FMA website </w:t>
      </w:r>
      <w:hyperlink r:id="rId74" w:history="1">
        <w:r w:rsidRPr="00381F61">
          <w:rPr>
            <w:rStyle w:val="Hyperlink"/>
            <w:rFonts w:ascii="Garamond" w:hAnsi="Garamond" w:cs="Arial"/>
          </w:rPr>
          <w:t>here</w:t>
        </w:r>
      </w:hyperlink>
      <w:r w:rsidRPr="00381F61">
        <w:rPr>
          <w:rFonts w:ascii="Garamond" w:hAnsi="Garamond" w:cs="Arial"/>
          <w:color w:val="000000" w:themeColor="text1"/>
        </w:rPr>
        <w:t>)</w:t>
      </w:r>
    </w:p>
    <w:p w14:paraId="066E2C9C" w14:textId="77777777" w:rsidR="00556524" w:rsidRPr="00381F61" w:rsidRDefault="00556524" w:rsidP="00CD1966">
      <w:pPr>
        <w:jc w:val="both"/>
        <w:rPr>
          <w:rFonts w:ascii="Garamond" w:hAnsi="Garamond"/>
        </w:rPr>
      </w:pPr>
    </w:p>
    <w:p w14:paraId="72FA7A3A" w14:textId="77777777" w:rsidR="008D41F7" w:rsidRPr="00381F61" w:rsidRDefault="00431864" w:rsidP="00CD1966">
      <w:pPr>
        <w:jc w:val="both"/>
        <w:rPr>
          <w:rFonts w:ascii="Garamond" w:hAnsi="Garamond"/>
        </w:rPr>
      </w:pPr>
      <w:r w:rsidRPr="00381F61">
        <w:rPr>
          <w:rFonts w:ascii="Garamond" w:hAnsi="Garamond"/>
        </w:rPr>
        <w:t xml:space="preserve">It </w:t>
      </w:r>
      <w:r w:rsidR="00DC4FD2" w:rsidRPr="00381F61">
        <w:rPr>
          <w:rFonts w:ascii="Garamond" w:hAnsi="Garamond"/>
        </w:rPr>
        <w:t xml:space="preserve">has published </w:t>
      </w:r>
      <w:r w:rsidR="00DC4FD2" w:rsidRPr="00381F61">
        <w:rPr>
          <w:rFonts w:ascii="Garamond" w:hAnsi="Garamond"/>
          <w:i/>
        </w:rPr>
        <w:t xml:space="preserve">A guide to the FMA’s view of conduct </w:t>
      </w:r>
      <w:r w:rsidR="00DC4FD2" w:rsidRPr="00381F61">
        <w:rPr>
          <w:rFonts w:ascii="Garamond" w:hAnsi="Garamond"/>
        </w:rPr>
        <w:t>(2017)</w:t>
      </w:r>
      <w:r w:rsidR="00DC4FD2" w:rsidRPr="00381F61">
        <w:rPr>
          <w:rStyle w:val="FootnoteReference"/>
          <w:rFonts w:ascii="Garamond" w:hAnsi="Garamond"/>
        </w:rPr>
        <w:footnoteReference w:id="239"/>
      </w:r>
      <w:r w:rsidR="008D41F7" w:rsidRPr="00381F61">
        <w:rPr>
          <w:rFonts w:ascii="Garamond" w:hAnsi="Garamond"/>
        </w:rPr>
        <w:t xml:space="preserve">  We will confine our comments to issues associated with ‘collective investment vehicles’ such as those that might be used by people who are saving for retirement.</w:t>
      </w:r>
    </w:p>
    <w:p w14:paraId="5EF8346B" w14:textId="77777777" w:rsidR="008D41F7" w:rsidRPr="00381F61" w:rsidRDefault="008D41F7" w:rsidP="00CD1966">
      <w:pPr>
        <w:jc w:val="both"/>
        <w:rPr>
          <w:rFonts w:ascii="Garamond" w:hAnsi="Garamond"/>
        </w:rPr>
      </w:pPr>
    </w:p>
    <w:p w14:paraId="7015808A" w14:textId="402D9928" w:rsidR="00A45015" w:rsidRPr="00381F61" w:rsidRDefault="008D41F7" w:rsidP="00CD1966">
      <w:pPr>
        <w:jc w:val="both"/>
        <w:rPr>
          <w:rFonts w:ascii="Garamond" w:hAnsi="Garamond"/>
        </w:rPr>
      </w:pPr>
      <w:r w:rsidRPr="00381F61">
        <w:rPr>
          <w:rFonts w:ascii="Garamond" w:hAnsi="Garamond"/>
        </w:rPr>
        <w:t xml:space="preserve">The </w:t>
      </w:r>
      <w:r w:rsidRPr="00381F61">
        <w:rPr>
          <w:rFonts w:ascii="Garamond" w:hAnsi="Garamond"/>
          <w:i/>
        </w:rPr>
        <w:t>Guide</w:t>
      </w:r>
      <w:r w:rsidRPr="00381F61">
        <w:rPr>
          <w:rFonts w:ascii="Garamond" w:hAnsi="Garamond"/>
        </w:rPr>
        <w:t xml:space="preserve"> says that ‘good conduct’ matters and that this extends from the initial investment, through </w:t>
      </w:r>
      <w:r w:rsidR="00467839" w:rsidRPr="00381F61">
        <w:rPr>
          <w:rFonts w:ascii="Garamond" w:hAnsi="Garamond"/>
        </w:rPr>
        <w:t>additional contributions and regular</w:t>
      </w:r>
      <w:r w:rsidRPr="00381F61">
        <w:rPr>
          <w:rFonts w:ascii="Garamond" w:hAnsi="Garamond"/>
        </w:rPr>
        <w:t xml:space="preserve"> reporting</w:t>
      </w:r>
      <w:r w:rsidR="00467839" w:rsidRPr="00381F61">
        <w:rPr>
          <w:rFonts w:ascii="Garamond" w:hAnsi="Garamond"/>
        </w:rPr>
        <w:t xml:space="preserve"> and on</w:t>
      </w:r>
      <w:r w:rsidRPr="00381F61">
        <w:rPr>
          <w:rFonts w:ascii="Garamond" w:hAnsi="Garamond"/>
        </w:rPr>
        <w:t xml:space="preserve"> to the benefit payment.  It involves providers demonstrating that conduct “in a clear, concise and compelling way.” (page 8)</w:t>
      </w:r>
      <w:r w:rsidR="00AA379B" w:rsidRPr="00381F61">
        <w:rPr>
          <w:rFonts w:ascii="Garamond" w:hAnsi="Garamond"/>
        </w:rPr>
        <w:t>.</w:t>
      </w:r>
      <w:r w:rsidR="00A45015" w:rsidRPr="00381F61">
        <w:rPr>
          <w:rFonts w:ascii="Garamond" w:hAnsi="Garamond"/>
        </w:rPr>
        <w:t xml:space="preserve">  It summarises ‘conduct’ under five headings that, </w:t>
      </w:r>
      <w:r w:rsidR="00440FC3" w:rsidRPr="00381F61">
        <w:rPr>
          <w:rFonts w:ascii="Garamond" w:hAnsi="Garamond"/>
        </w:rPr>
        <w:t>seemingly</w:t>
      </w:r>
      <w:r w:rsidR="00A45015" w:rsidRPr="00381F61">
        <w:rPr>
          <w:rFonts w:ascii="Garamond" w:hAnsi="Garamond"/>
        </w:rPr>
        <w:t xml:space="preserve"> deliberately, all </w:t>
      </w:r>
      <w:r w:rsidR="00440FC3" w:rsidRPr="00381F61">
        <w:rPr>
          <w:rFonts w:ascii="Garamond" w:hAnsi="Garamond"/>
        </w:rPr>
        <w:t xml:space="preserve">‘happen’ to </w:t>
      </w:r>
      <w:r w:rsidR="00A45015" w:rsidRPr="00381F61">
        <w:rPr>
          <w:rFonts w:ascii="Garamond" w:hAnsi="Garamond"/>
        </w:rPr>
        <w:t>start with ‘C’: capability, conflict, culture, control and communica</w:t>
      </w:r>
      <w:r w:rsidR="00A72DDA" w:rsidRPr="00381F61">
        <w:rPr>
          <w:rFonts w:ascii="Garamond" w:hAnsi="Garamond"/>
        </w:rPr>
        <w:t xml:space="preserve">tion.  It </w:t>
      </w:r>
      <w:r w:rsidR="00303CCB" w:rsidRPr="00381F61">
        <w:rPr>
          <w:rFonts w:ascii="Garamond" w:hAnsi="Garamond"/>
        </w:rPr>
        <w:t>provides</w:t>
      </w:r>
      <w:r w:rsidR="00A45015" w:rsidRPr="00381F61">
        <w:rPr>
          <w:rFonts w:ascii="Garamond" w:hAnsi="Garamond"/>
        </w:rPr>
        <w:t xml:space="preserve"> specific guidelines that ask questions that relate to each of those</w:t>
      </w:r>
      <w:r w:rsidR="00303CCB" w:rsidRPr="00381F61">
        <w:rPr>
          <w:rFonts w:ascii="Garamond" w:hAnsi="Garamond"/>
        </w:rPr>
        <w:t xml:space="preserve"> five areas.</w:t>
      </w:r>
    </w:p>
    <w:p w14:paraId="50CF8C0B" w14:textId="77777777" w:rsidR="00303CCB" w:rsidRPr="00381F61" w:rsidRDefault="00303CCB" w:rsidP="00CD1966">
      <w:pPr>
        <w:jc w:val="both"/>
        <w:rPr>
          <w:rFonts w:ascii="Garamond" w:hAnsi="Garamond"/>
        </w:rPr>
      </w:pPr>
    </w:p>
    <w:p w14:paraId="18B6B06A" w14:textId="4DA7CDFD" w:rsidR="00A45015" w:rsidRPr="00381F61" w:rsidRDefault="00A45015" w:rsidP="00CD1966">
      <w:pPr>
        <w:jc w:val="both"/>
        <w:rPr>
          <w:rFonts w:ascii="Garamond" w:hAnsi="Garamond"/>
        </w:rPr>
      </w:pPr>
      <w:r w:rsidRPr="00381F61">
        <w:rPr>
          <w:rFonts w:ascii="Garamond" w:hAnsi="Garamond"/>
        </w:rPr>
        <w:t>All this seems sound in theory</w:t>
      </w:r>
      <w:r w:rsidR="00303CCB" w:rsidRPr="00381F61">
        <w:rPr>
          <w:rFonts w:ascii="Garamond" w:hAnsi="Garamond"/>
        </w:rPr>
        <w:t xml:space="preserve"> and difficult to </w:t>
      </w:r>
      <w:r w:rsidR="0093118D" w:rsidRPr="00381F61">
        <w:rPr>
          <w:rFonts w:ascii="Garamond" w:hAnsi="Garamond"/>
        </w:rPr>
        <w:t>challenge</w:t>
      </w:r>
      <w:r w:rsidR="00303CCB" w:rsidRPr="00381F61">
        <w:rPr>
          <w:rFonts w:ascii="Garamond" w:hAnsi="Garamond"/>
        </w:rPr>
        <w:t xml:space="preserve"> in principle.  However,</w:t>
      </w:r>
      <w:r w:rsidRPr="00381F61">
        <w:rPr>
          <w:rFonts w:ascii="Garamond" w:hAnsi="Garamond"/>
        </w:rPr>
        <w:t xml:space="preserve"> we will not really know what it means in practice until the FMA tries to put some regulatory runs on the board.  The </w:t>
      </w:r>
      <w:r w:rsidRPr="00381F61">
        <w:rPr>
          <w:rFonts w:ascii="Garamond" w:hAnsi="Garamond"/>
          <w:i/>
        </w:rPr>
        <w:t>Guide</w:t>
      </w:r>
      <w:r w:rsidRPr="00381F61">
        <w:rPr>
          <w:rFonts w:ascii="Garamond" w:hAnsi="Garamond"/>
        </w:rPr>
        <w:t xml:space="preserve"> was published in February 2017</w:t>
      </w:r>
      <w:r w:rsidR="002441F4" w:rsidRPr="00381F61">
        <w:rPr>
          <w:rFonts w:ascii="Garamond" w:hAnsi="Garamond"/>
        </w:rPr>
        <w:t>, more than two years ago and it’s now eight years since the FMA started.</w:t>
      </w:r>
      <w:r w:rsidR="00A72DDA" w:rsidRPr="00381F61">
        <w:rPr>
          <w:rFonts w:ascii="Garamond" w:hAnsi="Garamond"/>
        </w:rPr>
        <w:t xml:space="preserve">  </w:t>
      </w:r>
      <w:r w:rsidR="002441F4" w:rsidRPr="00381F61">
        <w:rPr>
          <w:rFonts w:ascii="Garamond" w:hAnsi="Garamond"/>
        </w:rPr>
        <w:t>At this stage, w</w:t>
      </w:r>
      <w:r w:rsidR="00A72DDA" w:rsidRPr="00381F61">
        <w:rPr>
          <w:rFonts w:ascii="Garamond" w:hAnsi="Garamond"/>
        </w:rPr>
        <w:t xml:space="preserve">e cannot tell whether any of this </w:t>
      </w:r>
      <w:r w:rsidR="00A270E5" w:rsidRPr="00381F61">
        <w:rPr>
          <w:rFonts w:ascii="Garamond" w:hAnsi="Garamond"/>
        </w:rPr>
        <w:t xml:space="preserve">has improved, or </w:t>
      </w:r>
      <w:r w:rsidR="00A72DDA" w:rsidRPr="00381F61">
        <w:rPr>
          <w:rFonts w:ascii="Garamond" w:hAnsi="Garamond"/>
        </w:rPr>
        <w:t>will improve</w:t>
      </w:r>
      <w:r w:rsidR="00A270E5" w:rsidRPr="00381F61">
        <w:rPr>
          <w:rFonts w:ascii="Garamond" w:hAnsi="Garamond"/>
        </w:rPr>
        <w:t>,</w:t>
      </w:r>
      <w:r w:rsidR="00A72DDA" w:rsidRPr="00381F61">
        <w:rPr>
          <w:rFonts w:ascii="Garamond" w:hAnsi="Garamond"/>
        </w:rPr>
        <w:t xml:space="preserve"> the financial services industry’s ‘conduct’.</w:t>
      </w:r>
    </w:p>
    <w:p w14:paraId="4759AD69" w14:textId="77777777" w:rsidR="00A72DDA" w:rsidRPr="00381F61" w:rsidRDefault="00A72DDA" w:rsidP="00CD1966">
      <w:pPr>
        <w:jc w:val="both"/>
        <w:rPr>
          <w:rFonts w:ascii="Garamond" w:hAnsi="Garamond"/>
        </w:rPr>
      </w:pPr>
    </w:p>
    <w:p w14:paraId="6A228B68" w14:textId="071046C5" w:rsidR="00A72DDA" w:rsidRPr="00381F61" w:rsidRDefault="00A72DDA" w:rsidP="00CD1966">
      <w:pPr>
        <w:jc w:val="both"/>
        <w:rPr>
          <w:rFonts w:ascii="Garamond" w:hAnsi="Garamond"/>
        </w:rPr>
      </w:pPr>
      <w:r w:rsidRPr="00381F61">
        <w:rPr>
          <w:rFonts w:ascii="Garamond" w:hAnsi="Garamond"/>
        </w:rPr>
        <w:t xml:space="preserve">In fact, we go further – with specific regard to superannuation </w:t>
      </w:r>
      <w:r w:rsidR="001B1B68" w:rsidRPr="00381F61">
        <w:rPr>
          <w:rFonts w:ascii="Garamond" w:hAnsi="Garamond"/>
        </w:rPr>
        <w:t xml:space="preserve">and workplace savings </w:t>
      </w:r>
      <w:r w:rsidRPr="00381F61">
        <w:rPr>
          <w:rFonts w:ascii="Garamond" w:hAnsi="Garamond"/>
        </w:rPr>
        <w:t>schemes and the other collective investment vehicles used by New Zealanders to save for retirement, has there ever been a case of bad conduct; of a scheme failing or disappearing with the money?</w:t>
      </w:r>
      <w:r w:rsidR="002441F4" w:rsidRPr="00381F61">
        <w:rPr>
          <w:rStyle w:val="FootnoteReference"/>
          <w:rFonts w:ascii="Garamond" w:hAnsi="Garamond"/>
        </w:rPr>
        <w:footnoteReference w:id="240"/>
      </w:r>
      <w:r w:rsidRPr="00381F61">
        <w:rPr>
          <w:rFonts w:ascii="Garamond" w:hAnsi="Garamond"/>
        </w:rPr>
        <w:t xml:space="preserve"> We cannot think of any</w:t>
      </w:r>
      <w:r w:rsidR="00AA379B" w:rsidRPr="00381F61">
        <w:rPr>
          <w:rFonts w:ascii="Garamond" w:hAnsi="Garamond"/>
        </w:rPr>
        <w:t xml:space="preserve"> so what precisely will be the measures of ‘success’ with respect to New Zealanders’ interactions with collective investment vehicles?</w:t>
      </w:r>
    </w:p>
    <w:p w14:paraId="61F05E41" w14:textId="77777777" w:rsidR="00A72DDA" w:rsidRPr="00381F61" w:rsidRDefault="00A72DDA" w:rsidP="00CD1966">
      <w:pPr>
        <w:jc w:val="both"/>
        <w:rPr>
          <w:rFonts w:ascii="Garamond" w:hAnsi="Garamond"/>
        </w:rPr>
      </w:pPr>
    </w:p>
    <w:p w14:paraId="4D8BB265" w14:textId="5688222F" w:rsidR="00A72DDA" w:rsidRPr="00381F61" w:rsidRDefault="00A72DDA" w:rsidP="00CD1966">
      <w:pPr>
        <w:jc w:val="both"/>
        <w:rPr>
          <w:rFonts w:ascii="Garamond" w:hAnsi="Garamond"/>
        </w:rPr>
      </w:pPr>
      <w:r w:rsidRPr="00381F61">
        <w:rPr>
          <w:rFonts w:ascii="Garamond" w:hAnsi="Garamond"/>
        </w:rPr>
        <w:t>We agree that the financial services industry can always be ‘better behaved’ (disclosure, fees etc.) but the retirement savings component of the industry has never suffered from the kinds of failure in finance companies that were the main reason for the FMA’s establishment</w:t>
      </w:r>
      <w:r w:rsidR="001B1B68" w:rsidRPr="00381F61">
        <w:rPr>
          <w:rFonts w:ascii="Garamond" w:hAnsi="Garamond"/>
        </w:rPr>
        <w:t xml:space="preserve"> and the introduction of the current regulatory regime</w:t>
      </w:r>
      <w:r w:rsidRPr="00381F61">
        <w:rPr>
          <w:rFonts w:ascii="Garamond" w:hAnsi="Garamond"/>
        </w:rPr>
        <w:t xml:space="preserve">.  With specific regard to retirement savings, we remain unconvinced that </w:t>
      </w:r>
      <w:r w:rsidRPr="00381F61">
        <w:rPr>
          <w:rFonts w:ascii="Garamond" w:hAnsi="Garamond"/>
          <w:i/>
        </w:rPr>
        <w:t>A guide to the FMA’s view of conduct</w:t>
      </w:r>
      <w:r w:rsidRPr="00381F61">
        <w:rPr>
          <w:rFonts w:ascii="Garamond" w:hAnsi="Garamond"/>
        </w:rPr>
        <w:t xml:space="preserve"> will make a</w:t>
      </w:r>
      <w:r w:rsidR="001B1B68" w:rsidRPr="00381F61">
        <w:rPr>
          <w:rFonts w:ascii="Garamond" w:hAnsi="Garamond"/>
        </w:rPr>
        <w:t>ny</w:t>
      </w:r>
      <w:r w:rsidRPr="00381F61">
        <w:rPr>
          <w:rFonts w:ascii="Garamond" w:hAnsi="Garamond"/>
        </w:rPr>
        <w:t xml:space="preserve"> material difference to the experience of New Zealanders who are saving for retirement.</w:t>
      </w:r>
      <w:r w:rsidR="001B1B68" w:rsidRPr="00381F61">
        <w:rPr>
          <w:rFonts w:ascii="Garamond" w:hAnsi="Garamond"/>
        </w:rPr>
        <w:t xml:space="preserve">  We doubt that, had a similar regime been in place in Australia, it would have prevented the practices identified by its Royal Commission review</w:t>
      </w:r>
      <w:r w:rsidR="001B1B68" w:rsidRPr="00381F61">
        <w:rPr>
          <w:rStyle w:val="FootnoteReference"/>
          <w:rFonts w:ascii="Garamond" w:hAnsi="Garamond"/>
        </w:rPr>
        <w:footnoteReference w:id="241"/>
      </w:r>
      <w:r w:rsidR="001B1B68" w:rsidRPr="00381F61">
        <w:rPr>
          <w:rFonts w:ascii="Garamond" w:hAnsi="Garamond"/>
        </w:rPr>
        <w:t xml:space="preserve">.  </w:t>
      </w:r>
      <w:r w:rsidR="002441F4" w:rsidRPr="00381F61">
        <w:rPr>
          <w:rFonts w:ascii="Garamond" w:hAnsi="Garamond"/>
        </w:rPr>
        <w:t>We look forward to seeing any evidenc</w:t>
      </w:r>
      <w:r w:rsidR="001B1B68" w:rsidRPr="00381F61">
        <w:rPr>
          <w:rFonts w:ascii="Garamond" w:hAnsi="Garamond"/>
        </w:rPr>
        <w:t>e</w:t>
      </w:r>
      <w:r w:rsidR="002441F4" w:rsidRPr="00381F61">
        <w:rPr>
          <w:rFonts w:ascii="Garamond" w:hAnsi="Garamond"/>
        </w:rPr>
        <w:t xml:space="preserve"> in that regard.</w:t>
      </w:r>
    </w:p>
    <w:p w14:paraId="5A8B9A89" w14:textId="77777777" w:rsidR="00CC0BC7" w:rsidRPr="00381F61" w:rsidRDefault="00CC0BC7" w:rsidP="00CC0BC7">
      <w:pPr>
        <w:jc w:val="both"/>
        <w:rPr>
          <w:rFonts w:ascii="Garamond" w:hAnsi="Garamond"/>
          <w:b/>
        </w:rPr>
      </w:pPr>
    </w:p>
    <w:p w14:paraId="26A76340" w14:textId="77777777" w:rsidR="00CC0BC7" w:rsidRPr="00381F61" w:rsidRDefault="00CC0BC7" w:rsidP="00CC0BC7">
      <w:pPr>
        <w:jc w:val="both"/>
        <w:rPr>
          <w:rFonts w:ascii="Garamond" w:hAnsi="Garamond"/>
          <w:b/>
        </w:rPr>
      </w:pPr>
      <w:r w:rsidRPr="00381F61">
        <w:rPr>
          <w:rFonts w:ascii="Garamond" w:hAnsi="Garamond"/>
          <w:b/>
        </w:rPr>
        <w:t>Governance of collective investment vehicles</w:t>
      </w:r>
    </w:p>
    <w:p w14:paraId="7E975BCC" w14:textId="769BDB8F" w:rsidR="00CC0BC7" w:rsidRPr="00381F61" w:rsidRDefault="00CC0BC7" w:rsidP="00CC0BC7">
      <w:pPr>
        <w:jc w:val="both"/>
        <w:rPr>
          <w:rFonts w:ascii="Garamond" w:hAnsi="Garamond"/>
        </w:rPr>
      </w:pPr>
      <w:r w:rsidRPr="00381F61">
        <w:rPr>
          <w:rFonts w:ascii="Garamond" w:hAnsi="Garamond"/>
        </w:rPr>
        <w:t>For many decades, ‘superannuation schemes’ were run under ordinary trust law, as that was developed under the Law of Equity and regulated by the Trustee Act 1956, that applied to all trusts, not just superannuation schemes.  Employer-sponsored occupational schemes typically had the employer as sponsor and trustees as the scheme’s administrator.  Sometimes, a company was incorporated for th</w:t>
      </w:r>
      <w:r w:rsidR="0092798B" w:rsidRPr="00381F61">
        <w:rPr>
          <w:rFonts w:ascii="Garamond" w:hAnsi="Garamond"/>
        </w:rPr>
        <w:t xml:space="preserve">e purpose of acting as </w:t>
      </w:r>
      <w:r w:rsidRPr="00381F61">
        <w:rPr>
          <w:rFonts w:ascii="Garamond" w:hAnsi="Garamond"/>
        </w:rPr>
        <w:t>trustee but otherwise, they were usually employees of the sponsoring employer.</w:t>
      </w:r>
    </w:p>
    <w:p w14:paraId="0FA9A13D" w14:textId="77777777" w:rsidR="00CC0BC7" w:rsidRPr="00381F61" w:rsidRDefault="00CC0BC7" w:rsidP="00CC0BC7">
      <w:pPr>
        <w:jc w:val="both"/>
        <w:rPr>
          <w:rFonts w:ascii="Garamond" w:hAnsi="Garamond"/>
        </w:rPr>
      </w:pPr>
    </w:p>
    <w:p w14:paraId="799B6C03" w14:textId="26E88A82" w:rsidR="00CC0BC7" w:rsidRPr="00381F61" w:rsidRDefault="00CC0BC7" w:rsidP="00CC0BC7">
      <w:pPr>
        <w:jc w:val="both"/>
        <w:rPr>
          <w:rFonts w:ascii="Garamond" w:hAnsi="Garamond"/>
        </w:rPr>
      </w:pPr>
      <w:r w:rsidRPr="00381F61">
        <w:rPr>
          <w:rFonts w:ascii="Garamond" w:hAnsi="Garamond"/>
        </w:rPr>
        <w:t>Initially, the schemes were</w:t>
      </w:r>
      <w:r w:rsidR="00DB20CF" w:rsidRPr="00381F61">
        <w:rPr>
          <w:rFonts w:ascii="Garamond" w:hAnsi="Garamond"/>
        </w:rPr>
        <w:t xml:space="preserve"> </w:t>
      </w:r>
      <w:r w:rsidRPr="00381F61">
        <w:rPr>
          <w:rFonts w:ascii="Garamond" w:hAnsi="Garamond"/>
        </w:rPr>
        <w:t>regulated by the Inland Revenue, given the tax concessions granted to contributions, investment income and benefits.  In 1976, the Superannuation Schemes Act become the governing legislation and the Government Actuary assumed regulatory control</w:t>
      </w:r>
      <w:r w:rsidR="00DB20CF" w:rsidRPr="00381F61">
        <w:rPr>
          <w:rStyle w:val="FootnoteReference"/>
          <w:rFonts w:ascii="Garamond" w:hAnsi="Garamond"/>
        </w:rPr>
        <w:footnoteReference w:id="242"/>
      </w:r>
      <w:r w:rsidRPr="00381F61">
        <w:rPr>
          <w:rFonts w:ascii="Garamond" w:hAnsi="Garamond"/>
        </w:rPr>
        <w:t xml:space="preserve">.  Under the successor act (Superannuation Schemes Act 1989, accessible </w:t>
      </w:r>
      <w:hyperlink r:id="rId75" w:history="1">
        <w:r w:rsidRPr="00381F61">
          <w:rPr>
            <w:rStyle w:val="Hyperlink"/>
            <w:rFonts w:ascii="Garamond" w:hAnsi="Garamond"/>
          </w:rPr>
          <w:t>here</w:t>
        </w:r>
      </w:hyperlink>
      <w:r w:rsidRPr="00381F61">
        <w:rPr>
          <w:rFonts w:ascii="Garamond" w:hAnsi="Garamond"/>
        </w:rPr>
        <w:t>) and with the disappearance of tax favours, the regulatory oversight changed from ‘approval’ by the Government Actuary to ‘registration’ with the Government Actuary but the trustees’/beneficiaries’ relationship remained.  There were still no particular regulatory requirements as to the trustees.  Under section 2 of the 1989 Act, trustees were “…the persons who were designated as such in the trust deed…”</w:t>
      </w:r>
    </w:p>
    <w:p w14:paraId="5DEA4C62" w14:textId="77777777" w:rsidR="00DB20CF" w:rsidRPr="00381F61" w:rsidRDefault="00DB20CF" w:rsidP="00CC0BC7">
      <w:pPr>
        <w:jc w:val="both"/>
        <w:rPr>
          <w:rFonts w:ascii="Garamond" w:hAnsi="Garamond"/>
        </w:rPr>
      </w:pPr>
    </w:p>
    <w:p w14:paraId="008140A5" w14:textId="5651A147" w:rsidR="00DB20CF" w:rsidRPr="00381F61" w:rsidRDefault="00DB20CF" w:rsidP="00CC0BC7">
      <w:pPr>
        <w:jc w:val="both"/>
        <w:rPr>
          <w:rFonts w:ascii="Garamond" w:hAnsi="Garamond"/>
        </w:rPr>
      </w:pPr>
      <w:r w:rsidRPr="00381F61">
        <w:rPr>
          <w:rFonts w:ascii="Garamond" w:hAnsi="Garamond"/>
        </w:rPr>
        <w:t xml:space="preserve">The point of this brief history is that </w:t>
      </w:r>
      <w:r w:rsidR="00C961C5" w:rsidRPr="00381F61">
        <w:rPr>
          <w:rFonts w:ascii="Garamond" w:hAnsi="Garamond"/>
        </w:rPr>
        <w:t>the arrangements ‘worked’ from a regulatory viewpoint.  No schemes ‘fell over’.  Broadly, they did what they said they would do with only a light regulatory oversight.</w:t>
      </w:r>
    </w:p>
    <w:p w14:paraId="665141AE" w14:textId="77777777" w:rsidR="00C961C5" w:rsidRPr="00381F61" w:rsidRDefault="00C961C5" w:rsidP="00CC0BC7">
      <w:pPr>
        <w:jc w:val="both"/>
        <w:rPr>
          <w:rFonts w:ascii="Garamond" w:hAnsi="Garamond"/>
        </w:rPr>
      </w:pPr>
    </w:p>
    <w:p w14:paraId="1CBF34B7" w14:textId="32646832" w:rsidR="00C961C5" w:rsidRPr="00381F61" w:rsidRDefault="00C961C5" w:rsidP="00CC0BC7">
      <w:pPr>
        <w:jc w:val="both"/>
        <w:rPr>
          <w:rFonts w:ascii="Garamond" w:hAnsi="Garamond"/>
        </w:rPr>
      </w:pPr>
      <w:r w:rsidRPr="00381F61">
        <w:rPr>
          <w:rFonts w:ascii="Garamond" w:hAnsi="Garamond"/>
        </w:rPr>
        <w:t xml:space="preserve">That relatively informal arrangement changed with the introduction of ‘Investment Statements’ and prospectus-based disclosure </w:t>
      </w:r>
      <w:r w:rsidR="000D3BA5" w:rsidRPr="00381F61">
        <w:rPr>
          <w:rFonts w:ascii="Garamond" w:hAnsi="Garamond"/>
        </w:rPr>
        <w:t xml:space="preserve">under the Securities Act </w:t>
      </w:r>
      <w:r w:rsidRPr="00381F61">
        <w:rPr>
          <w:rFonts w:ascii="Garamond" w:hAnsi="Garamond"/>
        </w:rPr>
        <w:t xml:space="preserve">in 1998.  That introduced complexity and cost but probably worsened the regulatory environment and contributed nothing to the governance of superannuation.  That has now been replaced by the ‘Product Disclosure Statement’ - see section 18 (Disclosure – both initial and ongoing) for more on this.  At the same time, new rules about trustees were introduced.  They now had to be </w:t>
      </w:r>
      <w:r w:rsidR="001B1B68" w:rsidRPr="00381F61">
        <w:rPr>
          <w:rFonts w:ascii="Garamond" w:hAnsi="Garamond"/>
        </w:rPr>
        <w:t>equivalent to those of</w:t>
      </w:r>
      <w:r w:rsidR="00FB62E4" w:rsidRPr="00381F61">
        <w:rPr>
          <w:rFonts w:ascii="Garamond" w:hAnsi="Garamond"/>
        </w:rPr>
        <w:t xml:space="preserve"> every other scheme that solicit</w:t>
      </w:r>
      <w:r w:rsidR="00606051" w:rsidRPr="00381F61">
        <w:rPr>
          <w:rFonts w:ascii="Garamond" w:hAnsi="Garamond"/>
        </w:rPr>
        <w:t>s investments from the public.</w:t>
      </w:r>
      <w:r w:rsidR="001B1B68" w:rsidRPr="00381F61">
        <w:rPr>
          <w:rFonts w:ascii="Garamond" w:hAnsi="Garamond"/>
        </w:rPr>
        <w:t xml:space="preserve">  A new industry of licensed independent trustees (LITs) has been established as every scheme must have one, equivalent to a supervisor, and the compliance costs have risen accordingly.  For defined benefit schemes this has added to the costs of providing the benefits and for defined contribution schemes it has reduced the returns and therefore reduced the benefits ultimately payable.</w:t>
      </w:r>
    </w:p>
    <w:p w14:paraId="6AF30A60" w14:textId="77777777" w:rsidR="00606051" w:rsidRPr="00381F61" w:rsidRDefault="00606051" w:rsidP="00CC0BC7">
      <w:pPr>
        <w:jc w:val="both"/>
        <w:rPr>
          <w:rFonts w:ascii="Garamond" w:hAnsi="Garamond"/>
        </w:rPr>
      </w:pPr>
    </w:p>
    <w:p w14:paraId="604314F2" w14:textId="73C0C365" w:rsidR="00606051" w:rsidRPr="00381F61" w:rsidRDefault="00606051" w:rsidP="00CC0BC7">
      <w:pPr>
        <w:jc w:val="both"/>
        <w:rPr>
          <w:rFonts w:ascii="Garamond" w:hAnsi="Garamond"/>
        </w:rPr>
      </w:pPr>
      <w:r w:rsidRPr="00381F61">
        <w:rPr>
          <w:rFonts w:ascii="Garamond" w:hAnsi="Garamond"/>
        </w:rPr>
        <w:t xml:space="preserve">Section 124 of the Financial Markets Conduct Act 2013 (accessible </w:t>
      </w:r>
      <w:hyperlink r:id="rId76" w:history="1">
        <w:r w:rsidRPr="00381F61">
          <w:rPr>
            <w:rStyle w:val="Hyperlink"/>
            <w:rFonts w:ascii="Garamond" w:hAnsi="Garamond"/>
          </w:rPr>
          <w:t>here</w:t>
        </w:r>
      </w:hyperlink>
      <w:r w:rsidRPr="00381F61">
        <w:rPr>
          <w:rFonts w:ascii="Garamond" w:hAnsi="Garamond"/>
        </w:rPr>
        <w:t>) now requires all ‘managed investment schemes’ “…to meet key common governance and reporting standards” and replaces sponsors/promoters and trustees with ‘managers’ and ‘supervisors’</w:t>
      </w:r>
      <w:r w:rsidR="0092798B" w:rsidRPr="00381F61">
        <w:rPr>
          <w:rFonts w:ascii="Garamond" w:hAnsi="Garamond"/>
        </w:rPr>
        <w:t xml:space="preserve"> who “…owe duties of care to investors’.</w:t>
      </w:r>
      <w:r w:rsidR="00547B43" w:rsidRPr="00381F61">
        <w:rPr>
          <w:rStyle w:val="FootnoteReference"/>
          <w:rFonts w:ascii="Garamond" w:hAnsi="Garamond"/>
        </w:rPr>
        <w:footnoteReference w:id="243"/>
      </w:r>
      <w:r w:rsidR="0092798B" w:rsidRPr="00381F61">
        <w:rPr>
          <w:rFonts w:ascii="Garamond" w:hAnsi="Garamond"/>
        </w:rPr>
        <w:t xml:space="preserve">  </w:t>
      </w:r>
      <w:r w:rsidR="00020EE1" w:rsidRPr="00381F61">
        <w:rPr>
          <w:rFonts w:ascii="Garamond" w:hAnsi="Garamond"/>
        </w:rPr>
        <w:t xml:space="preserve">Supervisors for most schemes (by assets and members) must now be </w:t>
      </w:r>
      <w:r w:rsidR="002B35F8" w:rsidRPr="00381F61">
        <w:rPr>
          <w:rFonts w:ascii="Garamond" w:hAnsi="Garamond"/>
        </w:rPr>
        <w:t xml:space="preserve">one of a very small group of ‘corporate trustees’.  </w:t>
      </w:r>
    </w:p>
    <w:p w14:paraId="36C66295" w14:textId="77777777" w:rsidR="002B35F8" w:rsidRPr="00381F61" w:rsidRDefault="002B35F8" w:rsidP="00CC0BC7">
      <w:pPr>
        <w:jc w:val="both"/>
        <w:rPr>
          <w:rFonts w:ascii="Garamond" w:hAnsi="Garamond"/>
        </w:rPr>
      </w:pPr>
    </w:p>
    <w:p w14:paraId="5D66A6F2" w14:textId="50FE0960" w:rsidR="002B35F8" w:rsidRPr="00381F61" w:rsidRDefault="002B35F8" w:rsidP="00CC0BC7">
      <w:pPr>
        <w:jc w:val="both"/>
        <w:rPr>
          <w:rFonts w:ascii="Garamond" w:hAnsi="Garamond"/>
        </w:rPr>
      </w:pPr>
      <w:r w:rsidRPr="00381F61">
        <w:rPr>
          <w:rFonts w:ascii="Garamond" w:hAnsi="Garamond"/>
        </w:rPr>
        <w:t xml:space="preserve">We think </w:t>
      </w:r>
      <w:r w:rsidR="008510FB" w:rsidRPr="00381F61">
        <w:rPr>
          <w:rFonts w:ascii="Garamond" w:hAnsi="Garamond"/>
        </w:rPr>
        <w:t xml:space="preserve">it’s time </w:t>
      </w:r>
      <w:r w:rsidRPr="00381F61">
        <w:rPr>
          <w:rFonts w:ascii="Garamond" w:hAnsi="Garamond"/>
        </w:rPr>
        <w:t>our suggested review of retirement income arrangements address</w:t>
      </w:r>
      <w:r w:rsidR="001B1B68" w:rsidRPr="00381F61">
        <w:rPr>
          <w:rFonts w:ascii="Garamond" w:hAnsi="Garamond"/>
        </w:rPr>
        <w:t>ed</w:t>
      </w:r>
      <w:r w:rsidRPr="00381F61">
        <w:rPr>
          <w:rFonts w:ascii="Garamond" w:hAnsi="Garamond"/>
        </w:rPr>
        <w:t xml:space="preserve"> the questions we raise at the end of this section.  The old superannuation governance regime ‘worked’ if th</w:t>
      </w:r>
      <w:r w:rsidR="00D37D9F" w:rsidRPr="00381F61">
        <w:rPr>
          <w:rFonts w:ascii="Garamond" w:hAnsi="Garamond"/>
        </w:rPr>
        <w:t>e test is whether savers did</w:t>
      </w:r>
      <w:r w:rsidRPr="00381F61">
        <w:rPr>
          <w:rFonts w:ascii="Garamond" w:hAnsi="Garamond"/>
        </w:rPr>
        <w:t xml:space="preserve"> get what they were promised.</w:t>
      </w:r>
    </w:p>
    <w:p w14:paraId="5D0B206E" w14:textId="77777777" w:rsidR="00DC4FD2" w:rsidRPr="00381F61" w:rsidRDefault="00DC4FD2" w:rsidP="00CD1966">
      <w:pPr>
        <w:jc w:val="both"/>
        <w:rPr>
          <w:rFonts w:ascii="Garamond" w:hAnsi="Garamond"/>
          <w:b/>
        </w:rPr>
      </w:pPr>
    </w:p>
    <w:p w14:paraId="329410A6" w14:textId="77777777" w:rsidR="000B7F53" w:rsidRPr="00381F61" w:rsidRDefault="000B7F53" w:rsidP="00CD1966">
      <w:pPr>
        <w:jc w:val="both"/>
        <w:rPr>
          <w:rFonts w:ascii="Garamond" w:hAnsi="Garamond"/>
          <w:b/>
        </w:rPr>
      </w:pPr>
      <w:r w:rsidRPr="00381F61">
        <w:rPr>
          <w:rFonts w:ascii="Garamond" w:hAnsi="Garamond"/>
          <w:b/>
        </w:rPr>
        <w:t>On investment performance comparisons</w:t>
      </w:r>
    </w:p>
    <w:p w14:paraId="38BA23FF" w14:textId="3F944D86" w:rsidR="00DF263A" w:rsidRPr="00381F61" w:rsidRDefault="00084A66" w:rsidP="00084A66">
      <w:pPr>
        <w:jc w:val="both"/>
        <w:rPr>
          <w:rFonts w:ascii="Garamond" w:hAnsi="Garamond"/>
        </w:rPr>
      </w:pPr>
      <w:r w:rsidRPr="00381F61">
        <w:rPr>
          <w:rFonts w:ascii="Garamond" w:hAnsi="Garamond"/>
        </w:rPr>
        <w:t>There is a generally accepted principle that past performance does not</w:t>
      </w:r>
      <w:r w:rsidR="00DF263A" w:rsidRPr="00381F61">
        <w:rPr>
          <w:rFonts w:ascii="Garamond" w:hAnsi="Garamond"/>
        </w:rPr>
        <w:t xml:space="preserve"> and cannot</w:t>
      </w:r>
      <w:r w:rsidRPr="00381F61">
        <w:rPr>
          <w:rFonts w:ascii="Garamond" w:hAnsi="Garamond"/>
        </w:rPr>
        <w:t xml:space="preserve"> indicate future performance.  Words to this effect are stated on most investment return disclosures.  Yet despite this, many investment decisions </w:t>
      </w:r>
      <w:r w:rsidR="00DF263A" w:rsidRPr="00381F61">
        <w:rPr>
          <w:rFonts w:ascii="Garamond" w:hAnsi="Garamond"/>
        </w:rPr>
        <w:t>by investors</w:t>
      </w:r>
      <w:r w:rsidRPr="00381F61">
        <w:rPr>
          <w:rFonts w:ascii="Garamond" w:hAnsi="Garamond"/>
        </w:rPr>
        <w:t xml:space="preserve"> are </w:t>
      </w:r>
      <w:r w:rsidR="00A270E5" w:rsidRPr="00381F61">
        <w:rPr>
          <w:rFonts w:ascii="Garamond" w:hAnsi="Garamond"/>
        </w:rPr>
        <w:t xml:space="preserve">in fact </w:t>
      </w:r>
      <w:r w:rsidR="00DF263A" w:rsidRPr="00381F61">
        <w:rPr>
          <w:rFonts w:ascii="Garamond" w:hAnsi="Garamond"/>
        </w:rPr>
        <w:t>driven by</w:t>
      </w:r>
      <w:r w:rsidRPr="00381F61">
        <w:rPr>
          <w:rFonts w:ascii="Garamond" w:hAnsi="Garamond"/>
        </w:rPr>
        <w:t xml:space="preserve"> relative past performance and the industry often continues to publish returns in a way that encourages this behaviour.  </w:t>
      </w:r>
      <w:r w:rsidR="00E4061A" w:rsidRPr="00381F61">
        <w:rPr>
          <w:rFonts w:ascii="Garamond" w:hAnsi="Garamond"/>
        </w:rPr>
        <w:t xml:space="preserve">It is not uncommon for managers to market on the basis of “our return was the highest for the ‘n’ years ending 31 March 2019”.  </w:t>
      </w:r>
      <w:r w:rsidR="001B1B68" w:rsidRPr="00381F61">
        <w:rPr>
          <w:rFonts w:ascii="Garamond" w:hAnsi="Garamond"/>
        </w:rPr>
        <w:t xml:space="preserve">Also, with the launch of the Fund Finder tool on the Sorted website available </w:t>
      </w:r>
      <w:hyperlink r:id="rId77" w:history="1">
        <w:r w:rsidR="001B1B68" w:rsidRPr="00381F61">
          <w:rPr>
            <w:rStyle w:val="Hyperlink"/>
            <w:rFonts w:ascii="Garamond" w:hAnsi="Garamond"/>
          </w:rPr>
          <w:t>here</w:t>
        </w:r>
      </w:hyperlink>
      <w:r w:rsidR="001B1B68" w:rsidRPr="00381F61">
        <w:rPr>
          <w:rFonts w:ascii="Garamond" w:hAnsi="Garamond"/>
        </w:rPr>
        <w:t xml:space="preserve">, there is now a regulatory </w:t>
      </w:r>
      <w:r w:rsidR="00E811A5" w:rsidRPr="00381F61">
        <w:rPr>
          <w:rFonts w:ascii="Garamond" w:hAnsi="Garamond"/>
        </w:rPr>
        <w:t xml:space="preserve">encouragement and </w:t>
      </w:r>
      <w:r w:rsidR="001B1B68" w:rsidRPr="00381F61">
        <w:rPr>
          <w:rFonts w:ascii="Garamond" w:hAnsi="Garamond"/>
        </w:rPr>
        <w:t xml:space="preserve">endorsement for </w:t>
      </w:r>
      <w:r w:rsidR="00A270E5" w:rsidRPr="00381F61">
        <w:rPr>
          <w:rFonts w:ascii="Garamond" w:hAnsi="Garamond"/>
        </w:rPr>
        <w:t>paying close attention to</w:t>
      </w:r>
      <w:r w:rsidR="001B1B68" w:rsidRPr="00381F61">
        <w:rPr>
          <w:rFonts w:ascii="Garamond" w:hAnsi="Garamond"/>
        </w:rPr>
        <w:t xml:space="preserve"> short-term past performance.  </w:t>
      </w:r>
      <w:r w:rsidRPr="00381F61">
        <w:rPr>
          <w:rFonts w:ascii="Garamond" w:hAnsi="Garamond"/>
        </w:rPr>
        <w:t>Given this</w:t>
      </w:r>
      <w:r w:rsidR="00DF263A" w:rsidRPr="00381F61">
        <w:rPr>
          <w:rFonts w:ascii="Garamond" w:hAnsi="Garamond"/>
        </w:rPr>
        <w:t>, we think</w:t>
      </w:r>
      <w:r w:rsidRPr="00381F61">
        <w:rPr>
          <w:rFonts w:ascii="Garamond" w:hAnsi="Garamond"/>
        </w:rPr>
        <w:t xml:space="preserve"> the standards of conduct should focus on making sure that the use of historical performance numbers is not misleading and </w:t>
      </w:r>
      <w:r w:rsidR="001B1B68" w:rsidRPr="00381F61">
        <w:rPr>
          <w:rFonts w:ascii="Garamond" w:hAnsi="Garamond"/>
        </w:rPr>
        <w:t xml:space="preserve">that it </w:t>
      </w:r>
      <w:r w:rsidR="00DF263A" w:rsidRPr="00381F61">
        <w:rPr>
          <w:rFonts w:ascii="Garamond" w:hAnsi="Garamond"/>
        </w:rPr>
        <w:t>allows appropriate comparisons between providers</w:t>
      </w:r>
      <w:r w:rsidR="001B1B68" w:rsidRPr="00381F61">
        <w:rPr>
          <w:rFonts w:ascii="Garamond" w:hAnsi="Garamond"/>
        </w:rPr>
        <w:t xml:space="preserve"> of the reasons for the performance and not just the absolute return outcome.</w:t>
      </w:r>
    </w:p>
    <w:p w14:paraId="213CA532" w14:textId="77777777" w:rsidR="00DF263A" w:rsidRPr="00381F61" w:rsidRDefault="00DF263A" w:rsidP="00084A66">
      <w:pPr>
        <w:jc w:val="both"/>
        <w:rPr>
          <w:rFonts w:ascii="Garamond" w:hAnsi="Garamond"/>
        </w:rPr>
      </w:pPr>
    </w:p>
    <w:p w14:paraId="6C509852" w14:textId="51110E2B" w:rsidR="00084A66" w:rsidRPr="00381F61" w:rsidRDefault="00084A66" w:rsidP="00084A66">
      <w:pPr>
        <w:jc w:val="both"/>
        <w:rPr>
          <w:rFonts w:ascii="Garamond" w:hAnsi="Garamond"/>
        </w:rPr>
      </w:pPr>
      <w:r w:rsidRPr="00381F61">
        <w:rPr>
          <w:rFonts w:ascii="Garamond" w:hAnsi="Garamond"/>
        </w:rPr>
        <w:t xml:space="preserve">Historical practice let managers choose to disclose returns on whatever basis they decided.  Most chose to disclose ‘gross of fees and tax’ </w:t>
      </w:r>
      <w:r w:rsidR="00DF263A" w:rsidRPr="00381F61">
        <w:rPr>
          <w:rFonts w:ascii="Garamond" w:hAnsi="Garamond"/>
        </w:rPr>
        <w:t>(bigger numbers) but</w:t>
      </w:r>
      <w:r w:rsidRPr="00381F61">
        <w:rPr>
          <w:rFonts w:ascii="Garamond" w:hAnsi="Garamond"/>
        </w:rPr>
        <w:t xml:space="preserve"> </w:t>
      </w:r>
      <w:r w:rsidR="00A270E5" w:rsidRPr="00381F61">
        <w:rPr>
          <w:rFonts w:ascii="Garamond" w:hAnsi="Garamond"/>
        </w:rPr>
        <w:t xml:space="preserve">those </w:t>
      </w:r>
      <w:r w:rsidRPr="00381F61">
        <w:rPr>
          <w:rFonts w:ascii="Garamond" w:hAnsi="Garamond"/>
        </w:rPr>
        <w:t>declared returns had little connection with the return that the investor received.</w:t>
      </w:r>
    </w:p>
    <w:p w14:paraId="6AF07A59" w14:textId="77777777" w:rsidR="00084A66" w:rsidRPr="00381F61" w:rsidRDefault="00084A66" w:rsidP="00084A66">
      <w:pPr>
        <w:jc w:val="both"/>
        <w:rPr>
          <w:rFonts w:ascii="Garamond" w:hAnsi="Garamond"/>
        </w:rPr>
      </w:pPr>
    </w:p>
    <w:p w14:paraId="26928C37" w14:textId="29C1D36C" w:rsidR="00084A66" w:rsidRPr="00381F61" w:rsidRDefault="00084A66" w:rsidP="00084A66">
      <w:pPr>
        <w:jc w:val="both"/>
        <w:rPr>
          <w:rFonts w:ascii="Garamond" w:hAnsi="Garamond"/>
        </w:rPr>
      </w:pPr>
      <w:r w:rsidRPr="00381F61">
        <w:rPr>
          <w:rFonts w:ascii="Garamond" w:hAnsi="Garamond"/>
        </w:rPr>
        <w:t xml:space="preserve">Investment performance </w:t>
      </w:r>
      <w:r w:rsidR="00E811A5" w:rsidRPr="00381F61">
        <w:rPr>
          <w:rFonts w:ascii="Garamond" w:hAnsi="Garamond"/>
        </w:rPr>
        <w:t xml:space="preserve">in surveys </w:t>
      </w:r>
      <w:r w:rsidRPr="00381F61">
        <w:rPr>
          <w:rFonts w:ascii="Garamond" w:hAnsi="Garamond"/>
        </w:rPr>
        <w:t xml:space="preserve">is </w:t>
      </w:r>
      <w:r w:rsidR="00DF263A" w:rsidRPr="00381F61">
        <w:rPr>
          <w:rFonts w:ascii="Garamond" w:hAnsi="Garamond"/>
        </w:rPr>
        <w:t xml:space="preserve">mostly </w:t>
      </w:r>
      <w:r w:rsidRPr="00381F61">
        <w:rPr>
          <w:rFonts w:ascii="Garamond" w:hAnsi="Garamond"/>
        </w:rPr>
        <w:t>disclosed on a time-weighted basis, net of fees and before tax, assuming no cash inflows or outgoings</w:t>
      </w:r>
      <w:r w:rsidR="00DF263A" w:rsidRPr="00381F61">
        <w:rPr>
          <w:rFonts w:ascii="Garamond" w:hAnsi="Garamond"/>
        </w:rPr>
        <w:t>.  However,</w:t>
      </w:r>
      <w:r w:rsidRPr="00381F61">
        <w:rPr>
          <w:rFonts w:ascii="Garamond" w:hAnsi="Garamond"/>
        </w:rPr>
        <w:t xml:space="preserve"> many managers continue to publish returns before fees and before tax as well and put the emphasis on these.  The important return is the return that the investor gets in the hand, i.e. the return after fees and after tax and allowing for cash flows.  This will be a net money-weighted return.</w:t>
      </w:r>
      <w:r w:rsidR="00E811A5" w:rsidRPr="00381F61">
        <w:rPr>
          <w:rFonts w:ascii="Garamond" w:hAnsi="Garamond"/>
        </w:rPr>
        <w:t xml:space="preserve">  </w:t>
      </w:r>
    </w:p>
    <w:p w14:paraId="5F19D266" w14:textId="77777777" w:rsidR="00084A66" w:rsidRPr="00381F61" w:rsidRDefault="00084A66" w:rsidP="00084A66">
      <w:pPr>
        <w:jc w:val="both"/>
        <w:rPr>
          <w:rFonts w:ascii="Garamond" w:hAnsi="Garamond"/>
        </w:rPr>
      </w:pPr>
    </w:p>
    <w:p w14:paraId="7CA98AA3" w14:textId="0CD9C751" w:rsidR="00084A66" w:rsidRPr="00381F61" w:rsidRDefault="00084A66" w:rsidP="00084A66">
      <w:pPr>
        <w:jc w:val="both"/>
        <w:rPr>
          <w:rFonts w:ascii="Garamond" w:hAnsi="Garamond"/>
        </w:rPr>
      </w:pPr>
      <w:r w:rsidRPr="00381F61">
        <w:rPr>
          <w:rFonts w:ascii="Garamond" w:hAnsi="Garamond"/>
        </w:rPr>
        <w:t xml:space="preserve">Under KiwiSaver, and now for all CIVs, managers </w:t>
      </w:r>
      <w:r w:rsidR="006505E8" w:rsidRPr="00381F61">
        <w:rPr>
          <w:rFonts w:ascii="Garamond" w:hAnsi="Garamond"/>
        </w:rPr>
        <w:t>must</w:t>
      </w:r>
      <w:r w:rsidRPr="00381F61">
        <w:rPr>
          <w:rFonts w:ascii="Garamond" w:hAnsi="Garamond"/>
        </w:rPr>
        <w:t xml:space="preserve"> publish returns</w:t>
      </w:r>
      <w:r w:rsidR="001B1B68" w:rsidRPr="00381F61">
        <w:rPr>
          <w:rFonts w:ascii="Garamond" w:hAnsi="Garamond"/>
        </w:rPr>
        <w:t xml:space="preserve"> in quarterly ‘fund updates’</w:t>
      </w:r>
      <w:r w:rsidRPr="00381F61">
        <w:rPr>
          <w:rFonts w:ascii="Garamond" w:hAnsi="Garamond"/>
        </w:rPr>
        <w:t xml:space="preserve"> net of fees and net of tax at the highest tax rate</w:t>
      </w:r>
      <w:r w:rsidR="006505E8" w:rsidRPr="00381F61">
        <w:rPr>
          <w:rFonts w:ascii="Garamond" w:hAnsi="Garamond"/>
        </w:rPr>
        <w:t>,</w:t>
      </w:r>
      <w:r w:rsidRPr="00381F61">
        <w:rPr>
          <w:rFonts w:ascii="Garamond" w:hAnsi="Garamond"/>
        </w:rPr>
        <w:t xml:space="preserve"> using a time</w:t>
      </w:r>
      <w:r w:rsidR="001B1B68" w:rsidRPr="00381F61">
        <w:rPr>
          <w:rFonts w:ascii="Garamond" w:hAnsi="Garamond"/>
        </w:rPr>
        <w:t>-</w:t>
      </w:r>
      <w:r w:rsidRPr="00381F61">
        <w:rPr>
          <w:rFonts w:ascii="Garamond" w:hAnsi="Garamond"/>
        </w:rPr>
        <w:t xml:space="preserve">weighted basis.  These returns </w:t>
      </w:r>
      <w:r w:rsidR="006505E8" w:rsidRPr="00381F61">
        <w:rPr>
          <w:rFonts w:ascii="Garamond" w:hAnsi="Garamond"/>
        </w:rPr>
        <w:t>must</w:t>
      </w:r>
      <w:r w:rsidRPr="00381F61">
        <w:rPr>
          <w:rFonts w:ascii="Garamond" w:hAnsi="Garamond"/>
        </w:rPr>
        <w:t xml:space="preserve"> be published on the manager’s websi</w:t>
      </w:r>
      <w:r w:rsidR="00D07CCB" w:rsidRPr="00381F61">
        <w:rPr>
          <w:rFonts w:ascii="Garamond" w:hAnsi="Garamond"/>
        </w:rPr>
        <w:t>te and provided to the FMA.  KiwiSaver returns</w:t>
      </w:r>
      <w:r w:rsidRPr="00381F61">
        <w:rPr>
          <w:rFonts w:ascii="Garamond" w:hAnsi="Garamond"/>
        </w:rPr>
        <w:t xml:space="preserve"> ar</w:t>
      </w:r>
      <w:r w:rsidR="00A93CA3" w:rsidRPr="00381F61">
        <w:rPr>
          <w:rFonts w:ascii="Garamond" w:hAnsi="Garamond"/>
        </w:rPr>
        <w:t xml:space="preserve">e used on the Sorted website’s </w:t>
      </w:r>
      <w:r w:rsidR="00A93CA3" w:rsidRPr="00381F61">
        <w:rPr>
          <w:rFonts w:ascii="Garamond" w:hAnsi="Garamond"/>
          <w:i/>
        </w:rPr>
        <w:t>F</w:t>
      </w:r>
      <w:r w:rsidRPr="00381F61">
        <w:rPr>
          <w:rFonts w:ascii="Garamond" w:hAnsi="Garamond"/>
          <w:i/>
        </w:rPr>
        <w:t>und finder calculator</w:t>
      </w:r>
      <w:r w:rsidR="006505E8" w:rsidRPr="00381F61">
        <w:rPr>
          <w:rFonts w:ascii="Garamond" w:hAnsi="Garamond"/>
          <w:i/>
        </w:rPr>
        <w:t xml:space="preserve"> </w:t>
      </w:r>
      <w:r w:rsidR="006505E8" w:rsidRPr="00381F61">
        <w:rPr>
          <w:rFonts w:ascii="Garamond" w:hAnsi="Garamond"/>
        </w:rPr>
        <w:t xml:space="preserve">(accessible </w:t>
      </w:r>
      <w:hyperlink r:id="rId78" w:history="1">
        <w:r w:rsidR="006505E8" w:rsidRPr="00381F61">
          <w:rPr>
            <w:rStyle w:val="Hyperlink"/>
            <w:rFonts w:ascii="Garamond" w:hAnsi="Garamond"/>
          </w:rPr>
          <w:t>here</w:t>
        </w:r>
      </w:hyperlink>
      <w:r w:rsidR="006505E8" w:rsidRPr="00381F61">
        <w:rPr>
          <w:rFonts w:ascii="Garamond" w:hAnsi="Garamond"/>
        </w:rPr>
        <w:t>)</w:t>
      </w:r>
      <w:r w:rsidRPr="00381F61">
        <w:rPr>
          <w:rFonts w:ascii="Garamond" w:hAnsi="Garamond"/>
        </w:rPr>
        <w:t>.   This is a considerable improvement on historical practices.</w:t>
      </w:r>
      <w:r w:rsidR="00E811A5" w:rsidRPr="00381F61">
        <w:rPr>
          <w:rFonts w:ascii="Garamond" w:hAnsi="Garamond"/>
        </w:rPr>
        <w:t xml:space="preserve">  It is, however, unhelpful and confusing that managers are still allowed to publish returns on other bases.  It would be beneficial if managers were only allowed to disclose</w:t>
      </w:r>
      <w:r w:rsidR="00A270E5" w:rsidRPr="00381F61">
        <w:rPr>
          <w:rFonts w:ascii="Garamond" w:hAnsi="Garamond"/>
        </w:rPr>
        <w:t xml:space="preserve"> on a basis that is</w:t>
      </w:r>
      <w:r w:rsidR="00E811A5" w:rsidRPr="00381F61">
        <w:rPr>
          <w:rFonts w:ascii="Garamond" w:hAnsi="Garamond"/>
        </w:rPr>
        <w:t xml:space="preserve"> consistent with a single set of principles.</w:t>
      </w:r>
    </w:p>
    <w:p w14:paraId="0F388B86" w14:textId="77777777" w:rsidR="00084A66" w:rsidRPr="00381F61" w:rsidRDefault="00084A66" w:rsidP="00084A66">
      <w:pPr>
        <w:jc w:val="both"/>
        <w:rPr>
          <w:rFonts w:ascii="Garamond" w:hAnsi="Garamond"/>
        </w:rPr>
      </w:pPr>
    </w:p>
    <w:p w14:paraId="022541BD" w14:textId="376EEF76" w:rsidR="00A93CA3" w:rsidRPr="00381F61" w:rsidRDefault="00084A66" w:rsidP="00084A66">
      <w:pPr>
        <w:jc w:val="both"/>
        <w:rPr>
          <w:rFonts w:ascii="Garamond" w:hAnsi="Garamond"/>
        </w:rPr>
      </w:pPr>
      <w:r w:rsidRPr="00381F61">
        <w:rPr>
          <w:rFonts w:ascii="Garamond" w:hAnsi="Garamond"/>
        </w:rPr>
        <w:t xml:space="preserve">What is lacking in the new regime however, is independent and competent analyses of the returns.   Given that </w:t>
      </w:r>
      <w:r w:rsidR="00A93CA3" w:rsidRPr="00381F61">
        <w:rPr>
          <w:rFonts w:ascii="Garamond" w:hAnsi="Garamond"/>
        </w:rPr>
        <w:t>the</w:t>
      </w:r>
      <w:r w:rsidRPr="00381F61">
        <w:rPr>
          <w:rFonts w:ascii="Garamond" w:hAnsi="Garamond"/>
        </w:rPr>
        <w:t xml:space="preserve"> central data base </w:t>
      </w:r>
      <w:r w:rsidR="00A93CA3" w:rsidRPr="00381F61">
        <w:rPr>
          <w:rFonts w:ascii="Garamond" w:hAnsi="Garamond"/>
        </w:rPr>
        <w:t>has</w:t>
      </w:r>
      <w:r w:rsidRPr="00381F61">
        <w:rPr>
          <w:rFonts w:ascii="Garamond" w:hAnsi="Garamond"/>
        </w:rPr>
        <w:t xml:space="preserve"> details of the investment strategies and net of tax and fees returns</w:t>
      </w:r>
      <w:r w:rsidR="00A93CA3" w:rsidRPr="00381F61">
        <w:rPr>
          <w:rFonts w:ascii="Garamond" w:hAnsi="Garamond"/>
        </w:rPr>
        <w:t>,</w:t>
      </w:r>
      <w:r w:rsidRPr="00381F61">
        <w:rPr>
          <w:rFonts w:ascii="Garamond" w:hAnsi="Garamond"/>
        </w:rPr>
        <w:t xml:space="preserve"> it would make sense for an independent body to publish league tables of the returns grouped in </w:t>
      </w:r>
      <w:r w:rsidR="00A93CA3" w:rsidRPr="00381F61">
        <w:rPr>
          <w:rFonts w:ascii="Garamond" w:hAnsi="Garamond"/>
        </w:rPr>
        <w:t>comparable bands</w:t>
      </w:r>
      <w:r w:rsidRPr="00381F61">
        <w:rPr>
          <w:rFonts w:ascii="Garamond" w:hAnsi="Garamond"/>
        </w:rPr>
        <w:t>.  This has not happened from within the industry and so should have been recommended by the Retirement Commissioner</w:t>
      </w:r>
      <w:r w:rsidR="00A93CA3" w:rsidRPr="00381F61">
        <w:rPr>
          <w:rFonts w:ascii="Garamond" w:hAnsi="Garamond"/>
        </w:rPr>
        <w:t xml:space="preserve">’s 2016 </w:t>
      </w:r>
      <w:r w:rsidR="00A270E5" w:rsidRPr="00381F61">
        <w:rPr>
          <w:rFonts w:ascii="Garamond" w:hAnsi="Garamond"/>
        </w:rPr>
        <w:t>R</w:t>
      </w:r>
      <w:r w:rsidR="00A93CA3" w:rsidRPr="00381F61">
        <w:rPr>
          <w:rFonts w:ascii="Garamond" w:hAnsi="Garamond"/>
        </w:rPr>
        <w:t xml:space="preserve">eview. </w:t>
      </w:r>
    </w:p>
    <w:p w14:paraId="3C292946" w14:textId="77777777" w:rsidR="00A93CA3" w:rsidRPr="00381F61" w:rsidRDefault="00A93CA3" w:rsidP="00084A66">
      <w:pPr>
        <w:jc w:val="both"/>
        <w:rPr>
          <w:rFonts w:ascii="Garamond" w:hAnsi="Garamond"/>
        </w:rPr>
      </w:pPr>
    </w:p>
    <w:p w14:paraId="074D5459" w14:textId="15987F4D" w:rsidR="00084A66" w:rsidRPr="00381F61" w:rsidRDefault="00084A66" w:rsidP="00084A66">
      <w:pPr>
        <w:jc w:val="both"/>
        <w:rPr>
          <w:rFonts w:ascii="Garamond" w:hAnsi="Garamond"/>
        </w:rPr>
      </w:pPr>
      <w:r w:rsidRPr="00381F61">
        <w:rPr>
          <w:rFonts w:ascii="Garamond" w:hAnsi="Garamond"/>
        </w:rPr>
        <w:t>Also, the government or the FMA, should contract a university’s finance or business faculty to analyse the data and publish</w:t>
      </w:r>
      <w:r w:rsidR="00A93CA3" w:rsidRPr="00381F61">
        <w:rPr>
          <w:rFonts w:ascii="Garamond" w:hAnsi="Garamond"/>
        </w:rPr>
        <w:t xml:space="preserve"> regular</w:t>
      </w:r>
      <w:r w:rsidRPr="00381F61">
        <w:rPr>
          <w:rFonts w:ascii="Garamond" w:hAnsi="Garamond"/>
        </w:rPr>
        <w:t xml:space="preserve"> reports.  The government is in the ideal position to organise analyses of the data and should do that.</w:t>
      </w:r>
      <w:r w:rsidR="00A93CA3" w:rsidRPr="00381F61">
        <w:rPr>
          <w:rFonts w:ascii="Garamond" w:hAnsi="Garamond"/>
        </w:rPr>
        <w:t xml:space="preserve">  Would it not help savers if we could see whether what</w:t>
      </w:r>
      <w:r w:rsidRPr="00381F61">
        <w:rPr>
          <w:rFonts w:ascii="Garamond" w:hAnsi="Garamond"/>
        </w:rPr>
        <w:t xml:space="preserve"> manager</w:t>
      </w:r>
      <w:r w:rsidR="00A93CA3" w:rsidRPr="00381F61">
        <w:rPr>
          <w:rFonts w:ascii="Garamond" w:hAnsi="Garamond"/>
        </w:rPr>
        <w:t>s say</w:t>
      </w:r>
      <w:r w:rsidRPr="00381F61">
        <w:rPr>
          <w:rFonts w:ascii="Garamond" w:hAnsi="Garamond"/>
        </w:rPr>
        <w:t xml:space="preserve"> they do to achieve returns is what they </w:t>
      </w:r>
      <w:r w:rsidR="00A93CA3" w:rsidRPr="00381F61">
        <w:rPr>
          <w:rFonts w:ascii="Garamond" w:hAnsi="Garamond"/>
        </w:rPr>
        <w:t xml:space="preserve">actually </w:t>
      </w:r>
      <w:r w:rsidRPr="00381F61">
        <w:rPr>
          <w:rFonts w:ascii="Garamond" w:hAnsi="Garamond"/>
        </w:rPr>
        <w:t>do?</w:t>
      </w:r>
    </w:p>
    <w:p w14:paraId="42F4E9D2" w14:textId="77777777" w:rsidR="00303CCB" w:rsidRPr="00381F61" w:rsidRDefault="00303CCB" w:rsidP="00E71CEB">
      <w:pPr>
        <w:jc w:val="both"/>
        <w:rPr>
          <w:rFonts w:ascii="Garamond" w:hAnsi="Garamond"/>
        </w:rPr>
      </w:pPr>
    </w:p>
    <w:p w14:paraId="06F35457" w14:textId="574F4BE2" w:rsidR="00391948" w:rsidRPr="00381F61" w:rsidRDefault="00773B08" w:rsidP="00E71CEB">
      <w:pPr>
        <w:jc w:val="both"/>
        <w:rPr>
          <w:rFonts w:ascii="Garamond" w:hAnsi="Garamond"/>
        </w:rPr>
      </w:pPr>
      <w:r w:rsidRPr="00381F61">
        <w:rPr>
          <w:rFonts w:ascii="Garamond" w:hAnsi="Garamond"/>
          <w:b/>
        </w:rPr>
        <w:t>On disclosure of fees</w:t>
      </w:r>
    </w:p>
    <w:p w14:paraId="181F0973" w14:textId="35E55D48" w:rsidR="00773B08" w:rsidRPr="00381F61" w:rsidRDefault="00773B08" w:rsidP="00E71CEB">
      <w:pPr>
        <w:jc w:val="both"/>
        <w:rPr>
          <w:rFonts w:ascii="Garamond" w:hAnsi="Garamond"/>
        </w:rPr>
      </w:pPr>
      <w:r w:rsidRPr="00381F61">
        <w:rPr>
          <w:rFonts w:ascii="Garamond" w:hAnsi="Garamond"/>
        </w:rPr>
        <w:t xml:space="preserve">The Retirement Commissioner’s 2016 Review </w:t>
      </w:r>
      <w:r w:rsidR="002D7AE4" w:rsidRPr="00381F61">
        <w:rPr>
          <w:rFonts w:ascii="Garamond" w:hAnsi="Garamond"/>
          <w:i/>
        </w:rPr>
        <w:t xml:space="preserve"> </w:t>
      </w:r>
      <w:r w:rsidR="002D7AE4" w:rsidRPr="00381F61">
        <w:rPr>
          <w:rFonts w:ascii="Garamond" w:hAnsi="Garamond"/>
        </w:rPr>
        <w:t xml:space="preserve">(accessible </w:t>
      </w:r>
      <w:hyperlink r:id="rId79" w:history="1">
        <w:r w:rsidR="002D7AE4" w:rsidRPr="00381F61">
          <w:rPr>
            <w:rStyle w:val="Hyperlink"/>
            <w:rFonts w:ascii="Garamond" w:hAnsi="Garamond"/>
          </w:rPr>
          <w:t>here</w:t>
        </w:r>
      </w:hyperlink>
      <w:r w:rsidR="002D7AE4" w:rsidRPr="00381F61">
        <w:rPr>
          <w:rFonts w:ascii="Garamond" w:hAnsi="Garamond"/>
        </w:rPr>
        <w:t xml:space="preserve"> at page </w:t>
      </w:r>
      <w:r w:rsidR="0072361A" w:rsidRPr="00381F61">
        <w:rPr>
          <w:rFonts w:ascii="Garamond" w:hAnsi="Garamond"/>
        </w:rPr>
        <w:t>14)</w:t>
      </w:r>
      <w:r w:rsidR="00845E63" w:rsidRPr="00381F61">
        <w:rPr>
          <w:rFonts w:ascii="Garamond" w:hAnsi="Garamond"/>
        </w:rPr>
        <w:t xml:space="preserve"> recommended that KiwiSaver schemes should be required to disclose “…the total dollar cost of all fees on [members’] annual statements [being]…the total of all administration and management costs, including any underlying management or performance fees.”</w:t>
      </w:r>
    </w:p>
    <w:p w14:paraId="7DC36C1F" w14:textId="77777777" w:rsidR="00845E63" w:rsidRPr="00381F61" w:rsidRDefault="00845E63" w:rsidP="00E71CEB">
      <w:pPr>
        <w:jc w:val="both"/>
        <w:rPr>
          <w:rFonts w:ascii="Garamond" w:hAnsi="Garamond"/>
        </w:rPr>
      </w:pPr>
    </w:p>
    <w:p w14:paraId="1BCA3EA2" w14:textId="7C6FDEB0" w:rsidR="00845E63" w:rsidRPr="00381F61" w:rsidRDefault="00845E63" w:rsidP="00E71CEB">
      <w:pPr>
        <w:jc w:val="both"/>
        <w:rPr>
          <w:rFonts w:ascii="Garamond" w:hAnsi="Garamond"/>
        </w:rPr>
      </w:pPr>
      <w:r w:rsidRPr="00381F61">
        <w:rPr>
          <w:rFonts w:ascii="Garamond" w:hAnsi="Garamond"/>
        </w:rPr>
        <w:t xml:space="preserve">The FMA </w:t>
      </w:r>
      <w:r w:rsidR="00D7664A" w:rsidRPr="00381F61">
        <w:rPr>
          <w:rFonts w:ascii="Garamond" w:hAnsi="Garamond"/>
        </w:rPr>
        <w:t>published a ‘methodology notice’</w:t>
      </w:r>
      <w:r w:rsidR="00D7664A" w:rsidRPr="00381F61">
        <w:rPr>
          <w:rStyle w:val="FootnoteReference"/>
          <w:rFonts w:ascii="Garamond" w:hAnsi="Garamond"/>
        </w:rPr>
        <w:footnoteReference w:id="244"/>
      </w:r>
      <w:r w:rsidR="00D7664A" w:rsidRPr="00381F61">
        <w:rPr>
          <w:rFonts w:ascii="Garamond" w:hAnsi="Garamond"/>
        </w:rPr>
        <w:t xml:space="preserve"> that require</w:t>
      </w:r>
      <w:r w:rsidR="00E811A5" w:rsidRPr="00381F61">
        <w:rPr>
          <w:rFonts w:ascii="Garamond" w:hAnsi="Garamond"/>
        </w:rPr>
        <w:t>d</w:t>
      </w:r>
      <w:r w:rsidR="00D7664A" w:rsidRPr="00381F61">
        <w:rPr>
          <w:rFonts w:ascii="Garamond" w:hAnsi="Garamond"/>
        </w:rPr>
        <w:t xml:space="preserve"> KiwiSaver schemes to comply with the new disclosure re</w:t>
      </w:r>
      <w:r w:rsidR="00A54391" w:rsidRPr="00381F61">
        <w:rPr>
          <w:rFonts w:ascii="Garamond" w:hAnsi="Garamond"/>
        </w:rPr>
        <w:t>q</w:t>
      </w:r>
      <w:r w:rsidR="00D7664A" w:rsidRPr="00381F61">
        <w:rPr>
          <w:rFonts w:ascii="Garamond" w:hAnsi="Garamond"/>
        </w:rPr>
        <w:t xml:space="preserve">uirement </w:t>
      </w:r>
      <w:r w:rsidR="00A54391" w:rsidRPr="00381F61">
        <w:rPr>
          <w:rFonts w:ascii="Garamond" w:hAnsi="Garamond"/>
        </w:rPr>
        <w:t>with annual statements for 2018 and later.</w:t>
      </w:r>
      <w:r w:rsidR="00903823" w:rsidRPr="00381F61">
        <w:rPr>
          <w:rFonts w:ascii="Garamond" w:hAnsi="Garamond"/>
        </w:rPr>
        <w:t xml:space="preserve">  In t</w:t>
      </w:r>
      <w:r w:rsidR="004A49F0" w:rsidRPr="00381F61">
        <w:rPr>
          <w:rFonts w:ascii="Garamond" w:hAnsi="Garamond"/>
        </w:rPr>
        <w:t xml:space="preserve">he associated </w:t>
      </w:r>
      <w:r w:rsidR="004A49F0" w:rsidRPr="00381F61">
        <w:rPr>
          <w:rFonts w:ascii="Garamond" w:hAnsi="Garamond"/>
          <w:i/>
        </w:rPr>
        <w:t>Guidance note</w:t>
      </w:r>
      <w:r w:rsidR="004A49F0" w:rsidRPr="00381F61">
        <w:rPr>
          <w:rFonts w:ascii="Garamond" w:hAnsi="Garamond"/>
        </w:rPr>
        <w:t xml:space="preserve"> (</w:t>
      </w:r>
      <w:r w:rsidR="001621DA" w:rsidRPr="00381F61">
        <w:rPr>
          <w:rFonts w:ascii="Garamond" w:hAnsi="Garamond"/>
        </w:rPr>
        <w:t xml:space="preserve">a ‘tracked changes’ version of which is </w:t>
      </w:r>
      <w:r w:rsidR="004A49F0" w:rsidRPr="00381F61">
        <w:rPr>
          <w:rFonts w:ascii="Garamond" w:hAnsi="Garamond"/>
        </w:rPr>
        <w:t xml:space="preserve">accessible </w:t>
      </w:r>
      <w:hyperlink r:id="rId80" w:history="1">
        <w:r w:rsidR="004A49F0" w:rsidRPr="00381F61">
          <w:rPr>
            <w:rStyle w:val="Hyperlink"/>
            <w:rFonts w:ascii="Garamond" w:hAnsi="Garamond"/>
          </w:rPr>
          <w:t>here</w:t>
        </w:r>
      </w:hyperlink>
      <w:r w:rsidR="004A49F0" w:rsidRPr="00381F61">
        <w:rPr>
          <w:rFonts w:ascii="Garamond" w:hAnsi="Garamond"/>
        </w:rPr>
        <w:t>)</w:t>
      </w:r>
      <w:r w:rsidR="00903823" w:rsidRPr="00381F61">
        <w:rPr>
          <w:rFonts w:ascii="Garamond" w:hAnsi="Garamond"/>
        </w:rPr>
        <w:t>, t</w:t>
      </w:r>
      <w:r w:rsidR="00157860" w:rsidRPr="00381F61">
        <w:rPr>
          <w:rFonts w:ascii="Garamond" w:hAnsi="Garamond"/>
        </w:rPr>
        <w:t>he FMA says it prefers that providers use the ‘cents per unit’ (CPU)</w:t>
      </w:r>
      <w:r w:rsidR="001B7F37" w:rsidRPr="00381F61">
        <w:rPr>
          <w:rFonts w:ascii="Garamond" w:hAnsi="Garamond"/>
        </w:rPr>
        <w:t xml:space="preserve"> </w:t>
      </w:r>
      <w:r w:rsidR="00157860" w:rsidRPr="00381F61">
        <w:rPr>
          <w:rFonts w:ascii="Garamond" w:hAnsi="Garamond"/>
        </w:rPr>
        <w:t xml:space="preserve">on the ‘valuation day’ basis, rather than the ‘total annual fund charge’ (TAFC) </w:t>
      </w:r>
      <w:r w:rsidR="001B7F37" w:rsidRPr="00381F61">
        <w:rPr>
          <w:rFonts w:ascii="Garamond" w:hAnsi="Garamond"/>
        </w:rPr>
        <w:t>basis but will allow the TAFC basis in the meantime.</w:t>
      </w:r>
    </w:p>
    <w:p w14:paraId="138210B7" w14:textId="77777777" w:rsidR="001B7F37" w:rsidRPr="00381F61" w:rsidRDefault="001B7F37" w:rsidP="00E71CEB">
      <w:pPr>
        <w:jc w:val="both"/>
        <w:rPr>
          <w:rFonts w:ascii="Garamond" w:hAnsi="Garamond"/>
        </w:rPr>
      </w:pPr>
    </w:p>
    <w:p w14:paraId="372D3A92" w14:textId="7FF8DB19" w:rsidR="001B7F37" w:rsidRPr="00381F61" w:rsidRDefault="001B7F37" w:rsidP="00E71CEB">
      <w:pPr>
        <w:jc w:val="both"/>
        <w:rPr>
          <w:rFonts w:ascii="Garamond" w:hAnsi="Garamond"/>
        </w:rPr>
      </w:pPr>
      <w:r w:rsidRPr="00381F61">
        <w:rPr>
          <w:rFonts w:ascii="Garamond" w:hAnsi="Garamond"/>
        </w:rPr>
        <w:t>The CPU basis will work for funds that have ‘units’ on which to calculate the fees.  For the rest</w:t>
      </w:r>
      <w:r w:rsidR="00903823" w:rsidRPr="00381F61">
        <w:rPr>
          <w:rFonts w:ascii="Garamond" w:hAnsi="Garamond"/>
        </w:rPr>
        <w:t>,</w:t>
      </w:r>
      <w:r w:rsidRPr="00381F61">
        <w:rPr>
          <w:rFonts w:ascii="Garamond" w:hAnsi="Garamond"/>
        </w:rPr>
        <w:t xml:space="preserve"> the TAFC is the only practical basis.</w:t>
      </w:r>
    </w:p>
    <w:p w14:paraId="677BB20F" w14:textId="77777777" w:rsidR="001B7F37" w:rsidRPr="00381F61" w:rsidRDefault="001B7F37" w:rsidP="00E71CEB">
      <w:pPr>
        <w:jc w:val="both"/>
        <w:rPr>
          <w:rFonts w:ascii="Garamond" w:hAnsi="Garamond"/>
        </w:rPr>
      </w:pPr>
    </w:p>
    <w:p w14:paraId="0EF5127F" w14:textId="1DFAF4DD" w:rsidR="001B7F37" w:rsidRPr="00381F61" w:rsidRDefault="001B7F37" w:rsidP="00E71CEB">
      <w:pPr>
        <w:jc w:val="both"/>
        <w:rPr>
          <w:rFonts w:ascii="Garamond" w:hAnsi="Garamond"/>
        </w:rPr>
      </w:pPr>
      <w:r w:rsidRPr="00381F61">
        <w:rPr>
          <w:rFonts w:ascii="Garamond" w:hAnsi="Garamond"/>
        </w:rPr>
        <w:t>The FMA has suggested:</w:t>
      </w:r>
    </w:p>
    <w:p w14:paraId="28E88A19" w14:textId="77777777" w:rsidR="00AA379B" w:rsidRPr="00381F61" w:rsidRDefault="00AA379B" w:rsidP="00E71CEB">
      <w:pPr>
        <w:jc w:val="both"/>
        <w:rPr>
          <w:rFonts w:ascii="Garamond" w:hAnsi="Garamond"/>
          <w:sz w:val="8"/>
          <w:szCs w:val="8"/>
        </w:rPr>
      </w:pPr>
    </w:p>
    <w:p w14:paraId="6AD34AEE" w14:textId="253A8DEF" w:rsidR="001B7F37" w:rsidRPr="00381F61" w:rsidRDefault="001B7F37" w:rsidP="00AA379B">
      <w:pPr>
        <w:ind w:left="709"/>
        <w:jc w:val="both"/>
        <w:rPr>
          <w:rFonts w:ascii="Garamond" w:hAnsi="Garamond"/>
          <w:i/>
          <w:sz w:val="22"/>
          <w:szCs w:val="22"/>
        </w:rPr>
      </w:pPr>
      <w:r w:rsidRPr="00381F61">
        <w:rPr>
          <w:rFonts w:ascii="Garamond" w:hAnsi="Garamond"/>
          <w:sz w:val="22"/>
          <w:szCs w:val="22"/>
        </w:rPr>
        <w:t>“The FMA encourages KiwiSaver members to compare the fees they are paying for their chosen funds with those of other providers and they can do this by looking at the fund updates and the product disclosure statements.” (Media release 8 June 2017)</w:t>
      </w:r>
    </w:p>
    <w:p w14:paraId="3FF751CA" w14:textId="77777777" w:rsidR="00391948" w:rsidRPr="00381F61" w:rsidRDefault="00391948" w:rsidP="00E71CEB">
      <w:pPr>
        <w:jc w:val="both"/>
        <w:rPr>
          <w:rFonts w:ascii="Garamond" w:hAnsi="Garamond"/>
        </w:rPr>
      </w:pPr>
    </w:p>
    <w:p w14:paraId="5263CE62" w14:textId="3CCBAB4B" w:rsidR="001B7F37" w:rsidRPr="00381F61" w:rsidRDefault="001B7F37" w:rsidP="00E71CEB">
      <w:pPr>
        <w:jc w:val="both"/>
        <w:rPr>
          <w:rFonts w:ascii="Garamond" w:hAnsi="Garamond"/>
        </w:rPr>
      </w:pPr>
      <w:r w:rsidRPr="00381F61">
        <w:rPr>
          <w:rFonts w:ascii="Garamond" w:hAnsi="Garamond"/>
        </w:rPr>
        <w:t>We think this is wishful thinking and won’t happen.</w:t>
      </w:r>
      <w:r w:rsidR="00E320D2" w:rsidRPr="00381F61">
        <w:rPr>
          <w:rFonts w:ascii="Garamond" w:hAnsi="Garamond"/>
        </w:rPr>
        <w:t xml:space="preserve">  We support the move to standardise fee disclosure</w:t>
      </w:r>
      <w:r w:rsidR="00903823" w:rsidRPr="00381F61">
        <w:rPr>
          <w:rFonts w:ascii="Garamond" w:hAnsi="Garamond"/>
        </w:rPr>
        <w:t>, even to have those expressed in both dollars and percentages</w:t>
      </w:r>
      <w:r w:rsidR="00E320D2" w:rsidRPr="00381F61">
        <w:rPr>
          <w:rFonts w:ascii="Garamond" w:hAnsi="Garamond"/>
        </w:rPr>
        <w:t xml:space="preserve"> but suggest this will not be a game-changer.</w:t>
      </w:r>
      <w:r w:rsidR="00537741" w:rsidRPr="00381F61">
        <w:rPr>
          <w:rFonts w:ascii="Garamond" w:hAnsi="Garamond"/>
        </w:rPr>
        <w:t xml:space="preserve">  Also, this new regime should not be confined to KiwiSaver schemes.  </w:t>
      </w:r>
      <w:r w:rsidR="001B1B68" w:rsidRPr="00381F61">
        <w:rPr>
          <w:rFonts w:ascii="Garamond" w:hAnsi="Garamond"/>
        </w:rPr>
        <w:t>All CIVs should be required to disclose fees in dollar terms.  Also, the fees disclosed should not be the fees for the last year but the fees for each of the last ten years where the data is available for that investor.</w:t>
      </w:r>
      <w:r w:rsidR="00E811A5" w:rsidRPr="00381F61">
        <w:rPr>
          <w:rFonts w:ascii="Garamond" w:hAnsi="Garamond"/>
        </w:rPr>
        <w:t xml:space="preserve">  Understanding the trend in fees and seeing the total fees over a reasonable period of time is more likely to focus </w:t>
      </w:r>
      <w:r w:rsidR="00A270E5" w:rsidRPr="00381F61">
        <w:rPr>
          <w:rFonts w:ascii="Garamond" w:hAnsi="Garamond"/>
        </w:rPr>
        <w:t>an investor’s</w:t>
      </w:r>
      <w:r w:rsidR="00E811A5" w:rsidRPr="00381F61">
        <w:rPr>
          <w:rFonts w:ascii="Garamond" w:hAnsi="Garamond"/>
        </w:rPr>
        <w:t xml:space="preserve"> mind.</w:t>
      </w:r>
    </w:p>
    <w:p w14:paraId="00254C76" w14:textId="77777777" w:rsidR="00A93CA3" w:rsidRPr="00381F61" w:rsidRDefault="00A93CA3" w:rsidP="00E71CEB">
      <w:pPr>
        <w:jc w:val="both"/>
        <w:rPr>
          <w:rFonts w:ascii="Garamond" w:hAnsi="Garamond"/>
          <w:b/>
        </w:rPr>
      </w:pPr>
    </w:p>
    <w:p w14:paraId="381C6703" w14:textId="77777777" w:rsidR="0015393D" w:rsidRPr="00381F61" w:rsidRDefault="0015393D" w:rsidP="0015393D">
      <w:pPr>
        <w:jc w:val="both"/>
        <w:rPr>
          <w:rFonts w:ascii="Garamond" w:hAnsi="Garamond"/>
        </w:rPr>
      </w:pPr>
      <w:r w:rsidRPr="00381F61">
        <w:rPr>
          <w:rFonts w:ascii="Garamond" w:hAnsi="Garamond"/>
          <w:b/>
        </w:rPr>
        <w:t>Terms of reference for 2019 Review</w:t>
      </w:r>
    </w:p>
    <w:p w14:paraId="34A8B24F" w14:textId="77777777" w:rsidR="0015393D" w:rsidRPr="00381F61" w:rsidRDefault="0015393D" w:rsidP="0015393D">
      <w:pPr>
        <w:jc w:val="both"/>
        <w:rPr>
          <w:rFonts w:ascii="Garamond" w:hAnsi="Garamond"/>
        </w:rPr>
      </w:pPr>
    </w:p>
    <w:p w14:paraId="46CD60D5" w14:textId="77777777" w:rsidR="0015393D" w:rsidRPr="00381F61" w:rsidRDefault="0015393D" w:rsidP="0015393D">
      <w:pPr>
        <w:jc w:val="both"/>
        <w:rPr>
          <w:rFonts w:ascii="Garamond" w:hAnsi="Garamond"/>
        </w:rPr>
      </w:pPr>
      <w:r w:rsidRPr="00381F61">
        <w:rPr>
          <w:rFonts w:ascii="Garamond" w:hAnsi="Garamond"/>
        </w:rPr>
        <w:t>The Terms of Reference for the Retirement Commissioner’s 2019 Review asked for information with respect to:</w:t>
      </w:r>
    </w:p>
    <w:p w14:paraId="5008A6F1" w14:textId="77777777" w:rsidR="0015393D" w:rsidRPr="00381F61" w:rsidRDefault="0015393D" w:rsidP="0015393D">
      <w:pPr>
        <w:jc w:val="both"/>
        <w:rPr>
          <w:rFonts w:ascii="Garamond" w:hAnsi="Garamond"/>
          <w:sz w:val="8"/>
          <w:szCs w:val="8"/>
        </w:rPr>
      </w:pPr>
    </w:p>
    <w:p w14:paraId="7E2F6D23" w14:textId="4F6DA64C" w:rsidR="0015393D" w:rsidRPr="00381F61" w:rsidRDefault="0015393D" w:rsidP="00701CA1">
      <w:pPr>
        <w:pStyle w:val="ListParagraph"/>
        <w:widowControl w:val="0"/>
        <w:tabs>
          <w:tab w:val="left" w:pos="1185"/>
          <w:tab w:val="left" w:pos="1186"/>
        </w:tabs>
        <w:autoSpaceDE w:val="0"/>
        <w:autoSpaceDN w:val="0"/>
        <w:ind w:left="284" w:right="293"/>
        <w:contextualSpacing w:val="0"/>
        <w:jc w:val="both"/>
        <w:rPr>
          <w:rFonts w:ascii="Garamond" w:hAnsi="Garamond"/>
          <w:color w:val="1A1A1A"/>
          <w:sz w:val="22"/>
          <w:szCs w:val="22"/>
        </w:rPr>
      </w:pPr>
      <w:r w:rsidRPr="00381F61">
        <w:rPr>
          <w:rFonts w:ascii="Garamond" w:hAnsi="Garamond"/>
          <w:color w:val="1A1A1A"/>
          <w:sz w:val="22"/>
          <w:szCs w:val="22"/>
        </w:rPr>
        <w:t>“4. Information about, and relevant to, the public’s perception and understanding of KiwiSaver fees,</w:t>
      </w:r>
      <w:r w:rsidRPr="00381F61">
        <w:rPr>
          <w:rFonts w:ascii="Garamond" w:hAnsi="Garamond"/>
          <w:color w:val="1A1A1A"/>
          <w:spacing w:val="-34"/>
          <w:sz w:val="22"/>
          <w:szCs w:val="22"/>
        </w:rPr>
        <w:t xml:space="preserve"> </w:t>
      </w:r>
      <w:r w:rsidRPr="00381F61">
        <w:rPr>
          <w:rFonts w:ascii="Garamond" w:hAnsi="Garamond"/>
          <w:color w:val="1A1A1A"/>
          <w:sz w:val="22"/>
          <w:szCs w:val="22"/>
        </w:rPr>
        <w:t>including:</w:t>
      </w:r>
    </w:p>
    <w:p w14:paraId="7C7AE241" w14:textId="77777777" w:rsidR="0015393D" w:rsidRPr="00381F61" w:rsidRDefault="0015393D" w:rsidP="0015393D">
      <w:pPr>
        <w:pStyle w:val="ListParagraph"/>
        <w:widowControl w:val="0"/>
        <w:numPr>
          <w:ilvl w:val="1"/>
          <w:numId w:val="65"/>
        </w:numPr>
        <w:tabs>
          <w:tab w:val="left" w:pos="1906"/>
          <w:tab w:val="left" w:pos="1907"/>
        </w:tabs>
        <w:autoSpaceDE w:val="0"/>
        <w:autoSpaceDN w:val="0"/>
        <w:ind w:left="567" w:hanging="284"/>
        <w:contextualSpacing w:val="0"/>
        <w:rPr>
          <w:rFonts w:ascii="Garamond" w:hAnsi="Garamond"/>
          <w:color w:val="1A1A1A"/>
          <w:sz w:val="22"/>
          <w:szCs w:val="22"/>
        </w:rPr>
      </w:pPr>
      <w:r w:rsidRPr="00381F61">
        <w:rPr>
          <w:rFonts w:ascii="Garamond" w:hAnsi="Garamond"/>
          <w:color w:val="1A1A1A"/>
          <w:sz w:val="22"/>
          <w:szCs w:val="22"/>
        </w:rPr>
        <w:t>The level and types of fees charged by KiwiSaver providers;</w:t>
      </w:r>
      <w:r w:rsidRPr="00381F61">
        <w:rPr>
          <w:rFonts w:ascii="Garamond" w:hAnsi="Garamond"/>
          <w:color w:val="1A1A1A"/>
          <w:spacing w:val="47"/>
          <w:sz w:val="22"/>
          <w:szCs w:val="22"/>
        </w:rPr>
        <w:t xml:space="preserve"> </w:t>
      </w:r>
      <w:r w:rsidRPr="00381F61">
        <w:rPr>
          <w:rFonts w:ascii="Garamond" w:hAnsi="Garamond"/>
          <w:color w:val="1A1A1A"/>
          <w:sz w:val="22"/>
          <w:szCs w:val="22"/>
        </w:rPr>
        <w:t>and</w:t>
      </w:r>
    </w:p>
    <w:p w14:paraId="1146D246" w14:textId="77777777" w:rsidR="0015393D" w:rsidRPr="00381F61" w:rsidRDefault="0015393D" w:rsidP="0015393D">
      <w:pPr>
        <w:pStyle w:val="BodyText"/>
        <w:spacing w:after="0"/>
        <w:ind w:left="567" w:hanging="284"/>
        <w:rPr>
          <w:rFonts w:ascii="Garamond" w:hAnsi="Garamond"/>
          <w:sz w:val="8"/>
          <w:szCs w:val="8"/>
        </w:rPr>
      </w:pPr>
    </w:p>
    <w:p w14:paraId="07DDEE45" w14:textId="296A8D75" w:rsidR="0015393D" w:rsidRPr="00381F61" w:rsidRDefault="0015393D" w:rsidP="00701CA1">
      <w:pPr>
        <w:pStyle w:val="ListParagraph"/>
        <w:widowControl w:val="0"/>
        <w:numPr>
          <w:ilvl w:val="1"/>
          <w:numId w:val="65"/>
        </w:numPr>
        <w:tabs>
          <w:tab w:val="left" w:pos="1906"/>
          <w:tab w:val="left" w:pos="1907"/>
        </w:tabs>
        <w:autoSpaceDE w:val="0"/>
        <w:autoSpaceDN w:val="0"/>
        <w:ind w:left="567" w:hanging="284"/>
        <w:contextualSpacing w:val="0"/>
        <w:rPr>
          <w:rFonts w:ascii="Garamond" w:hAnsi="Garamond"/>
          <w:color w:val="1A1A1A"/>
          <w:sz w:val="22"/>
          <w:szCs w:val="22"/>
        </w:rPr>
      </w:pPr>
      <w:r w:rsidRPr="00381F61">
        <w:rPr>
          <w:rFonts w:ascii="Garamond" w:hAnsi="Garamond"/>
          <w:color w:val="1A1A1A"/>
          <w:sz w:val="22"/>
          <w:szCs w:val="22"/>
        </w:rPr>
        <w:t>The impact that fees may have on KiwiSaver</w:t>
      </w:r>
      <w:r w:rsidRPr="00381F61">
        <w:rPr>
          <w:rFonts w:ascii="Garamond" w:hAnsi="Garamond"/>
          <w:color w:val="1A1A1A"/>
          <w:spacing w:val="36"/>
          <w:sz w:val="22"/>
          <w:szCs w:val="22"/>
        </w:rPr>
        <w:t xml:space="preserve"> </w:t>
      </w:r>
      <w:r w:rsidRPr="00381F61">
        <w:rPr>
          <w:rFonts w:ascii="Garamond" w:hAnsi="Garamond"/>
          <w:color w:val="1A1A1A"/>
          <w:sz w:val="22"/>
          <w:szCs w:val="22"/>
        </w:rPr>
        <w:t>balances.”</w:t>
      </w:r>
    </w:p>
    <w:p w14:paraId="680A8C3B" w14:textId="77777777" w:rsidR="0015393D" w:rsidRPr="00381F61" w:rsidRDefault="0015393D" w:rsidP="0015393D">
      <w:pPr>
        <w:jc w:val="both"/>
        <w:rPr>
          <w:rFonts w:ascii="Garamond" w:hAnsi="Garamond"/>
          <w:b/>
        </w:rPr>
      </w:pPr>
    </w:p>
    <w:p w14:paraId="6B0C5F87" w14:textId="34D3C5FF" w:rsidR="00AA379B" w:rsidRPr="00381F61" w:rsidRDefault="0015393D" w:rsidP="0015393D">
      <w:pPr>
        <w:jc w:val="both"/>
        <w:rPr>
          <w:rFonts w:ascii="Garamond" w:hAnsi="Garamond"/>
        </w:rPr>
      </w:pPr>
      <w:r w:rsidRPr="00381F61">
        <w:rPr>
          <w:rFonts w:ascii="Garamond" w:hAnsi="Garamond"/>
        </w:rPr>
        <w:t>If the more detailed questions we suggest below are addressed, the government’s assessment request will be covered.</w:t>
      </w:r>
      <w:r w:rsidR="00A270E5" w:rsidRPr="00381F61">
        <w:rPr>
          <w:rFonts w:ascii="Garamond" w:hAnsi="Garamond"/>
        </w:rPr>
        <w:t xml:space="preserve">  However, the 2019 Review should include all CIVs, not just KiwiSaver schemes.</w:t>
      </w:r>
    </w:p>
    <w:p w14:paraId="58DEB73C" w14:textId="77777777" w:rsidR="0015393D" w:rsidRPr="00381F61" w:rsidRDefault="0015393D" w:rsidP="0015393D">
      <w:pPr>
        <w:jc w:val="both"/>
        <w:rPr>
          <w:rFonts w:ascii="Garamond" w:hAnsi="Garamond"/>
        </w:rPr>
      </w:pPr>
    </w:p>
    <w:p w14:paraId="48BB0105" w14:textId="7BB5B9C9" w:rsidR="00303CCB" w:rsidRPr="00381F61" w:rsidRDefault="00303CCB" w:rsidP="00E71CEB">
      <w:pPr>
        <w:jc w:val="both"/>
        <w:rPr>
          <w:rFonts w:ascii="Garamond" w:hAnsi="Garamond"/>
          <w:b/>
        </w:rPr>
      </w:pPr>
      <w:r w:rsidRPr="00381F61">
        <w:rPr>
          <w:rFonts w:ascii="Garamond" w:hAnsi="Garamond"/>
          <w:b/>
        </w:rPr>
        <w:t>Questions that New Zealand needs to discuss</w:t>
      </w:r>
      <w:r w:rsidR="00CC0BC7" w:rsidRPr="00381F61">
        <w:rPr>
          <w:rFonts w:ascii="Garamond" w:hAnsi="Garamond"/>
          <w:b/>
        </w:rPr>
        <w:t xml:space="preserve"> on regulation</w:t>
      </w:r>
      <w:r w:rsidRPr="00381F61">
        <w:rPr>
          <w:rFonts w:ascii="Garamond" w:hAnsi="Garamond"/>
          <w:b/>
        </w:rPr>
        <w:t>:</w:t>
      </w:r>
    </w:p>
    <w:p w14:paraId="006AF48D" w14:textId="77777777" w:rsidR="00712012" w:rsidRPr="00381F61" w:rsidRDefault="00712012" w:rsidP="00E71CEB">
      <w:pPr>
        <w:jc w:val="both"/>
        <w:rPr>
          <w:rFonts w:ascii="Garamond" w:hAnsi="Garamond"/>
          <w:b/>
        </w:rPr>
      </w:pPr>
    </w:p>
    <w:p w14:paraId="4922ED97" w14:textId="4B68E995" w:rsidR="00303CCB" w:rsidRPr="00381F61" w:rsidRDefault="00391948" w:rsidP="00043E1D">
      <w:pPr>
        <w:pStyle w:val="ListParagraph"/>
        <w:numPr>
          <w:ilvl w:val="0"/>
          <w:numId w:val="56"/>
        </w:numPr>
        <w:jc w:val="both"/>
        <w:rPr>
          <w:rFonts w:ascii="Garamond" w:hAnsi="Garamond"/>
        </w:rPr>
      </w:pPr>
      <w:r w:rsidRPr="00381F61">
        <w:rPr>
          <w:rFonts w:ascii="Garamond" w:hAnsi="Garamond"/>
        </w:rPr>
        <w:t>The FMA started on 1</w:t>
      </w:r>
      <w:r w:rsidR="00303CCB" w:rsidRPr="00381F61">
        <w:rPr>
          <w:rFonts w:ascii="Garamond" w:hAnsi="Garamond"/>
        </w:rPr>
        <w:t xml:space="preserve"> </w:t>
      </w:r>
      <w:r w:rsidR="00913869" w:rsidRPr="00381F61">
        <w:rPr>
          <w:rFonts w:ascii="Garamond" w:hAnsi="Garamond"/>
        </w:rPr>
        <w:t>May 2011 to, amongst other things rationalise the regulation of financial markets and to “…promote confident and informed participation in New Zealand’s financial markets”</w:t>
      </w:r>
      <w:r w:rsidR="00913869" w:rsidRPr="00381F61">
        <w:rPr>
          <w:rStyle w:val="FootnoteReference"/>
          <w:rFonts w:ascii="Garamond" w:hAnsi="Garamond"/>
        </w:rPr>
        <w:footnoteReference w:id="245"/>
      </w:r>
      <w:r w:rsidR="00913869" w:rsidRPr="00381F61">
        <w:rPr>
          <w:rFonts w:ascii="Garamond" w:hAnsi="Garamond"/>
        </w:rPr>
        <w:t>.  With specific regard to superannuation schemes and other similar ‘collective investment vehicles’ how is it doing?</w:t>
      </w:r>
      <w:r w:rsidRPr="00381F61">
        <w:rPr>
          <w:rFonts w:ascii="Garamond" w:hAnsi="Garamond"/>
        </w:rPr>
        <w:t xml:space="preserve"> What is it doing?  How specifically might these activities promote that confident and informed participation?</w:t>
      </w:r>
    </w:p>
    <w:p w14:paraId="0432F83E" w14:textId="77777777" w:rsidR="00712012" w:rsidRPr="00381F61" w:rsidRDefault="00712012" w:rsidP="00043E1D">
      <w:pPr>
        <w:pStyle w:val="ListParagraph"/>
        <w:jc w:val="both"/>
        <w:rPr>
          <w:rFonts w:ascii="Garamond" w:hAnsi="Garamond"/>
        </w:rPr>
      </w:pPr>
    </w:p>
    <w:p w14:paraId="34A5AECE" w14:textId="622DE912" w:rsidR="00913869" w:rsidRPr="00381F61" w:rsidRDefault="0093118D" w:rsidP="00043E1D">
      <w:pPr>
        <w:pStyle w:val="ListParagraph"/>
        <w:numPr>
          <w:ilvl w:val="0"/>
          <w:numId w:val="56"/>
        </w:numPr>
        <w:jc w:val="both"/>
        <w:rPr>
          <w:rFonts w:ascii="Garamond" w:hAnsi="Garamond"/>
        </w:rPr>
      </w:pPr>
      <w:r w:rsidRPr="00381F61">
        <w:rPr>
          <w:rFonts w:ascii="Garamond" w:hAnsi="Garamond"/>
        </w:rPr>
        <w:t xml:space="preserve">In the </w:t>
      </w:r>
      <w:r w:rsidR="0015393D" w:rsidRPr="00381F61">
        <w:rPr>
          <w:rFonts w:ascii="Garamond" w:hAnsi="Garamond"/>
        </w:rPr>
        <w:t xml:space="preserve">seven </w:t>
      </w:r>
      <w:r w:rsidRPr="00381F61">
        <w:rPr>
          <w:rFonts w:ascii="Garamond" w:hAnsi="Garamond"/>
        </w:rPr>
        <w:t>years to 30 June 201</w:t>
      </w:r>
      <w:r w:rsidR="0015393D" w:rsidRPr="00381F61">
        <w:rPr>
          <w:rFonts w:ascii="Garamond" w:hAnsi="Garamond"/>
        </w:rPr>
        <w:t>8</w:t>
      </w:r>
      <w:r w:rsidRPr="00381F61">
        <w:rPr>
          <w:rFonts w:ascii="Garamond" w:hAnsi="Garamond"/>
        </w:rPr>
        <w:t>, the FMA has spent $</w:t>
      </w:r>
      <w:r w:rsidR="0015393D" w:rsidRPr="00381F61">
        <w:rPr>
          <w:rFonts w:ascii="Garamond" w:hAnsi="Garamond"/>
        </w:rPr>
        <w:t>217</w:t>
      </w:r>
      <w:r w:rsidRPr="00381F61">
        <w:rPr>
          <w:rFonts w:ascii="Garamond" w:hAnsi="Garamond"/>
        </w:rPr>
        <w:t xml:space="preserve"> million on all of its activities</w:t>
      </w:r>
      <w:r w:rsidR="00291309" w:rsidRPr="00381F61">
        <w:rPr>
          <w:rStyle w:val="FootnoteReference"/>
          <w:rFonts w:ascii="Garamond" w:hAnsi="Garamond"/>
        </w:rPr>
        <w:footnoteReference w:id="246"/>
      </w:r>
      <w:r w:rsidRPr="00381F61">
        <w:rPr>
          <w:rFonts w:ascii="Garamond" w:hAnsi="Garamond"/>
        </w:rPr>
        <w:t xml:space="preserve">, including the supervision of ‘collective investment vehicles’.  Has New Zealand received good value against the FMA’s stated objectives </w:t>
      </w:r>
      <w:r w:rsidRPr="00381F61">
        <w:rPr>
          <w:rFonts w:ascii="Garamond" w:hAnsi="Garamond"/>
          <w:color w:val="000000" w:themeColor="text1"/>
        </w:rPr>
        <w:t>(</w:t>
      </w:r>
      <w:r w:rsidR="00712012" w:rsidRPr="00381F61">
        <w:rPr>
          <w:rFonts w:ascii="Garamond" w:hAnsi="Garamond"/>
          <w:color w:val="000000" w:themeColor="text1"/>
        </w:rPr>
        <w:t>“</w:t>
      </w:r>
      <w:r w:rsidR="00712012" w:rsidRPr="00381F61">
        <w:rPr>
          <w:rFonts w:ascii="Garamond" w:hAnsi="Garamond" w:cs="Arial"/>
          <w:color w:val="000000" w:themeColor="text1"/>
        </w:rPr>
        <w:t>well-informed consumers and investors, healthy and robust businesses, competitive markets, good conduct by businesses and global recognition of New Zealand as a strong business environment.”)?</w:t>
      </w:r>
    </w:p>
    <w:p w14:paraId="31EE801B" w14:textId="77777777" w:rsidR="002B35F8" w:rsidRPr="00381F61" w:rsidRDefault="002B35F8" w:rsidP="003E03E0">
      <w:pPr>
        <w:ind w:left="709"/>
        <w:jc w:val="both"/>
        <w:rPr>
          <w:rFonts w:ascii="Garamond" w:hAnsi="Garamond"/>
        </w:rPr>
      </w:pPr>
    </w:p>
    <w:p w14:paraId="7A353DA2" w14:textId="3CCF97EA" w:rsidR="002B35F8" w:rsidRPr="00381F61" w:rsidRDefault="002B35F8" w:rsidP="00043E1D">
      <w:pPr>
        <w:pStyle w:val="ListParagraph"/>
        <w:numPr>
          <w:ilvl w:val="0"/>
          <w:numId w:val="56"/>
        </w:numPr>
        <w:jc w:val="both"/>
        <w:rPr>
          <w:rFonts w:ascii="Garamond" w:hAnsi="Garamond"/>
        </w:rPr>
      </w:pPr>
      <w:r w:rsidRPr="00381F61">
        <w:rPr>
          <w:rFonts w:ascii="Garamond" w:hAnsi="Garamond"/>
        </w:rPr>
        <w:t>Given the large costs involved to schemes (members and sponsors) of the move to the new regulatory regime under the Financial Markets Conducts Act 2013, how is the new regime working?  How specifically has the security of savers’ entitlements been enhanced by comparison with the previous regime?  What have ‘supervisors’ added to the governance process and what do ‘managers’ think of the way things work now?</w:t>
      </w:r>
    </w:p>
    <w:p w14:paraId="0519170F" w14:textId="77777777" w:rsidR="00537741" w:rsidRPr="00381F61" w:rsidRDefault="00537741" w:rsidP="003E03E0">
      <w:pPr>
        <w:ind w:left="709"/>
        <w:jc w:val="both"/>
        <w:rPr>
          <w:rFonts w:ascii="Garamond" w:hAnsi="Garamond"/>
        </w:rPr>
      </w:pPr>
    </w:p>
    <w:p w14:paraId="1E462C2A" w14:textId="7AE9B015" w:rsidR="00537741" w:rsidRPr="00381F61" w:rsidRDefault="0015393D" w:rsidP="00043E1D">
      <w:pPr>
        <w:pStyle w:val="ListParagraph"/>
        <w:numPr>
          <w:ilvl w:val="0"/>
          <w:numId w:val="56"/>
        </w:numPr>
        <w:jc w:val="both"/>
        <w:rPr>
          <w:rFonts w:ascii="Garamond" w:hAnsi="Garamond"/>
        </w:rPr>
      </w:pPr>
      <w:r w:rsidRPr="00381F61">
        <w:rPr>
          <w:rFonts w:ascii="Garamond" w:hAnsi="Garamond"/>
        </w:rPr>
        <w:t>T</w:t>
      </w:r>
      <w:r w:rsidR="00537741" w:rsidRPr="00381F61">
        <w:rPr>
          <w:rFonts w:ascii="Garamond" w:hAnsi="Garamond"/>
        </w:rPr>
        <w:t xml:space="preserve">he government </w:t>
      </w:r>
      <w:r w:rsidRPr="00381F61">
        <w:rPr>
          <w:rFonts w:ascii="Garamond" w:hAnsi="Garamond"/>
        </w:rPr>
        <w:t>has</w:t>
      </w:r>
      <w:r w:rsidR="00537741" w:rsidRPr="00381F61">
        <w:rPr>
          <w:rFonts w:ascii="Garamond" w:hAnsi="Garamond"/>
        </w:rPr>
        <w:t xml:space="preserve"> intervene</w:t>
      </w:r>
      <w:r w:rsidRPr="00381F61">
        <w:rPr>
          <w:rFonts w:ascii="Garamond" w:hAnsi="Garamond"/>
        </w:rPr>
        <w:t>d</w:t>
      </w:r>
      <w:r w:rsidR="00537741" w:rsidRPr="00381F61">
        <w:rPr>
          <w:rFonts w:ascii="Garamond" w:hAnsi="Garamond"/>
        </w:rPr>
        <w:t xml:space="preserve"> on the publication of fees for </w:t>
      </w:r>
      <w:r w:rsidR="00A93CA3" w:rsidRPr="00381F61">
        <w:rPr>
          <w:rFonts w:ascii="Garamond" w:hAnsi="Garamond"/>
        </w:rPr>
        <w:t xml:space="preserve">just </w:t>
      </w:r>
      <w:r w:rsidR="00537741" w:rsidRPr="00381F61">
        <w:rPr>
          <w:rFonts w:ascii="Garamond" w:hAnsi="Garamond"/>
        </w:rPr>
        <w:t>KiwiSaver schemes</w:t>
      </w:r>
      <w:r w:rsidRPr="00381F61">
        <w:rPr>
          <w:rFonts w:ascii="Garamond" w:hAnsi="Garamond"/>
        </w:rPr>
        <w:t>.  W</w:t>
      </w:r>
      <w:r w:rsidR="00537741" w:rsidRPr="00381F61">
        <w:rPr>
          <w:rFonts w:ascii="Garamond" w:hAnsi="Garamond"/>
        </w:rPr>
        <w:t>hy not extend that to all ‘collective investment vehicles’?</w:t>
      </w:r>
      <w:r w:rsidRPr="00381F61">
        <w:rPr>
          <w:rFonts w:ascii="Garamond" w:hAnsi="Garamond"/>
        </w:rPr>
        <w:t xml:space="preserve">  How much do KiwiSaver members now understand about the fees they pay?</w:t>
      </w:r>
    </w:p>
    <w:p w14:paraId="6A7DA284" w14:textId="77777777" w:rsidR="00537741" w:rsidRPr="00381F61" w:rsidRDefault="00537741" w:rsidP="003E03E0">
      <w:pPr>
        <w:ind w:left="709"/>
        <w:jc w:val="both"/>
        <w:rPr>
          <w:rFonts w:ascii="Garamond" w:hAnsi="Garamond"/>
        </w:rPr>
      </w:pPr>
    </w:p>
    <w:p w14:paraId="074C0638" w14:textId="5081D9BF" w:rsidR="00537741" w:rsidRPr="00381F61" w:rsidRDefault="00BD5441" w:rsidP="00043E1D">
      <w:pPr>
        <w:pStyle w:val="ListParagraph"/>
        <w:numPr>
          <w:ilvl w:val="0"/>
          <w:numId w:val="56"/>
        </w:numPr>
        <w:jc w:val="both"/>
        <w:rPr>
          <w:rFonts w:ascii="Garamond" w:hAnsi="Garamond"/>
        </w:rPr>
      </w:pPr>
      <w:r w:rsidRPr="00381F61">
        <w:rPr>
          <w:rFonts w:ascii="Garamond" w:hAnsi="Garamond"/>
        </w:rPr>
        <w:t xml:space="preserve">Why can’t the government require, as a condition of approval, that all ‘collective investment vehicles’ </w:t>
      </w:r>
      <w:r w:rsidR="00A93CA3" w:rsidRPr="00381F61">
        <w:rPr>
          <w:rFonts w:ascii="Garamond" w:hAnsi="Garamond"/>
        </w:rPr>
        <w:t xml:space="preserve">(not just KiwiSaver schemes) </w:t>
      </w:r>
      <w:r w:rsidRPr="00381F61">
        <w:rPr>
          <w:rFonts w:ascii="Garamond" w:hAnsi="Garamond"/>
        </w:rPr>
        <w:t>submit quarterly investment performance data to a central clearing agency (perhaps a university’s accounting faculty)?  This would allow published comparisons to be made on a consistent basis.</w:t>
      </w:r>
    </w:p>
    <w:p w14:paraId="0AEF33B2" w14:textId="77777777" w:rsidR="00A97583" w:rsidRPr="00381F61" w:rsidRDefault="00A97583" w:rsidP="00E71CEB">
      <w:pPr>
        <w:jc w:val="both"/>
        <w:rPr>
          <w:rFonts w:ascii="Garamond" w:hAnsi="Garamond"/>
        </w:rPr>
      </w:pPr>
      <w:r w:rsidRPr="00381F61">
        <w:rPr>
          <w:rFonts w:ascii="Garamond" w:hAnsi="Garamond"/>
        </w:rPr>
        <w:br w:type="page"/>
      </w:r>
    </w:p>
    <w:p w14:paraId="2CA654CB" w14:textId="75B12619" w:rsidR="00B42004" w:rsidRPr="00381F61" w:rsidRDefault="00F519BC" w:rsidP="00E71CEB">
      <w:pPr>
        <w:jc w:val="both"/>
        <w:rPr>
          <w:rFonts w:ascii="Garamond" w:hAnsi="Garamond"/>
          <w:b/>
        </w:rPr>
      </w:pPr>
      <w:r w:rsidRPr="00381F61">
        <w:rPr>
          <w:rFonts w:ascii="Garamond" w:hAnsi="Garamond"/>
          <w:b/>
        </w:rPr>
        <w:t>20</w:t>
      </w:r>
      <w:r w:rsidR="00A97583" w:rsidRPr="00381F61">
        <w:rPr>
          <w:rFonts w:ascii="Garamond" w:hAnsi="Garamond"/>
          <w:b/>
        </w:rPr>
        <w:t xml:space="preserve">. </w:t>
      </w:r>
      <w:r w:rsidR="0058000F" w:rsidRPr="00381F61">
        <w:rPr>
          <w:rFonts w:ascii="Garamond" w:hAnsi="Garamond"/>
          <w:b/>
        </w:rPr>
        <w:t>Information and education – who should do that and how?</w:t>
      </w:r>
    </w:p>
    <w:p w14:paraId="15BD9A98" w14:textId="77777777" w:rsidR="006A16ED" w:rsidRPr="00381F61" w:rsidRDefault="006A16ED" w:rsidP="00E71CEB">
      <w:pPr>
        <w:jc w:val="both"/>
        <w:rPr>
          <w:rFonts w:ascii="Garamond" w:hAnsi="Garamond"/>
          <w:b/>
        </w:rPr>
      </w:pPr>
    </w:p>
    <w:p w14:paraId="25E072B1" w14:textId="280F7B74" w:rsidR="006A16ED" w:rsidRPr="00381F61" w:rsidRDefault="009C4C17" w:rsidP="00E71CEB">
      <w:pPr>
        <w:jc w:val="both"/>
        <w:rPr>
          <w:rFonts w:ascii="Garamond" w:hAnsi="Garamond"/>
        </w:rPr>
      </w:pPr>
      <w:r w:rsidRPr="00381F61">
        <w:rPr>
          <w:rFonts w:ascii="Garamond" w:hAnsi="Garamond"/>
        </w:rPr>
        <w:t>Section 1</w:t>
      </w:r>
      <w:r w:rsidR="000856CF" w:rsidRPr="00381F61">
        <w:rPr>
          <w:rFonts w:ascii="Garamond" w:hAnsi="Garamond"/>
        </w:rPr>
        <w:t>5</w:t>
      </w:r>
      <w:r w:rsidRPr="00381F61">
        <w:rPr>
          <w:rFonts w:ascii="Garamond" w:hAnsi="Garamond"/>
        </w:rPr>
        <w:t xml:space="preserve"> (households’ financial position) and what we have discovered from the Survey of Family Income and Employment (SoFIE) indicate that New Zealanders</w:t>
      </w:r>
      <w:r w:rsidR="00331474" w:rsidRPr="00381F61">
        <w:rPr>
          <w:rFonts w:ascii="Garamond" w:hAnsi="Garamond"/>
        </w:rPr>
        <w:t xml:space="preserve"> as a whole</w:t>
      </w:r>
      <w:r w:rsidRPr="00381F61">
        <w:rPr>
          <w:rFonts w:ascii="Garamond" w:hAnsi="Garamond"/>
        </w:rPr>
        <w:t xml:space="preserve"> seem to have made relatively ‘sensible’ decisions about retirement saving.</w:t>
      </w:r>
      <w:r w:rsidR="007B5708" w:rsidRPr="00381F61">
        <w:rPr>
          <w:rFonts w:ascii="Garamond" w:hAnsi="Garamond"/>
        </w:rPr>
        <w:t xml:space="preserve">  That happened, at least until 2006</w:t>
      </w:r>
      <w:r w:rsidR="00D348E0" w:rsidRPr="00381F61">
        <w:rPr>
          <w:rFonts w:ascii="Garamond" w:hAnsi="Garamond"/>
        </w:rPr>
        <w:t xml:space="preserve"> (before KiwiSaver started)</w:t>
      </w:r>
      <w:r w:rsidR="007B5708" w:rsidRPr="00381F61">
        <w:rPr>
          <w:rFonts w:ascii="Garamond" w:hAnsi="Garamond"/>
        </w:rPr>
        <w:t>, despite the absence of quality, accessible and relevant informati</w:t>
      </w:r>
      <w:r w:rsidR="00D348E0" w:rsidRPr="00381F61">
        <w:rPr>
          <w:rFonts w:ascii="Garamond" w:hAnsi="Garamond"/>
        </w:rPr>
        <w:t>on at a household level.</w:t>
      </w:r>
    </w:p>
    <w:p w14:paraId="64736E67" w14:textId="77777777" w:rsidR="00432FFB" w:rsidRPr="00381F61" w:rsidRDefault="00432FFB" w:rsidP="00E71CEB">
      <w:pPr>
        <w:jc w:val="both"/>
        <w:rPr>
          <w:rFonts w:ascii="Garamond" w:hAnsi="Garamond"/>
        </w:rPr>
      </w:pPr>
    </w:p>
    <w:p w14:paraId="3B5F519D" w14:textId="165CCE16" w:rsidR="00432FFB" w:rsidRPr="00381F61" w:rsidRDefault="00D348E0" w:rsidP="00E71CEB">
      <w:pPr>
        <w:jc w:val="both"/>
        <w:rPr>
          <w:rFonts w:ascii="Garamond" w:hAnsi="Garamond"/>
        </w:rPr>
      </w:pPr>
      <w:r w:rsidRPr="00381F61">
        <w:rPr>
          <w:rFonts w:ascii="Garamond" w:hAnsi="Garamond"/>
        </w:rPr>
        <w:t>T</w:t>
      </w:r>
      <w:r w:rsidR="00432FFB" w:rsidRPr="00381F61">
        <w:rPr>
          <w:rFonts w:ascii="Garamond" w:hAnsi="Garamond"/>
        </w:rPr>
        <w:t>he recommendations of section 1</w:t>
      </w:r>
      <w:r w:rsidR="000856CF" w:rsidRPr="00381F61">
        <w:rPr>
          <w:rFonts w:ascii="Garamond" w:hAnsi="Garamond"/>
        </w:rPr>
        <w:t>5</w:t>
      </w:r>
      <w:r w:rsidR="00432FFB" w:rsidRPr="00381F61">
        <w:rPr>
          <w:rFonts w:ascii="Garamond" w:hAnsi="Garamond"/>
        </w:rPr>
        <w:t xml:space="preserve"> </w:t>
      </w:r>
      <w:r w:rsidRPr="00381F61">
        <w:rPr>
          <w:rFonts w:ascii="Garamond" w:hAnsi="Garamond"/>
        </w:rPr>
        <w:t xml:space="preserve">should </w:t>
      </w:r>
      <w:r w:rsidR="00E821BC" w:rsidRPr="00381F61">
        <w:rPr>
          <w:rFonts w:ascii="Garamond" w:hAnsi="Garamond"/>
        </w:rPr>
        <w:t xml:space="preserve">result in a new </w:t>
      </w:r>
      <w:r w:rsidR="009B120E" w:rsidRPr="00381F61">
        <w:rPr>
          <w:rFonts w:ascii="Garamond" w:hAnsi="Garamond"/>
        </w:rPr>
        <w:t>longitudinal survey, one designed specifically to follow households’ financial lives</w:t>
      </w:r>
      <w:r w:rsidR="005F5B4F" w:rsidRPr="00381F61">
        <w:rPr>
          <w:rStyle w:val="FootnoteReference"/>
          <w:rFonts w:ascii="Garamond" w:hAnsi="Garamond"/>
        </w:rPr>
        <w:footnoteReference w:id="247"/>
      </w:r>
      <w:r w:rsidR="00AD0F10" w:rsidRPr="00381F61">
        <w:rPr>
          <w:rFonts w:ascii="Garamond" w:hAnsi="Garamond"/>
        </w:rPr>
        <w:t xml:space="preserve"> and</w:t>
      </w:r>
      <w:r w:rsidR="009B120E" w:rsidRPr="00381F61">
        <w:rPr>
          <w:rFonts w:ascii="Garamond" w:hAnsi="Garamond"/>
        </w:rPr>
        <w:t xml:space="preserve"> that will become a rich source of data</w:t>
      </w:r>
      <w:r w:rsidR="00441DBF" w:rsidRPr="00381F61">
        <w:rPr>
          <w:rStyle w:val="FootnoteReference"/>
          <w:rFonts w:ascii="Garamond" w:hAnsi="Garamond"/>
        </w:rPr>
        <w:footnoteReference w:id="248"/>
      </w:r>
      <w:r w:rsidR="009B120E" w:rsidRPr="00381F61">
        <w:rPr>
          <w:rFonts w:ascii="Garamond" w:hAnsi="Garamond"/>
        </w:rPr>
        <w:t xml:space="preserve">.  Making that </w:t>
      </w:r>
      <w:r w:rsidR="003319B9" w:rsidRPr="00381F61">
        <w:rPr>
          <w:rFonts w:ascii="Garamond" w:hAnsi="Garamond"/>
        </w:rPr>
        <w:t xml:space="preserve">data </w:t>
      </w:r>
      <w:r w:rsidR="009B120E" w:rsidRPr="00381F61">
        <w:rPr>
          <w:rFonts w:ascii="Garamond" w:hAnsi="Garamond"/>
        </w:rPr>
        <w:t>accessible to savers through an educational programme is</w:t>
      </w:r>
      <w:r w:rsidR="00A2629D" w:rsidRPr="00381F61">
        <w:rPr>
          <w:rFonts w:ascii="Garamond" w:hAnsi="Garamond"/>
        </w:rPr>
        <w:t xml:space="preserve"> a legitimate role for governments</w:t>
      </w:r>
      <w:r w:rsidR="009B120E" w:rsidRPr="00381F61">
        <w:rPr>
          <w:rFonts w:ascii="Garamond" w:hAnsi="Garamond"/>
        </w:rPr>
        <w:t>, as suggested in sect</w:t>
      </w:r>
      <w:r w:rsidRPr="00381F61">
        <w:rPr>
          <w:rFonts w:ascii="Garamond" w:hAnsi="Garamond"/>
        </w:rPr>
        <w:t>ion 1</w:t>
      </w:r>
      <w:r w:rsidR="000856CF" w:rsidRPr="00381F61">
        <w:rPr>
          <w:rFonts w:ascii="Garamond" w:hAnsi="Garamond"/>
        </w:rPr>
        <w:t>1</w:t>
      </w:r>
      <w:r w:rsidRPr="00381F61">
        <w:rPr>
          <w:rFonts w:ascii="Garamond" w:hAnsi="Garamond"/>
        </w:rPr>
        <w:t xml:space="preserve"> (R</w:t>
      </w:r>
      <w:r w:rsidR="00A2629D" w:rsidRPr="00381F61">
        <w:rPr>
          <w:rFonts w:ascii="Garamond" w:hAnsi="Garamond"/>
        </w:rPr>
        <w:t>ole of the government)</w:t>
      </w:r>
      <w:r w:rsidR="009B120E" w:rsidRPr="00381F61">
        <w:rPr>
          <w:rFonts w:ascii="Garamond" w:hAnsi="Garamond"/>
        </w:rPr>
        <w:t>.</w:t>
      </w:r>
    </w:p>
    <w:p w14:paraId="0FA499D8" w14:textId="77777777" w:rsidR="009B120E" w:rsidRPr="00381F61" w:rsidRDefault="009B120E" w:rsidP="00E71CEB">
      <w:pPr>
        <w:jc w:val="both"/>
        <w:rPr>
          <w:rFonts w:ascii="Garamond" w:hAnsi="Garamond"/>
        </w:rPr>
      </w:pPr>
    </w:p>
    <w:p w14:paraId="1E13D16D" w14:textId="48B49F99" w:rsidR="009B120E" w:rsidRPr="00381F61" w:rsidRDefault="009429E8" w:rsidP="00E71CEB">
      <w:pPr>
        <w:jc w:val="both"/>
        <w:rPr>
          <w:rFonts w:ascii="Garamond" w:hAnsi="Garamond"/>
        </w:rPr>
      </w:pPr>
      <w:r w:rsidRPr="00381F61">
        <w:rPr>
          <w:rFonts w:ascii="Garamond" w:hAnsi="Garamond"/>
        </w:rPr>
        <w:t>We have very little credible information o</w:t>
      </w:r>
      <w:r w:rsidR="00D348E0" w:rsidRPr="00381F61">
        <w:rPr>
          <w:rFonts w:ascii="Garamond" w:hAnsi="Garamond"/>
        </w:rPr>
        <w:t>n what individuals know</w:t>
      </w:r>
      <w:r w:rsidRPr="00381F61">
        <w:rPr>
          <w:rFonts w:ascii="Garamond" w:hAnsi="Garamond"/>
        </w:rPr>
        <w:t xml:space="preserve"> about their personal financial situations, what their retirement aspirations might be and what, if anything, they are doing about those.</w:t>
      </w:r>
      <w:r w:rsidR="00A56E23" w:rsidRPr="00381F61">
        <w:rPr>
          <w:rFonts w:ascii="Garamond" w:hAnsi="Garamond"/>
        </w:rPr>
        <w:t xml:space="preserve">  Surveys on what </w:t>
      </w:r>
      <w:r w:rsidR="00D348E0" w:rsidRPr="00381F61">
        <w:rPr>
          <w:rFonts w:ascii="Garamond" w:hAnsi="Garamond"/>
        </w:rPr>
        <w:t xml:space="preserve">groups of </w:t>
      </w:r>
      <w:r w:rsidR="00A56E23" w:rsidRPr="00381F61">
        <w:rPr>
          <w:rFonts w:ascii="Garamond" w:hAnsi="Garamond"/>
        </w:rPr>
        <w:t>people think about these issues are pointless</w:t>
      </w:r>
      <w:r w:rsidR="00B036B7" w:rsidRPr="00381F61">
        <w:rPr>
          <w:rFonts w:ascii="Garamond" w:hAnsi="Garamond"/>
        </w:rPr>
        <w:t xml:space="preserve"> and no more helpful than asking </w:t>
      </w:r>
      <w:r w:rsidR="00D348E0" w:rsidRPr="00381F61">
        <w:rPr>
          <w:rFonts w:ascii="Garamond" w:hAnsi="Garamond"/>
        </w:rPr>
        <w:t>those same groups</w:t>
      </w:r>
      <w:r w:rsidR="00B036B7" w:rsidRPr="00381F61">
        <w:rPr>
          <w:rFonts w:ascii="Garamond" w:hAnsi="Garamond"/>
        </w:rPr>
        <w:t xml:space="preserve"> whether they should exercise more or eat less</w:t>
      </w:r>
      <w:r w:rsidR="009E087A" w:rsidRPr="00381F61">
        <w:rPr>
          <w:rStyle w:val="FootnoteReference"/>
          <w:rFonts w:ascii="Garamond" w:hAnsi="Garamond"/>
        </w:rPr>
        <w:footnoteReference w:id="249"/>
      </w:r>
      <w:r w:rsidR="00B036B7" w:rsidRPr="00381F61">
        <w:rPr>
          <w:rFonts w:ascii="Garamond" w:hAnsi="Garamond"/>
        </w:rPr>
        <w:t>.</w:t>
      </w:r>
      <w:r w:rsidR="003129B1" w:rsidRPr="00381F61">
        <w:rPr>
          <w:rFonts w:ascii="Garamond" w:hAnsi="Garamond"/>
        </w:rPr>
        <w:t xml:space="preserve"> </w:t>
      </w:r>
      <w:r w:rsidR="003129B1" w:rsidRPr="00381F61">
        <w:rPr>
          <w:rFonts w:ascii="Garamond" w:hAnsi="Garamond"/>
          <w:i/>
        </w:rPr>
        <w:t>Vox pop</w:t>
      </w:r>
      <w:r w:rsidR="003129B1" w:rsidRPr="00381F61">
        <w:rPr>
          <w:rFonts w:ascii="Garamond" w:hAnsi="Garamond"/>
        </w:rPr>
        <w:t xml:space="preserve"> interviews are even less useful.</w:t>
      </w:r>
      <w:r w:rsidR="00E44E50" w:rsidRPr="00381F61">
        <w:rPr>
          <w:rFonts w:ascii="Garamond" w:hAnsi="Garamond"/>
        </w:rPr>
        <w:t xml:space="preserve">  What they do is </w:t>
      </w:r>
      <w:r w:rsidR="006A7AE3" w:rsidRPr="00381F61">
        <w:rPr>
          <w:rFonts w:ascii="Garamond" w:hAnsi="Garamond"/>
        </w:rPr>
        <w:t xml:space="preserve">much </w:t>
      </w:r>
      <w:r w:rsidR="00E44E50" w:rsidRPr="00381F61">
        <w:rPr>
          <w:rFonts w:ascii="Garamond" w:hAnsi="Garamond"/>
        </w:rPr>
        <w:t>more interesting than what they think.</w:t>
      </w:r>
    </w:p>
    <w:p w14:paraId="722BA9C0" w14:textId="77777777" w:rsidR="009429E8" w:rsidRPr="00381F61" w:rsidRDefault="009429E8" w:rsidP="00E71CEB">
      <w:pPr>
        <w:jc w:val="both"/>
        <w:rPr>
          <w:rFonts w:ascii="Garamond" w:hAnsi="Garamond"/>
        </w:rPr>
      </w:pPr>
    </w:p>
    <w:p w14:paraId="21BFFA60" w14:textId="1218907C" w:rsidR="009429E8" w:rsidRPr="00381F61" w:rsidRDefault="009429E8" w:rsidP="00E71CEB">
      <w:pPr>
        <w:jc w:val="both"/>
        <w:rPr>
          <w:rFonts w:ascii="Garamond" w:hAnsi="Garamond"/>
        </w:rPr>
      </w:pPr>
      <w:r w:rsidRPr="00381F61">
        <w:rPr>
          <w:rFonts w:ascii="Garamond" w:hAnsi="Garamond"/>
        </w:rPr>
        <w:t xml:space="preserve">Equally, we have little credible </w:t>
      </w:r>
      <w:r w:rsidR="00637828" w:rsidRPr="00381F61">
        <w:rPr>
          <w:rFonts w:ascii="Garamond" w:hAnsi="Garamond"/>
        </w:rPr>
        <w:t xml:space="preserve">current </w:t>
      </w:r>
      <w:r w:rsidRPr="00381F61">
        <w:rPr>
          <w:rFonts w:ascii="Garamond" w:hAnsi="Garamond"/>
        </w:rPr>
        <w:t>information on employers’ attitudes to their em</w:t>
      </w:r>
      <w:r w:rsidR="002878A7" w:rsidRPr="00381F61">
        <w:rPr>
          <w:rFonts w:ascii="Garamond" w:hAnsi="Garamond"/>
        </w:rPr>
        <w:t>ployees’ information needs,</w:t>
      </w:r>
      <w:r w:rsidRPr="00381F61">
        <w:rPr>
          <w:rFonts w:ascii="Garamond" w:hAnsi="Garamond"/>
        </w:rPr>
        <w:t xml:space="preserve"> whether employers might be prepared to help plug those information gaps</w:t>
      </w:r>
      <w:r w:rsidR="00A56E23" w:rsidRPr="00381F61">
        <w:rPr>
          <w:rFonts w:ascii="Garamond" w:hAnsi="Garamond"/>
        </w:rPr>
        <w:t xml:space="preserve"> and whether they are presently doing anything about these things</w:t>
      </w:r>
      <w:r w:rsidRPr="00381F61">
        <w:rPr>
          <w:rFonts w:ascii="Garamond" w:hAnsi="Garamond"/>
        </w:rPr>
        <w:t>.</w:t>
      </w:r>
    </w:p>
    <w:p w14:paraId="443A0DB7" w14:textId="77777777" w:rsidR="009429E8" w:rsidRPr="00381F61" w:rsidRDefault="009429E8" w:rsidP="00E71CEB">
      <w:pPr>
        <w:jc w:val="both"/>
        <w:rPr>
          <w:rFonts w:ascii="Garamond" w:hAnsi="Garamond"/>
        </w:rPr>
      </w:pPr>
    </w:p>
    <w:p w14:paraId="137F7C23" w14:textId="62331C6B" w:rsidR="009429E8" w:rsidRPr="00381F61" w:rsidRDefault="009429E8" w:rsidP="00E71CEB">
      <w:pPr>
        <w:jc w:val="both"/>
        <w:rPr>
          <w:rFonts w:ascii="Garamond" w:hAnsi="Garamond"/>
        </w:rPr>
      </w:pPr>
      <w:r w:rsidRPr="00381F61">
        <w:rPr>
          <w:rFonts w:ascii="Garamond" w:hAnsi="Garamond"/>
        </w:rPr>
        <w:t>In a 2003 survey of the largest 100 employers in New Zealand</w:t>
      </w:r>
      <w:r w:rsidR="00ED71CF" w:rsidRPr="00381F61">
        <w:rPr>
          <w:rFonts w:ascii="Garamond" w:hAnsi="Garamond"/>
        </w:rPr>
        <w:t xml:space="preserve"> for the 2003 Periodic Report Group</w:t>
      </w:r>
      <w:r w:rsidR="00A56E23" w:rsidRPr="00381F61">
        <w:rPr>
          <w:rFonts w:ascii="Garamond" w:hAnsi="Garamond"/>
        </w:rPr>
        <w:t xml:space="preserve"> (and </w:t>
      </w:r>
      <w:r w:rsidR="00455328" w:rsidRPr="00381F61">
        <w:rPr>
          <w:rFonts w:ascii="Garamond" w:hAnsi="Garamond"/>
        </w:rPr>
        <w:t xml:space="preserve">also </w:t>
      </w:r>
      <w:r w:rsidR="00A56E23" w:rsidRPr="00381F61">
        <w:rPr>
          <w:rFonts w:ascii="Garamond" w:hAnsi="Garamond"/>
        </w:rPr>
        <w:t xml:space="preserve">a sample survey of employees </w:t>
      </w:r>
      <w:r w:rsidR="004E7403" w:rsidRPr="00381F61">
        <w:rPr>
          <w:rFonts w:ascii="Garamond" w:hAnsi="Garamond"/>
        </w:rPr>
        <w:t xml:space="preserve">working for </w:t>
      </w:r>
      <w:r w:rsidR="00A56E23" w:rsidRPr="00381F61">
        <w:rPr>
          <w:rFonts w:ascii="Garamond" w:hAnsi="Garamond"/>
        </w:rPr>
        <w:t>some of those employers)</w:t>
      </w:r>
      <w:r w:rsidR="00ED71CF" w:rsidRPr="00381F61">
        <w:rPr>
          <w:rStyle w:val="FootnoteReference"/>
          <w:rFonts w:ascii="Garamond" w:hAnsi="Garamond"/>
        </w:rPr>
        <w:footnoteReference w:id="250"/>
      </w:r>
      <w:r w:rsidR="00ED71CF" w:rsidRPr="00381F61">
        <w:rPr>
          <w:rFonts w:ascii="Garamond" w:hAnsi="Garamond"/>
        </w:rPr>
        <w:t>:</w:t>
      </w:r>
    </w:p>
    <w:p w14:paraId="1C37BE8E" w14:textId="77777777" w:rsidR="00DC42E4" w:rsidRPr="00381F61" w:rsidRDefault="00DC42E4" w:rsidP="00E71CEB">
      <w:pPr>
        <w:jc w:val="both"/>
        <w:rPr>
          <w:rFonts w:ascii="Garamond" w:hAnsi="Garamond"/>
          <w:sz w:val="8"/>
          <w:szCs w:val="8"/>
        </w:rPr>
      </w:pPr>
    </w:p>
    <w:p w14:paraId="253B1384" w14:textId="333F1A6F" w:rsidR="00ED71CF" w:rsidRPr="00381F61" w:rsidRDefault="00ED71CF" w:rsidP="00E71CEB">
      <w:pPr>
        <w:ind w:left="720"/>
        <w:jc w:val="both"/>
        <w:rPr>
          <w:rFonts w:ascii="Garamond" w:hAnsi="Garamond"/>
          <w:sz w:val="22"/>
          <w:szCs w:val="22"/>
        </w:rPr>
      </w:pPr>
      <w:r w:rsidRPr="00381F61">
        <w:rPr>
          <w:rFonts w:ascii="Garamond" w:hAnsi="Garamond"/>
          <w:sz w:val="22"/>
          <w:szCs w:val="22"/>
        </w:rPr>
        <w:t>“About 40% of all our employers pay their employees under a “total remuneration” approach.  About 80% of the employers (by employee numbers) have a superannuation plan that is open to at least some employees.  That is probably more than would be the case for all New Zealand employers.</w:t>
      </w:r>
    </w:p>
    <w:p w14:paraId="66687888" w14:textId="77777777" w:rsidR="00ED71CF" w:rsidRPr="00381F61" w:rsidRDefault="00ED71CF" w:rsidP="00E71CEB">
      <w:pPr>
        <w:ind w:left="720"/>
        <w:jc w:val="both"/>
        <w:rPr>
          <w:rFonts w:ascii="Garamond" w:hAnsi="Garamond"/>
          <w:sz w:val="22"/>
          <w:szCs w:val="22"/>
        </w:rPr>
      </w:pPr>
    </w:p>
    <w:p w14:paraId="7410E64C" w14:textId="77777777" w:rsidR="00ED71CF" w:rsidRPr="00381F61" w:rsidRDefault="00ED71CF" w:rsidP="00E71CEB">
      <w:pPr>
        <w:pStyle w:val="BodyTextIndent"/>
        <w:spacing w:after="0"/>
        <w:ind w:left="709"/>
        <w:jc w:val="both"/>
        <w:rPr>
          <w:rFonts w:ascii="Garamond" w:hAnsi="Garamond"/>
          <w:sz w:val="22"/>
          <w:szCs w:val="22"/>
        </w:rPr>
      </w:pPr>
      <w:r w:rsidRPr="00381F61">
        <w:rPr>
          <w:rFonts w:ascii="Garamond" w:hAnsi="Garamond"/>
          <w:sz w:val="22"/>
          <w:szCs w:val="22"/>
        </w:rPr>
        <w:t>About half of all employers have a payroll deduction facility that lets employees authorise contributions to be taken out of pay on an unsubsidised basis…</w:t>
      </w:r>
    </w:p>
    <w:p w14:paraId="2C0E5C71" w14:textId="77777777" w:rsidR="00DC42E4" w:rsidRPr="00381F61" w:rsidRDefault="00DC42E4" w:rsidP="00E71CEB">
      <w:pPr>
        <w:pStyle w:val="BodyTextIndent"/>
        <w:spacing w:after="0"/>
        <w:ind w:left="709"/>
        <w:jc w:val="both"/>
        <w:rPr>
          <w:rFonts w:ascii="Garamond" w:hAnsi="Garamond"/>
          <w:sz w:val="22"/>
          <w:szCs w:val="22"/>
        </w:rPr>
      </w:pPr>
    </w:p>
    <w:p w14:paraId="16E5D630" w14:textId="3C8B37A9" w:rsidR="00ED71CF" w:rsidRPr="00381F61" w:rsidRDefault="00ED71CF" w:rsidP="00E71CEB">
      <w:pPr>
        <w:ind w:left="720"/>
        <w:jc w:val="both"/>
        <w:rPr>
          <w:rFonts w:ascii="Garamond" w:hAnsi="Garamond"/>
          <w:sz w:val="22"/>
          <w:szCs w:val="22"/>
        </w:rPr>
      </w:pPr>
      <w:r w:rsidRPr="00381F61">
        <w:rPr>
          <w:rFonts w:ascii="Garamond" w:hAnsi="Garamond"/>
          <w:sz w:val="22"/>
          <w:szCs w:val="22"/>
        </w:rPr>
        <w:t>Employers generally thought that they had a role to help employees (scored 3.47 [out of 5]) and the most popular specific option was to provide employees with “information and education” (scored 3.71).  Interestingly, employees do not currently see their employers as a source of advice on retirement issues (only 8% recognised employers in this way in a prompted question).  Employers became progressively less enthusiastic at their potential involvement as the cost of their potential role increased with subsidies to saving and insurance benefits.”</w:t>
      </w:r>
    </w:p>
    <w:p w14:paraId="0B67FC3A" w14:textId="77777777" w:rsidR="00ED71CF" w:rsidRPr="00381F61" w:rsidRDefault="00ED71CF" w:rsidP="00E71CEB">
      <w:pPr>
        <w:jc w:val="both"/>
        <w:rPr>
          <w:rFonts w:ascii="Garamond" w:hAnsi="Garamond"/>
        </w:rPr>
      </w:pPr>
    </w:p>
    <w:p w14:paraId="7B2F871D" w14:textId="1B1D9033" w:rsidR="00ED71CF" w:rsidRPr="00381F61" w:rsidRDefault="00EB3C11" w:rsidP="00E71CEB">
      <w:pPr>
        <w:jc w:val="both"/>
        <w:rPr>
          <w:rFonts w:ascii="Garamond" w:hAnsi="Garamond"/>
        </w:rPr>
      </w:pPr>
      <w:r w:rsidRPr="00381F61">
        <w:rPr>
          <w:rFonts w:ascii="Garamond" w:hAnsi="Garamond"/>
        </w:rPr>
        <w:t>The Retirement Commissioner’s 2016 Review noted a</w:t>
      </w:r>
      <w:r w:rsidR="00921B7B" w:rsidRPr="00381F61">
        <w:rPr>
          <w:rFonts w:ascii="Garamond" w:hAnsi="Garamond"/>
        </w:rPr>
        <w:t>n unsourced</w:t>
      </w:r>
      <w:r w:rsidRPr="00381F61">
        <w:rPr>
          <w:rFonts w:ascii="Garamond" w:hAnsi="Garamond"/>
        </w:rPr>
        <w:t xml:space="preserve"> 2015 survey of Employers and Manufacturers Association members “…that found 28% of senior managers had total remuneration packages and 20% of all other staff”</w:t>
      </w:r>
      <w:r w:rsidRPr="00381F61">
        <w:rPr>
          <w:rStyle w:val="FootnoteReference"/>
          <w:rFonts w:ascii="Garamond" w:hAnsi="Garamond"/>
        </w:rPr>
        <w:footnoteReference w:id="251"/>
      </w:r>
      <w:r w:rsidRPr="00381F61">
        <w:rPr>
          <w:rFonts w:ascii="Garamond" w:hAnsi="Garamond"/>
        </w:rPr>
        <w:t>.</w:t>
      </w:r>
    </w:p>
    <w:p w14:paraId="395FDE34" w14:textId="77777777" w:rsidR="00545BEA" w:rsidRPr="00381F61" w:rsidRDefault="00545BEA" w:rsidP="00E71CEB">
      <w:pPr>
        <w:jc w:val="both"/>
        <w:rPr>
          <w:rFonts w:ascii="Garamond" w:hAnsi="Garamond"/>
        </w:rPr>
      </w:pPr>
    </w:p>
    <w:p w14:paraId="2DDC3F44" w14:textId="5389AF72" w:rsidR="00545BEA" w:rsidRPr="00381F61" w:rsidRDefault="00545BEA" w:rsidP="00E71CEB">
      <w:pPr>
        <w:jc w:val="both"/>
        <w:rPr>
          <w:rFonts w:ascii="Garamond" w:hAnsi="Garamond"/>
        </w:rPr>
      </w:pPr>
      <w:r w:rsidRPr="00381F61">
        <w:rPr>
          <w:rFonts w:ascii="Garamond" w:hAnsi="Garamond"/>
        </w:rPr>
        <w:t xml:space="preserve">US reports suggest that financial literacy is a prerequisite for a successful retirement planning information programme.  Those with lower levels of financial literacy seem not to plan for retirement as much/well as those with higher levels. </w:t>
      </w:r>
      <w:r w:rsidR="00D348E0" w:rsidRPr="00381F61">
        <w:rPr>
          <w:rFonts w:ascii="Garamond" w:hAnsi="Garamond"/>
        </w:rPr>
        <w:t xml:space="preserve"> </w:t>
      </w:r>
      <w:r w:rsidRPr="00381F61">
        <w:rPr>
          <w:rFonts w:ascii="Garamond" w:hAnsi="Garamond"/>
        </w:rPr>
        <w:t xml:space="preserve">That is not very surprising. </w:t>
      </w:r>
      <w:r w:rsidR="00D348E0" w:rsidRPr="00381F61">
        <w:rPr>
          <w:rFonts w:ascii="Garamond" w:hAnsi="Garamond"/>
        </w:rPr>
        <w:t xml:space="preserve"> </w:t>
      </w:r>
      <w:r w:rsidRPr="00381F61">
        <w:rPr>
          <w:rFonts w:ascii="Garamond" w:hAnsi="Garamond"/>
        </w:rPr>
        <w:t>What it means though is that financial literacy must come first otherwise planning help is probably wasted</w:t>
      </w:r>
      <w:r w:rsidRPr="00381F61">
        <w:rPr>
          <w:rStyle w:val="FootnoteReference"/>
          <w:rFonts w:ascii="Garamond" w:hAnsi="Garamond"/>
        </w:rPr>
        <w:footnoteReference w:id="252"/>
      </w:r>
      <w:r w:rsidRPr="00381F61">
        <w:rPr>
          <w:rFonts w:ascii="Garamond" w:hAnsi="Garamond"/>
        </w:rPr>
        <w:t>.</w:t>
      </w:r>
      <w:r w:rsidR="00921B7B" w:rsidRPr="00381F61">
        <w:rPr>
          <w:rFonts w:ascii="Garamond" w:hAnsi="Garamond"/>
        </w:rPr>
        <w:t xml:space="preserve">  However, what can be done about financial literacy seems at variance with some of New Zealand’s own initiatives.</w:t>
      </w:r>
    </w:p>
    <w:p w14:paraId="641C9D73" w14:textId="38D13A57" w:rsidR="00921B7B" w:rsidRPr="00381F61" w:rsidRDefault="00921B7B" w:rsidP="00E71CEB">
      <w:pPr>
        <w:jc w:val="both"/>
        <w:rPr>
          <w:rFonts w:ascii="Garamond" w:hAnsi="Garamond"/>
        </w:rPr>
      </w:pPr>
    </w:p>
    <w:p w14:paraId="4DB7F538" w14:textId="4429195D" w:rsidR="00921B7B" w:rsidRPr="00381F61" w:rsidRDefault="00921B7B" w:rsidP="00E71CEB">
      <w:pPr>
        <w:jc w:val="both"/>
        <w:rPr>
          <w:rFonts w:ascii="Garamond" w:hAnsi="Garamond"/>
        </w:rPr>
      </w:pPr>
      <w:r w:rsidRPr="00381F61">
        <w:rPr>
          <w:rFonts w:ascii="Garamond" w:hAnsi="Garamond"/>
        </w:rPr>
        <w:t>Two reports from the United States suggest that the cost of financial education through secondary schools is wasted</w:t>
      </w:r>
      <w:r w:rsidRPr="00381F61">
        <w:rPr>
          <w:rStyle w:val="FootnoteReference"/>
          <w:rFonts w:ascii="Garamond" w:hAnsi="Garamond"/>
        </w:rPr>
        <w:footnoteReference w:id="253"/>
      </w:r>
      <w:r w:rsidR="00611DCB" w:rsidRPr="00381F61">
        <w:rPr>
          <w:rFonts w:ascii="Garamond" w:hAnsi="Garamond"/>
        </w:rPr>
        <w:t xml:space="preserve"> because there is seemingly virtually no correlation between financial education and financial behaviour.</w:t>
      </w:r>
    </w:p>
    <w:p w14:paraId="2E787008" w14:textId="77777777" w:rsidR="00DC42E4" w:rsidRPr="00381F61" w:rsidRDefault="00DC42E4" w:rsidP="00E71CEB">
      <w:pPr>
        <w:jc w:val="both"/>
        <w:rPr>
          <w:rFonts w:ascii="Garamond" w:hAnsi="Garamond"/>
        </w:rPr>
      </w:pPr>
    </w:p>
    <w:p w14:paraId="11FA4AC5" w14:textId="521E43DC" w:rsidR="00341271" w:rsidRPr="00381F61" w:rsidRDefault="00341271" w:rsidP="00E71CEB">
      <w:pPr>
        <w:jc w:val="both"/>
        <w:rPr>
          <w:rFonts w:ascii="Garamond" w:hAnsi="Garamond"/>
        </w:rPr>
      </w:pPr>
      <w:r w:rsidRPr="00381F61">
        <w:rPr>
          <w:rFonts w:ascii="Garamond" w:hAnsi="Garamond"/>
        </w:rPr>
        <w:t>We cannot expect individuals to make ‘sensible’ decisions about their own long-term financial planning unless they know some seemingly quite basic knowledge about the financial environment.  That is probably a task beyond a government’s capacity to do much about on its own.  Instead, the government should engage with employers and financial institutions on the basic precepts underpinning financial literacy as those institutions have an eco</w:t>
      </w:r>
      <w:r w:rsidR="000D292F" w:rsidRPr="00381F61">
        <w:rPr>
          <w:rFonts w:ascii="Garamond" w:hAnsi="Garamond"/>
        </w:rPr>
        <w:t xml:space="preserve">nomic stake in their employees’ and </w:t>
      </w:r>
      <w:r w:rsidRPr="00381F61">
        <w:rPr>
          <w:rFonts w:ascii="Garamond" w:hAnsi="Garamond"/>
        </w:rPr>
        <w:t xml:space="preserve">customers’ understanding </w:t>
      </w:r>
      <w:r w:rsidR="000D292F" w:rsidRPr="00381F61">
        <w:rPr>
          <w:rFonts w:ascii="Garamond" w:hAnsi="Garamond"/>
        </w:rPr>
        <w:t xml:space="preserve">of </w:t>
      </w:r>
      <w:r w:rsidRPr="00381F61">
        <w:rPr>
          <w:rFonts w:ascii="Garamond" w:hAnsi="Garamond"/>
        </w:rPr>
        <w:t>some key details.</w:t>
      </w:r>
    </w:p>
    <w:p w14:paraId="4A132E00" w14:textId="58131A58" w:rsidR="00341271" w:rsidRPr="00381F61" w:rsidRDefault="00341271" w:rsidP="00E71CEB">
      <w:pPr>
        <w:jc w:val="both"/>
        <w:rPr>
          <w:rFonts w:ascii="Garamond" w:hAnsi="Garamond"/>
        </w:rPr>
      </w:pPr>
    </w:p>
    <w:p w14:paraId="0828B1D1" w14:textId="2DCEB83A" w:rsidR="008E6DEC" w:rsidRPr="00381F61" w:rsidRDefault="00341271" w:rsidP="00E71CEB">
      <w:pPr>
        <w:jc w:val="both"/>
        <w:rPr>
          <w:rFonts w:ascii="Garamond" w:hAnsi="Garamond"/>
        </w:rPr>
      </w:pPr>
      <w:r w:rsidRPr="00381F61">
        <w:rPr>
          <w:rFonts w:ascii="Garamond" w:hAnsi="Garamond"/>
        </w:rPr>
        <w:t>However, starting that project after citizens become employees and major consumers of financial services may be too late to see real change</w:t>
      </w:r>
      <w:r w:rsidR="00941E1B" w:rsidRPr="00381F61">
        <w:rPr>
          <w:rFonts w:ascii="Garamond" w:hAnsi="Garamond"/>
        </w:rPr>
        <w:t xml:space="preserve"> without some committed hand-holding</w:t>
      </w:r>
      <w:r w:rsidRPr="00381F61">
        <w:rPr>
          <w:rFonts w:ascii="Garamond" w:hAnsi="Garamond"/>
        </w:rPr>
        <w:t>.  Financial concepts and explanations of how markets work and relate to ordinary citizens’ lives should be embedded in all aspects of the schools’ curricul</w:t>
      </w:r>
      <w:r w:rsidR="00B3095A" w:rsidRPr="00381F61">
        <w:rPr>
          <w:rFonts w:ascii="Garamond" w:hAnsi="Garamond"/>
        </w:rPr>
        <w:t>ums</w:t>
      </w:r>
      <w:r w:rsidRPr="00381F61">
        <w:rPr>
          <w:rFonts w:ascii="Garamond" w:hAnsi="Garamond"/>
        </w:rPr>
        <w:t xml:space="preserve"> at all levels.  It goes right back to fundamental issues like the ability to manipulate numbers; to test numerical results for ‘sense’; to ask the ap</w:t>
      </w:r>
      <w:r w:rsidR="00D348E0" w:rsidRPr="00381F61">
        <w:rPr>
          <w:rFonts w:ascii="Garamond" w:hAnsi="Garamond"/>
        </w:rPr>
        <w:t>propriate ‘what if</w:t>
      </w:r>
      <w:r w:rsidR="00916201" w:rsidRPr="00381F61">
        <w:rPr>
          <w:rFonts w:ascii="Garamond" w:hAnsi="Garamond"/>
        </w:rPr>
        <w:t>?</w:t>
      </w:r>
      <w:r w:rsidR="00D348E0" w:rsidRPr="00381F61">
        <w:rPr>
          <w:rFonts w:ascii="Garamond" w:hAnsi="Garamond"/>
        </w:rPr>
        <w:t xml:space="preserve">’ questions.  </w:t>
      </w:r>
      <w:r w:rsidR="008E6DEC" w:rsidRPr="00381F61">
        <w:rPr>
          <w:rFonts w:ascii="Garamond" w:hAnsi="Garamond"/>
        </w:rPr>
        <w:t xml:space="preserve">We strongly believe that encouraging </w:t>
      </w:r>
      <w:r w:rsidR="008E6DEC" w:rsidRPr="00381F61">
        <w:rPr>
          <w:rFonts w:ascii="Garamond" w:hAnsi="Garamond"/>
          <w:u w:val="single"/>
        </w:rPr>
        <w:t>mathematical competence</w:t>
      </w:r>
      <w:r w:rsidR="008E6DEC" w:rsidRPr="00381F61">
        <w:rPr>
          <w:rFonts w:ascii="Garamond" w:hAnsi="Garamond"/>
        </w:rPr>
        <w:t xml:space="preserve"> should be at the heart of every aspect of school curriculums.  Mathematical competence is central to making financial decisions about retirement and also to nearly every other part of our lives.  </w:t>
      </w:r>
    </w:p>
    <w:p w14:paraId="02EB5CF1" w14:textId="77777777" w:rsidR="008E6DEC" w:rsidRPr="00381F61" w:rsidRDefault="008E6DEC" w:rsidP="00E71CEB">
      <w:pPr>
        <w:jc w:val="both"/>
        <w:rPr>
          <w:rFonts w:ascii="Garamond" w:hAnsi="Garamond"/>
        </w:rPr>
      </w:pPr>
    </w:p>
    <w:p w14:paraId="5CD885F2" w14:textId="6D57AEE4" w:rsidR="00341271" w:rsidRPr="00381F61" w:rsidRDefault="00341271" w:rsidP="00E71CEB">
      <w:pPr>
        <w:jc w:val="both"/>
        <w:rPr>
          <w:rFonts w:ascii="Garamond" w:hAnsi="Garamond"/>
          <w:color w:val="000000"/>
          <w:shd w:val="clear" w:color="auto" w:fill="FFFFFF"/>
        </w:rPr>
      </w:pPr>
      <w:r w:rsidRPr="00381F61">
        <w:rPr>
          <w:rFonts w:ascii="Garamond" w:hAnsi="Garamond"/>
        </w:rPr>
        <w:t xml:space="preserve">Starting that programme with the teachers themselves might be a good </w:t>
      </w:r>
      <w:r w:rsidR="00D348E0" w:rsidRPr="00381F61">
        <w:rPr>
          <w:rFonts w:ascii="Garamond" w:hAnsi="Garamond"/>
        </w:rPr>
        <w:t>beginning</w:t>
      </w:r>
      <w:r w:rsidRPr="00381F61">
        <w:rPr>
          <w:rFonts w:ascii="Garamond" w:hAnsi="Garamond"/>
        </w:rPr>
        <w:t>.</w:t>
      </w:r>
      <w:r w:rsidR="009C0B6D" w:rsidRPr="00381F61">
        <w:rPr>
          <w:rFonts w:ascii="Garamond" w:hAnsi="Garamond"/>
        </w:rPr>
        <w:t xml:space="preserve">  The international evidence on financial literacy standards amongst </w:t>
      </w:r>
      <w:r w:rsidR="0075794C" w:rsidRPr="00381F61">
        <w:rPr>
          <w:rFonts w:ascii="Garamond" w:hAnsi="Garamond"/>
        </w:rPr>
        <w:t xml:space="preserve">15-year old </w:t>
      </w:r>
      <w:r w:rsidR="009C0B6D" w:rsidRPr="00381F61">
        <w:rPr>
          <w:rFonts w:ascii="Garamond" w:hAnsi="Garamond"/>
        </w:rPr>
        <w:t xml:space="preserve">secondary school pupils </w:t>
      </w:r>
      <w:r w:rsidR="0022423C" w:rsidRPr="00381F61">
        <w:rPr>
          <w:rFonts w:ascii="Garamond" w:hAnsi="Garamond"/>
        </w:rPr>
        <w:t xml:space="preserve">is not encouraging </w:t>
      </w:r>
      <w:r w:rsidR="009C0B6D" w:rsidRPr="00381F61">
        <w:rPr>
          <w:rFonts w:ascii="Garamond" w:hAnsi="Garamond"/>
        </w:rPr>
        <w:t xml:space="preserve">– the </w:t>
      </w:r>
      <w:r w:rsidR="0084232E" w:rsidRPr="00381F61">
        <w:rPr>
          <w:rFonts w:ascii="Garamond" w:hAnsi="Garamond"/>
        </w:rPr>
        <w:t xml:space="preserve">OECD’s </w:t>
      </w:r>
      <w:r w:rsidR="009C0B6D" w:rsidRPr="00381F61">
        <w:rPr>
          <w:rFonts w:ascii="Garamond" w:hAnsi="Garamond"/>
        </w:rPr>
        <w:t xml:space="preserve">PISA comparative study in </w:t>
      </w:r>
      <w:r w:rsidR="0075794C" w:rsidRPr="00381F61">
        <w:rPr>
          <w:rFonts w:ascii="Garamond" w:hAnsi="Garamond"/>
        </w:rPr>
        <w:t>2012</w:t>
      </w:r>
      <w:r w:rsidR="0022423C" w:rsidRPr="00381F61">
        <w:rPr>
          <w:rFonts w:ascii="Garamond" w:hAnsi="Garamond"/>
        </w:rPr>
        <w:t xml:space="preserve"> tested pupils’ levels of ‘financial sophistication’.  </w:t>
      </w:r>
      <w:r w:rsidR="0084232E" w:rsidRPr="00381F61">
        <w:rPr>
          <w:rFonts w:ascii="Garamond" w:hAnsi="Garamond"/>
        </w:rPr>
        <w:t xml:space="preserve">The pupils’ results “mimic those from the adult population”.  </w:t>
      </w:r>
      <w:r w:rsidR="0022423C" w:rsidRPr="00381F61">
        <w:rPr>
          <w:rFonts w:ascii="Garamond" w:hAnsi="Garamond"/>
        </w:rPr>
        <w:t>Boys seemed to perform better than girls and “</w:t>
      </w:r>
      <w:r w:rsidR="0022423C" w:rsidRPr="00381F61">
        <w:rPr>
          <w:rFonts w:ascii="Garamond" w:hAnsi="Garamond"/>
          <w:color w:val="000000"/>
          <w:shd w:val="clear" w:color="auto" w:fill="FFFFFF"/>
        </w:rPr>
        <w:t xml:space="preserve">a sizeable part of the variation in financial literacy is explained by student socio-economic backgrounds. </w:t>
      </w:r>
      <w:r w:rsidR="007C0F6D" w:rsidRPr="00381F61">
        <w:rPr>
          <w:rFonts w:ascii="Garamond" w:hAnsi="Garamond"/>
          <w:color w:val="000000"/>
          <w:shd w:val="clear" w:color="auto" w:fill="FFFFFF"/>
        </w:rPr>
        <w:t xml:space="preserve"> </w:t>
      </w:r>
      <w:r w:rsidR="0022423C" w:rsidRPr="00381F61">
        <w:rPr>
          <w:rFonts w:ascii="Garamond" w:hAnsi="Garamond"/>
          <w:color w:val="000000"/>
          <w:shd w:val="clear" w:color="auto" w:fill="FFFFFF"/>
        </w:rPr>
        <w:t>In other words, inequality in financial literacy is already apparent in high school, and these differences appear to increase later in life</w:t>
      </w:r>
      <w:r w:rsidR="00A256E7" w:rsidRPr="00381F61">
        <w:rPr>
          <w:rFonts w:ascii="Garamond" w:hAnsi="Garamond"/>
          <w:color w:val="000000"/>
          <w:shd w:val="clear" w:color="auto" w:fill="FFFFFF"/>
        </w:rPr>
        <w:t>.</w:t>
      </w:r>
      <w:r w:rsidR="0022423C" w:rsidRPr="00381F61">
        <w:rPr>
          <w:rFonts w:ascii="Garamond" w:hAnsi="Garamond"/>
          <w:color w:val="000000"/>
          <w:shd w:val="clear" w:color="auto" w:fill="FFFFFF"/>
        </w:rPr>
        <w:t>”</w:t>
      </w:r>
      <w:r w:rsidR="00A256E7" w:rsidRPr="00381F61">
        <w:rPr>
          <w:rStyle w:val="FootnoteReference"/>
          <w:rFonts w:ascii="Garamond" w:hAnsi="Garamond"/>
          <w:color w:val="000000"/>
          <w:shd w:val="clear" w:color="auto" w:fill="FFFFFF"/>
        </w:rPr>
        <w:footnoteReference w:id="254"/>
      </w:r>
    </w:p>
    <w:p w14:paraId="0EF0041C" w14:textId="77777777" w:rsidR="000D468F" w:rsidRPr="00381F61" w:rsidRDefault="000D468F" w:rsidP="00E71CEB">
      <w:pPr>
        <w:jc w:val="both"/>
        <w:rPr>
          <w:rFonts w:ascii="Garamond" w:hAnsi="Garamond"/>
          <w:color w:val="000000"/>
          <w:shd w:val="clear" w:color="auto" w:fill="FFFFFF"/>
        </w:rPr>
      </w:pPr>
    </w:p>
    <w:p w14:paraId="28DA4F9C" w14:textId="4B21EB66" w:rsidR="000D468F" w:rsidRPr="00381F61" w:rsidRDefault="000D468F" w:rsidP="00E71CEB">
      <w:pPr>
        <w:jc w:val="both"/>
        <w:rPr>
          <w:rFonts w:ascii="Garamond" w:hAnsi="Garamond"/>
          <w:color w:val="000000"/>
          <w:shd w:val="clear" w:color="auto" w:fill="FFFFFF"/>
        </w:rPr>
      </w:pPr>
      <w:r w:rsidRPr="00381F61">
        <w:rPr>
          <w:rFonts w:ascii="Garamond" w:hAnsi="Garamond"/>
          <w:color w:val="000000"/>
          <w:shd w:val="clear" w:color="auto" w:fill="FFFFFF"/>
        </w:rPr>
        <w:t xml:space="preserve">The OECD’s </w:t>
      </w:r>
      <w:r w:rsidR="006225AA" w:rsidRPr="00381F61">
        <w:rPr>
          <w:rFonts w:ascii="Garamond" w:hAnsi="Garamond"/>
          <w:color w:val="000000"/>
          <w:shd w:val="clear" w:color="auto" w:fill="FFFFFF"/>
        </w:rPr>
        <w:t xml:space="preserve">2017 </w:t>
      </w:r>
      <w:r w:rsidRPr="00381F61">
        <w:rPr>
          <w:rFonts w:ascii="Garamond" w:hAnsi="Garamond"/>
          <w:color w:val="000000"/>
          <w:shd w:val="clear" w:color="auto" w:fill="FFFFFF"/>
        </w:rPr>
        <w:t>report on New Zealand’s</w:t>
      </w:r>
      <w:r w:rsidR="006225AA" w:rsidRPr="00381F61">
        <w:rPr>
          <w:rFonts w:ascii="Garamond" w:hAnsi="Garamond"/>
          <w:color w:val="000000"/>
          <w:shd w:val="clear" w:color="auto" w:fill="FFFFFF"/>
        </w:rPr>
        <w:t xml:space="preserve"> economic outlook</w:t>
      </w:r>
      <w:r w:rsidR="000F652A" w:rsidRPr="00381F61">
        <w:rPr>
          <w:rStyle w:val="FootnoteReference"/>
          <w:rFonts w:ascii="Garamond" w:hAnsi="Garamond"/>
          <w:color w:val="000000"/>
          <w:shd w:val="clear" w:color="auto" w:fill="FFFFFF"/>
        </w:rPr>
        <w:footnoteReference w:id="255"/>
      </w:r>
      <w:r w:rsidR="006225AA" w:rsidRPr="00381F61">
        <w:rPr>
          <w:rFonts w:ascii="Garamond" w:hAnsi="Garamond"/>
          <w:color w:val="000000"/>
          <w:shd w:val="clear" w:color="auto" w:fill="FFFFFF"/>
        </w:rPr>
        <w:t xml:space="preserve"> </w:t>
      </w:r>
      <w:r w:rsidR="00E028D4" w:rsidRPr="00381F61">
        <w:rPr>
          <w:rFonts w:ascii="Garamond" w:hAnsi="Garamond"/>
          <w:color w:val="000000"/>
          <w:shd w:val="clear" w:color="auto" w:fill="FFFFFF"/>
        </w:rPr>
        <w:t>pointed out falling average PISA scores but, in particular,</w:t>
      </w:r>
      <w:r w:rsidR="006225AA" w:rsidRPr="00381F61">
        <w:rPr>
          <w:rFonts w:ascii="Garamond" w:hAnsi="Garamond"/>
          <w:color w:val="000000"/>
          <w:shd w:val="clear" w:color="auto" w:fill="FFFFFF"/>
        </w:rPr>
        <w:t xml:space="preserve"> falling mathematics scores as a specific potential brake</w:t>
      </w:r>
      <w:r w:rsidR="00426C62" w:rsidRPr="00381F61">
        <w:rPr>
          <w:rFonts w:ascii="Garamond" w:hAnsi="Garamond"/>
          <w:color w:val="000000"/>
          <w:shd w:val="clear" w:color="auto" w:fill="FFFFFF"/>
        </w:rPr>
        <w:t xml:space="preserve"> on future growth</w:t>
      </w:r>
      <w:r w:rsidR="006225AA" w:rsidRPr="00381F61">
        <w:rPr>
          <w:rFonts w:ascii="Garamond" w:hAnsi="Garamond"/>
          <w:color w:val="000000"/>
          <w:shd w:val="clear" w:color="auto" w:fill="FFFFFF"/>
        </w:rPr>
        <w:t>.</w:t>
      </w:r>
      <w:r w:rsidR="00E028D4" w:rsidRPr="00381F61">
        <w:rPr>
          <w:rFonts w:ascii="Garamond" w:hAnsi="Garamond"/>
          <w:color w:val="000000"/>
          <w:shd w:val="clear" w:color="auto" w:fill="FFFFFF"/>
        </w:rPr>
        <w:t xml:space="preserve">  The chart </w:t>
      </w:r>
      <w:r w:rsidR="007A59FE" w:rsidRPr="00381F61">
        <w:rPr>
          <w:rFonts w:ascii="Garamond" w:hAnsi="Garamond"/>
          <w:color w:val="000000"/>
          <w:shd w:val="clear" w:color="auto" w:fill="FFFFFF"/>
        </w:rPr>
        <w:t xml:space="preserve">on the next page </w:t>
      </w:r>
      <w:r w:rsidR="00E028D4" w:rsidRPr="00381F61">
        <w:rPr>
          <w:rFonts w:ascii="Garamond" w:hAnsi="Garamond"/>
          <w:color w:val="000000"/>
          <w:shd w:val="clear" w:color="auto" w:fill="FFFFFF"/>
        </w:rPr>
        <w:t>shows what has happened in the last 15 years.  Of real concern should be the relatively poor performance of Maori and Pasifika</w:t>
      </w:r>
      <w:r w:rsidR="007A59FE" w:rsidRPr="00381F61">
        <w:rPr>
          <w:rFonts w:ascii="Garamond" w:hAnsi="Garamond"/>
          <w:color w:val="000000"/>
          <w:shd w:val="clear" w:color="auto" w:fill="FFFFFF"/>
        </w:rPr>
        <w:t xml:space="preserve"> pupils</w:t>
      </w:r>
      <w:r w:rsidR="00E028D4" w:rsidRPr="00381F61">
        <w:rPr>
          <w:rFonts w:ascii="Garamond" w:hAnsi="Garamond"/>
          <w:color w:val="000000"/>
          <w:shd w:val="clear" w:color="auto" w:fill="FFFFFF"/>
        </w:rPr>
        <w:t>.</w:t>
      </w:r>
    </w:p>
    <w:p w14:paraId="3DAFFF3E" w14:textId="77777777" w:rsidR="007A59FE" w:rsidRPr="00381F61" w:rsidRDefault="007A59FE" w:rsidP="00E71CEB">
      <w:pPr>
        <w:jc w:val="both"/>
        <w:rPr>
          <w:rFonts w:ascii="Garamond" w:hAnsi="Garamond"/>
          <w:color w:val="000000"/>
          <w:shd w:val="clear" w:color="auto" w:fill="FFFFFF"/>
        </w:rPr>
      </w:pPr>
    </w:p>
    <w:p w14:paraId="23DFB528" w14:textId="36BB7536" w:rsidR="007A59FE" w:rsidRPr="00381F61" w:rsidRDefault="007A59FE" w:rsidP="00E71CEB">
      <w:pPr>
        <w:jc w:val="both"/>
        <w:rPr>
          <w:rFonts w:ascii="Garamond" w:hAnsi="Garamond"/>
          <w:color w:val="000000"/>
          <w:shd w:val="clear" w:color="auto" w:fill="FFFFFF"/>
        </w:rPr>
      </w:pPr>
      <w:r w:rsidRPr="00381F61">
        <w:rPr>
          <w:rFonts w:ascii="Garamond" w:hAnsi="Garamond"/>
          <w:color w:val="000000"/>
          <w:shd w:val="clear" w:color="auto" w:fill="FFFFFF"/>
        </w:rPr>
        <w:t>New Zealand was 16</w:t>
      </w:r>
      <w:r w:rsidRPr="00381F61">
        <w:rPr>
          <w:rFonts w:ascii="Garamond" w:hAnsi="Garamond"/>
          <w:color w:val="000000"/>
          <w:shd w:val="clear" w:color="auto" w:fill="FFFFFF"/>
          <w:vertAlign w:val="superscript"/>
        </w:rPr>
        <w:t>th</w:t>
      </w:r>
      <w:r w:rsidRPr="00381F61">
        <w:rPr>
          <w:rFonts w:ascii="Garamond" w:hAnsi="Garamond"/>
          <w:color w:val="000000"/>
          <w:shd w:val="clear" w:color="auto" w:fill="FFFFFF"/>
        </w:rPr>
        <w:t xml:space="preserve"> of 35 OECD countries in mathematics – as discrete groups Maori and Pasifika pupils would have been 33</w:t>
      </w:r>
      <w:r w:rsidRPr="00381F61">
        <w:rPr>
          <w:rFonts w:ascii="Garamond" w:hAnsi="Garamond"/>
          <w:color w:val="000000"/>
          <w:shd w:val="clear" w:color="auto" w:fill="FFFFFF"/>
          <w:vertAlign w:val="superscript"/>
        </w:rPr>
        <w:t>rd</w:t>
      </w:r>
      <w:r w:rsidRPr="00381F61">
        <w:rPr>
          <w:rFonts w:ascii="Garamond" w:hAnsi="Garamond"/>
          <w:color w:val="000000"/>
          <w:shd w:val="clear" w:color="auto" w:fill="FFFFFF"/>
        </w:rPr>
        <w:t xml:space="preserve"> and 34</w:t>
      </w:r>
      <w:r w:rsidRPr="00381F61">
        <w:rPr>
          <w:rFonts w:ascii="Garamond" w:hAnsi="Garamond"/>
          <w:color w:val="000000"/>
          <w:shd w:val="clear" w:color="auto" w:fill="FFFFFF"/>
          <w:vertAlign w:val="superscript"/>
        </w:rPr>
        <w:t>th</w:t>
      </w:r>
      <w:r w:rsidRPr="00381F61">
        <w:rPr>
          <w:rFonts w:ascii="Garamond" w:hAnsi="Garamond"/>
          <w:color w:val="000000"/>
          <w:shd w:val="clear" w:color="auto" w:fill="FFFFFF"/>
        </w:rPr>
        <w:t xml:space="preserve"> respectively.</w:t>
      </w:r>
      <w:r w:rsidR="000714E4" w:rsidRPr="00381F61">
        <w:rPr>
          <w:rFonts w:ascii="Garamond" w:hAnsi="Garamond"/>
          <w:color w:val="000000"/>
          <w:shd w:val="clear" w:color="auto" w:fill="FFFFFF"/>
        </w:rPr>
        <w:t xml:space="preserve">  The OECD emphasises the need to improve this aspect of our education programme:</w:t>
      </w:r>
    </w:p>
    <w:p w14:paraId="28C4B1DC" w14:textId="77777777" w:rsidR="007A59FE" w:rsidRPr="00381F61" w:rsidRDefault="007A59FE" w:rsidP="00E71CEB">
      <w:pPr>
        <w:jc w:val="both"/>
        <w:rPr>
          <w:rFonts w:ascii="Garamond" w:hAnsi="Garamond"/>
          <w:color w:val="000000"/>
          <w:sz w:val="8"/>
          <w:szCs w:val="8"/>
          <w:shd w:val="clear" w:color="auto" w:fill="FFFFFF"/>
        </w:rPr>
      </w:pPr>
    </w:p>
    <w:p w14:paraId="1CE80D9B" w14:textId="58C68A73" w:rsidR="007A59FE" w:rsidRPr="00381F61" w:rsidRDefault="007A59FE" w:rsidP="007A59FE">
      <w:pPr>
        <w:ind w:left="709"/>
        <w:jc w:val="both"/>
        <w:rPr>
          <w:rFonts w:ascii="Garamond" w:hAnsi="Garamond"/>
          <w:color w:val="000000"/>
          <w:sz w:val="22"/>
          <w:szCs w:val="22"/>
          <w:shd w:val="clear" w:color="auto" w:fill="FFFFFF"/>
        </w:rPr>
      </w:pPr>
      <w:r w:rsidRPr="00381F61">
        <w:rPr>
          <w:rFonts w:ascii="Garamond" w:hAnsi="Garamond"/>
          <w:color w:val="000000"/>
          <w:sz w:val="22"/>
          <w:szCs w:val="22"/>
          <w:shd w:val="clear" w:color="auto" w:fill="FFFFFF"/>
        </w:rPr>
        <w:t>“To lift outcomes in the long term, a systemic approach is necessary to improve the effectiveness of mathematics teaching in primary and intermediate schools.  Key elements of such an approach include: raising initial teacher education quality and entry standards</w:t>
      </w:r>
      <w:r w:rsidR="000714E4" w:rsidRPr="00381F61">
        <w:rPr>
          <w:rFonts w:ascii="Garamond" w:hAnsi="Garamond"/>
          <w:color w:val="000000"/>
          <w:sz w:val="22"/>
          <w:szCs w:val="22"/>
          <w:shd w:val="clear" w:color="auto" w:fill="FFFFFF"/>
        </w:rPr>
        <w:t xml:space="preserve"> (current minimum entry standards for teaching programmes are relatively low); supporting professional learning and development that lifts the capability of the current workforce to teach mathematics; and supporting school leavers to lead a collaborative, data- and evidence-informed teaching culture that emphasises all aspects of the mathematics curriculum.” (at page 55)</w:t>
      </w:r>
    </w:p>
    <w:p w14:paraId="073A0B0C" w14:textId="77777777" w:rsidR="000714E4" w:rsidRPr="00381F61" w:rsidRDefault="000714E4" w:rsidP="007A59FE">
      <w:pPr>
        <w:ind w:left="709"/>
        <w:jc w:val="both"/>
        <w:rPr>
          <w:rFonts w:ascii="Garamond" w:hAnsi="Garamond"/>
          <w:color w:val="000000"/>
          <w:sz w:val="22"/>
          <w:szCs w:val="22"/>
          <w:shd w:val="clear" w:color="auto" w:fill="FFFFFF"/>
        </w:rPr>
      </w:pPr>
    </w:p>
    <w:p w14:paraId="5FE0FCD4" w14:textId="2CC617C9" w:rsidR="004D2C04" w:rsidRPr="00381F61" w:rsidRDefault="001163AE" w:rsidP="007675DE">
      <w:pPr>
        <w:jc w:val="center"/>
        <w:rPr>
          <w:rFonts w:ascii="Garamond" w:hAnsi="Garamond"/>
        </w:rPr>
      </w:pPr>
      <w:r w:rsidRPr="00F766D5">
        <w:rPr>
          <w:rFonts w:ascii="Garamond" w:hAnsi="Garamond"/>
          <w:noProof/>
        </w:rPr>
        <w:drawing>
          <wp:inline distT="0" distB="0" distL="0" distR="0" wp14:anchorId="468B3CEE" wp14:editId="61E22DAE">
            <wp:extent cx="3050311" cy="25704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076476" cy="2592537"/>
                    </a:xfrm>
                    <a:prstGeom prst="rect">
                      <a:avLst/>
                    </a:prstGeom>
                  </pic:spPr>
                </pic:pic>
              </a:graphicData>
            </a:graphic>
          </wp:inline>
        </w:drawing>
      </w:r>
    </w:p>
    <w:p w14:paraId="79978DD8" w14:textId="67E752AF" w:rsidR="00341271" w:rsidRPr="00381F61" w:rsidRDefault="00341271" w:rsidP="00E71CEB">
      <w:pPr>
        <w:jc w:val="both"/>
        <w:rPr>
          <w:rFonts w:ascii="Garamond" w:hAnsi="Garamond"/>
        </w:rPr>
      </w:pPr>
    </w:p>
    <w:p w14:paraId="37279BEC" w14:textId="34F6B7A4" w:rsidR="001163AE" w:rsidRPr="00381F61" w:rsidRDefault="001163AE" w:rsidP="00E71CEB">
      <w:pPr>
        <w:jc w:val="both"/>
        <w:rPr>
          <w:rFonts w:ascii="Garamond" w:hAnsi="Garamond"/>
        </w:rPr>
      </w:pPr>
      <w:r w:rsidRPr="00381F61">
        <w:rPr>
          <w:rFonts w:ascii="Garamond" w:hAnsi="Garamond"/>
        </w:rPr>
        <w:t>We agree with the OECD.</w:t>
      </w:r>
    </w:p>
    <w:p w14:paraId="28BEA618" w14:textId="77777777" w:rsidR="001163AE" w:rsidRPr="00381F61" w:rsidRDefault="001163AE" w:rsidP="00E71CEB">
      <w:pPr>
        <w:jc w:val="both"/>
        <w:rPr>
          <w:rFonts w:ascii="Garamond" w:hAnsi="Garamond"/>
        </w:rPr>
      </w:pPr>
    </w:p>
    <w:p w14:paraId="21D70F4F" w14:textId="606D1D17" w:rsidR="00341271" w:rsidRPr="00381F61" w:rsidRDefault="001163AE" w:rsidP="00E71CEB">
      <w:pPr>
        <w:jc w:val="both"/>
        <w:rPr>
          <w:rFonts w:ascii="Garamond" w:hAnsi="Garamond"/>
        </w:rPr>
      </w:pPr>
      <w:r w:rsidRPr="00381F61">
        <w:rPr>
          <w:rFonts w:ascii="Garamond" w:hAnsi="Garamond"/>
        </w:rPr>
        <w:t>For retirement planning generally, i</w:t>
      </w:r>
      <w:r w:rsidR="00341271" w:rsidRPr="00381F61">
        <w:rPr>
          <w:rFonts w:ascii="Garamond" w:hAnsi="Garamond"/>
        </w:rPr>
        <w:t>n our experience, building a network of trusted mentors would also help.  The ordinary citizen is overwhelmed by data and complexity and needs ‘hand-holding’ help to cut through to relevant information.  Most do not need a fee-based ‘financial planner’; employers can also help here.</w:t>
      </w:r>
    </w:p>
    <w:p w14:paraId="3BFAB2B4" w14:textId="77777777" w:rsidR="00B56D52" w:rsidRPr="00381F61" w:rsidRDefault="00B56D52" w:rsidP="00E71CEB">
      <w:pPr>
        <w:jc w:val="both"/>
        <w:rPr>
          <w:rFonts w:ascii="Garamond" w:hAnsi="Garamond"/>
        </w:rPr>
      </w:pPr>
    </w:p>
    <w:p w14:paraId="3196D3F9" w14:textId="48051608" w:rsidR="00B56D52" w:rsidRPr="00381F61" w:rsidRDefault="00B56D52" w:rsidP="00E71CEB">
      <w:pPr>
        <w:jc w:val="both"/>
        <w:rPr>
          <w:rFonts w:ascii="Garamond" w:hAnsi="Garamond"/>
        </w:rPr>
      </w:pPr>
      <w:r w:rsidRPr="00381F61">
        <w:rPr>
          <w:rFonts w:ascii="Garamond" w:hAnsi="Garamond"/>
        </w:rPr>
        <w:t>We know that citizens generally have low levels of financial literacy.  That certainly seems to be the case in the US for the population as a whole</w:t>
      </w:r>
      <w:r w:rsidR="002E7043" w:rsidRPr="00381F61">
        <w:rPr>
          <w:rStyle w:val="FootnoteReference"/>
          <w:rFonts w:ascii="Garamond" w:hAnsi="Garamond"/>
        </w:rPr>
        <w:footnoteReference w:id="256"/>
      </w:r>
      <w:r w:rsidRPr="00381F61">
        <w:rPr>
          <w:rFonts w:ascii="Garamond" w:hAnsi="Garamond"/>
        </w:rPr>
        <w:t xml:space="preserve"> and for older people in particular</w:t>
      </w:r>
      <w:r w:rsidR="002E7043" w:rsidRPr="00381F61">
        <w:rPr>
          <w:rStyle w:val="FootnoteReference"/>
          <w:rFonts w:ascii="Garamond" w:hAnsi="Garamond"/>
        </w:rPr>
        <w:footnoteReference w:id="257"/>
      </w:r>
      <w:r w:rsidR="00B87B1E" w:rsidRPr="00381F61">
        <w:rPr>
          <w:rFonts w:ascii="Garamond" w:hAnsi="Garamond"/>
        </w:rPr>
        <w:t xml:space="preserve">. </w:t>
      </w:r>
      <w:r w:rsidRPr="00381F61">
        <w:rPr>
          <w:rFonts w:ascii="Garamond" w:hAnsi="Garamond"/>
        </w:rPr>
        <w:t xml:space="preserve"> Because of this, savers make mistakes that can be expensive, not just about saving and investment decisions but also about debt, state pension benefits</w:t>
      </w:r>
      <w:r w:rsidR="00A40E9B" w:rsidRPr="00381F61">
        <w:rPr>
          <w:rFonts w:ascii="Garamond" w:hAnsi="Garamond"/>
        </w:rPr>
        <w:t xml:space="preserve"> (particularly in the US, where there are choices about Social Security</w:t>
      </w:r>
      <w:r w:rsidR="00F16746" w:rsidRPr="00381F61">
        <w:rPr>
          <w:rFonts w:ascii="Garamond" w:hAnsi="Garamond"/>
        </w:rPr>
        <w:t xml:space="preserve"> pension starting dates</w:t>
      </w:r>
      <w:r w:rsidR="00A40E9B" w:rsidRPr="00381F61">
        <w:rPr>
          <w:rFonts w:ascii="Garamond" w:hAnsi="Garamond"/>
        </w:rPr>
        <w:t>)</w:t>
      </w:r>
      <w:r w:rsidRPr="00381F61">
        <w:rPr>
          <w:rFonts w:ascii="Garamond" w:hAnsi="Garamond"/>
        </w:rPr>
        <w:t xml:space="preserve"> and insurance arrangements.</w:t>
      </w:r>
    </w:p>
    <w:p w14:paraId="024ECAC8" w14:textId="61B3D7E8" w:rsidR="00B56D52" w:rsidRPr="00381F61" w:rsidRDefault="00B56D52" w:rsidP="00E71CEB">
      <w:pPr>
        <w:jc w:val="both"/>
        <w:rPr>
          <w:rFonts w:ascii="Garamond" w:hAnsi="Garamond"/>
        </w:rPr>
      </w:pPr>
    </w:p>
    <w:p w14:paraId="62E28F1D" w14:textId="42AE85E3" w:rsidR="00B56D52" w:rsidRPr="00381F61" w:rsidRDefault="00B56D52" w:rsidP="00E71CEB">
      <w:pPr>
        <w:jc w:val="both"/>
        <w:rPr>
          <w:rFonts w:ascii="Garamond" w:hAnsi="Garamond"/>
        </w:rPr>
      </w:pPr>
      <w:r w:rsidRPr="00381F61">
        <w:rPr>
          <w:rFonts w:ascii="Garamond" w:hAnsi="Garamond"/>
        </w:rPr>
        <w:t xml:space="preserve">The US report </w:t>
      </w:r>
      <w:r w:rsidRPr="00381F61">
        <w:rPr>
          <w:rFonts w:ascii="Garamond" w:hAnsi="Garamond"/>
          <w:i/>
        </w:rPr>
        <w:t>Financial Literacy and Retirement Preparedness: Evidence and Implications for Financial Education Programs</w:t>
      </w:r>
      <w:r w:rsidRPr="00381F61">
        <w:rPr>
          <w:rStyle w:val="FootnoteReference"/>
          <w:rFonts w:ascii="Garamond" w:hAnsi="Garamond"/>
          <w:i/>
        </w:rPr>
        <w:footnoteReference w:id="258"/>
      </w:r>
      <w:r w:rsidRPr="00381F61">
        <w:rPr>
          <w:rFonts w:ascii="Garamond" w:hAnsi="Garamond"/>
        </w:rPr>
        <w:t xml:space="preserve"> summarised the position in one of the most sophisticated financial markets:</w:t>
      </w:r>
    </w:p>
    <w:p w14:paraId="110F4C18" w14:textId="77777777" w:rsidR="005946AD" w:rsidRPr="00381F61" w:rsidRDefault="005946AD" w:rsidP="00E71CEB">
      <w:pPr>
        <w:jc w:val="both"/>
        <w:rPr>
          <w:rFonts w:ascii="Garamond" w:hAnsi="Garamond"/>
          <w:sz w:val="8"/>
          <w:szCs w:val="8"/>
        </w:rPr>
      </w:pPr>
    </w:p>
    <w:p w14:paraId="67EF8772" w14:textId="68D5897C" w:rsidR="00B56D52" w:rsidRPr="00381F61" w:rsidRDefault="00B56D52" w:rsidP="00E71CEB">
      <w:pPr>
        <w:ind w:left="567"/>
        <w:jc w:val="both"/>
        <w:rPr>
          <w:rFonts w:ascii="Garamond" w:hAnsi="Garamond"/>
          <w:sz w:val="22"/>
          <w:szCs w:val="22"/>
        </w:rPr>
      </w:pPr>
      <w:r w:rsidRPr="00381F61">
        <w:rPr>
          <w:rFonts w:ascii="Garamond" w:hAnsi="Garamond"/>
          <w:sz w:val="22"/>
          <w:szCs w:val="22"/>
        </w:rPr>
        <w:t>“The complexity of choices is enormous, and many people are unable to make informed decisions without the help of professional financial advisers</w:t>
      </w:r>
      <w:r w:rsidR="00FF6A5B" w:rsidRPr="00381F61">
        <w:rPr>
          <w:rStyle w:val="FootnoteReference"/>
          <w:rFonts w:ascii="Garamond" w:hAnsi="Garamond"/>
          <w:sz w:val="22"/>
          <w:szCs w:val="22"/>
        </w:rPr>
        <w:footnoteReference w:id="259"/>
      </w:r>
      <w:r w:rsidRPr="00381F61">
        <w:rPr>
          <w:rFonts w:ascii="Garamond" w:hAnsi="Garamond"/>
          <w:sz w:val="22"/>
          <w:szCs w:val="22"/>
        </w:rPr>
        <w:t>.  Financial decisions are very personal, and a majority of people want to speak one-on-one with a trusted professional about their own individual situations ... Most workers have not sought advice from online tools or general seminars.  But just who are these professionals?  What are the standards?  How do they make money?  What are their incentives?  How do we protect clients from bad advice?  What actually is good advice?  Does advice alone effect changes in personal habits?</w:t>
      </w:r>
      <w:r w:rsidR="005946AD" w:rsidRPr="00381F61">
        <w:rPr>
          <w:rFonts w:ascii="Garamond" w:hAnsi="Garamond"/>
          <w:sz w:val="22"/>
          <w:szCs w:val="22"/>
        </w:rPr>
        <w:t>”</w:t>
      </w:r>
    </w:p>
    <w:p w14:paraId="6B2C08F0" w14:textId="1D476185" w:rsidR="00B56D52" w:rsidRPr="00381F61" w:rsidRDefault="00B56D52" w:rsidP="00E71CEB">
      <w:pPr>
        <w:jc w:val="both"/>
        <w:rPr>
          <w:rFonts w:ascii="Garamond" w:hAnsi="Garamond"/>
        </w:rPr>
      </w:pPr>
    </w:p>
    <w:p w14:paraId="135FD5CD" w14:textId="496509C2" w:rsidR="00B56D52" w:rsidRPr="00381F61" w:rsidRDefault="00B56D52" w:rsidP="00E71CEB">
      <w:pPr>
        <w:jc w:val="both"/>
        <w:rPr>
          <w:rFonts w:ascii="Garamond" w:hAnsi="Garamond"/>
        </w:rPr>
      </w:pPr>
      <w:r w:rsidRPr="00381F61">
        <w:rPr>
          <w:rFonts w:ascii="Garamond" w:hAnsi="Garamond"/>
        </w:rPr>
        <w:t>The answer to these questions, according to this</w:t>
      </w:r>
      <w:r w:rsidR="009632DD" w:rsidRPr="00381F61">
        <w:rPr>
          <w:rFonts w:ascii="Garamond" w:hAnsi="Garamond"/>
        </w:rPr>
        <w:t xml:space="preserve"> report, is a bit dispiriting.  </w:t>
      </w:r>
      <w:r w:rsidRPr="00381F61">
        <w:rPr>
          <w:rFonts w:ascii="Garamond" w:hAnsi="Garamond"/>
        </w:rPr>
        <w:t xml:space="preserve">Most of those who agree they need help, if asked, seem to think that advisers are unaffordable, conflicted and offer </w:t>
      </w:r>
      <w:r w:rsidR="00D348E0" w:rsidRPr="00381F61">
        <w:rPr>
          <w:rFonts w:ascii="Garamond" w:hAnsi="Garamond"/>
        </w:rPr>
        <w:t xml:space="preserve">an “unclear value proposition”. </w:t>
      </w:r>
      <w:r w:rsidRPr="00381F61">
        <w:rPr>
          <w:rFonts w:ascii="Garamond" w:hAnsi="Garamond"/>
        </w:rPr>
        <w:t xml:space="preserve"> But the reality is that most retirees have few financial assets.</w:t>
      </w:r>
    </w:p>
    <w:p w14:paraId="351D087E" w14:textId="5674E8D5" w:rsidR="00B56D52" w:rsidRPr="00381F61" w:rsidRDefault="00B56D52" w:rsidP="00E71CEB">
      <w:pPr>
        <w:jc w:val="both"/>
        <w:rPr>
          <w:rFonts w:ascii="Garamond" w:hAnsi="Garamond"/>
        </w:rPr>
      </w:pPr>
    </w:p>
    <w:p w14:paraId="35DB8C50" w14:textId="36282FF8" w:rsidR="00B56D52" w:rsidRPr="00381F61" w:rsidRDefault="00B56D52" w:rsidP="00E71CEB">
      <w:pPr>
        <w:jc w:val="both"/>
        <w:rPr>
          <w:rFonts w:ascii="Garamond" w:hAnsi="Garamond"/>
        </w:rPr>
      </w:pPr>
      <w:r w:rsidRPr="00381F61">
        <w:rPr>
          <w:rFonts w:ascii="Garamond" w:hAnsi="Garamond"/>
        </w:rPr>
        <w:t xml:space="preserve">The US seems afflicted by multiple agencies that supervise </w:t>
      </w:r>
      <w:r w:rsidR="00B87B1E" w:rsidRPr="00381F61">
        <w:rPr>
          <w:rFonts w:ascii="Garamond" w:hAnsi="Garamond"/>
        </w:rPr>
        <w:t xml:space="preserve">varying fiduciary requirements. </w:t>
      </w:r>
      <w:r w:rsidRPr="00381F61">
        <w:rPr>
          <w:rFonts w:ascii="Garamond" w:hAnsi="Garamond"/>
        </w:rPr>
        <w:t xml:space="preserve"> A uniform set of standards seems essential.</w:t>
      </w:r>
    </w:p>
    <w:p w14:paraId="42A297ED" w14:textId="5E151216" w:rsidR="00B56D52" w:rsidRPr="00381F61" w:rsidRDefault="00B56D52" w:rsidP="00E71CEB">
      <w:pPr>
        <w:jc w:val="both"/>
        <w:rPr>
          <w:rFonts w:ascii="Garamond" w:hAnsi="Garamond"/>
        </w:rPr>
      </w:pPr>
    </w:p>
    <w:p w14:paraId="72AB4825" w14:textId="53897CD9" w:rsidR="00B56D52" w:rsidRPr="00381F61" w:rsidRDefault="00B56D52" w:rsidP="00E71CEB">
      <w:pPr>
        <w:jc w:val="both"/>
        <w:rPr>
          <w:rFonts w:ascii="Garamond" w:hAnsi="Garamond"/>
        </w:rPr>
      </w:pPr>
      <w:r w:rsidRPr="00381F61">
        <w:rPr>
          <w:rFonts w:ascii="Garamond" w:hAnsi="Garamond"/>
        </w:rPr>
        <w:t>However, it seems the only way forward is better education and so better</w:t>
      </w:r>
      <w:r w:rsidR="009632DD" w:rsidRPr="00381F61">
        <w:rPr>
          <w:rFonts w:ascii="Garamond" w:hAnsi="Garamond"/>
        </w:rPr>
        <w:t>-</w:t>
      </w:r>
      <w:r w:rsidRPr="00381F61">
        <w:rPr>
          <w:rFonts w:ascii="Garamond" w:hAnsi="Garamond"/>
        </w:rPr>
        <w:t>informed employees.</w:t>
      </w:r>
    </w:p>
    <w:p w14:paraId="2FFBA69C" w14:textId="6963C69B" w:rsidR="00B56D52" w:rsidRPr="00381F61" w:rsidRDefault="00B56D52" w:rsidP="00E71CEB">
      <w:pPr>
        <w:jc w:val="both"/>
        <w:rPr>
          <w:rFonts w:ascii="Garamond" w:hAnsi="Garamond"/>
          <w:sz w:val="8"/>
          <w:szCs w:val="8"/>
        </w:rPr>
      </w:pPr>
    </w:p>
    <w:p w14:paraId="64336930" w14:textId="77777777" w:rsidR="00B56D52" w:rsidRPr="00381F61" w:rsidRDefault="00B56D52" w:rsidP="00E71CEB">
      <w:pPr>
        <w:ind w:left="567"/>
        <w:jc w:val="both"/>
        <w:rPr>
          <w:rFonts w:ascii="Garamond" w:hAnsi="Garamond"/>
          <w:sz w:val="22"/>
          <w:szCs w:val="22"/>
        </w:rPr>
      </w:pPr>
      <w:r w:rsidRPr="00381F61">
        <w:rPr>
          <w:rFonts w:ascii="Garamond" w:hAnsi="Garamond"/>
          <w:sz w:val="22"/>
          <w:szCs w:val="22"/>
        </w:rPr>
        <w:t>“Accordingly, there is little choice but to mesh advice with more informed participants in the workplace.”</w:t>
      </w:r>
    </w:p>
    <w:p w14:paraId="23575152" w14:textId="33C728BD" w:rsidR="00B56D52" w:rsidRPr="00381F61" w:rsidRDefault="00B56D52" w:rsidP="00E71CEB">
      <w:pPr>
        <w:jc w:val="both"/>
        <w:rPr>
          <w:rFonts w:ascii="Garamond" w:hAnsi="Garamond"/>
        </w:rPr>
      </w:pPr>
    </w:p>
    <w:p w14:paraId="67D78C6E" w14:textId="31BF3A0F" w:rsidR="00B56D52" w:rsidRPr="00381F61" w:rsidRDefault="005946AD" w:rsidP="00E71CEB">
      <w:pPr>
        <w:jc w:val="both"/>
        <w:rPr>
          <w:rFonts w:ascii="Garamond" w:hAnsi="Garamond"/>
        </w:rPr>
      </w:pPr>
      <w:r w:rsidRPr="00381F61">
        <w:rPr>
          <w:rFonts w:ascii="Garamond" w:hAnsi="Garamond"/>
        </w:rPr>
        <w:t>We agree</w:t>
      </w:r>
      <w:r w:rsidR="00B56D52" w:rsidRPr="00381F61">
        <w:rPr>
          <w:rFonts w:ascii="Garamond" w:hAnsi="Garamond"/>
        </w:rPr>
        <w:t xml:space="preserve"> with the </w:t>
      </w:r>
      <w:r w:rsidR="00B3095A" w:rsidRPr="00381F61">
        <w:rPr>
          <w:rFonts w:ascii="Garamond" w:hAnsi="Garamond"/>
        </w:rPr>
        <w:t xml:space="preserve">suggested </w:t>
      </w:r>
      <w:r w:rsidR="00B56D52" w:rsidRPr="00381F61">
        <w:rPr>
          <w:rFonts w:ascii="Garamond" w:hAnsi="Garamond"/>
        </w:rPr>
        <w:t>emphasis on info</w:t>
      </w:r>
      <w:r w:rsidRPr="00381F61">
        <w:rPr>
          <w:rFonts w:ascii="Garamond" w:hAnsi="Garamond"/>
        </w:rPr>
        <w:t>rmation and education but think</w:t>
      </w:r>
      <w:r w:rsidR="00B56D52" w:rsidRPr="00381F61">
        <w:rPr>
          <w:rFonts w:ascii="Garamond" w:hAnsi="Garamond"/>
        </w:rPr>
        <w:t xml:space="preserve"> there needs to be a clear view on just who can add value in which areas.</w:t>
      </w:r>
      <w:r w:rsidR="006A7AE3" w:rsidRPr="00381F61">
        <w:rPr>
          <w:rFonts w:ascii="Garamond" w:hAnsi="Garamond"/>
        </w:rPr>
        <w:t xml:space="preserve">  We think that the government should, however, resist the temptation to regulate</w:t>
      </w:r>
      <w:r w:rsidR="00A604AF" w:rsidRPr="00381F61">
        <w:rPr>
          <w:rStyle w:val="FootnoteReference"/>
          <w:rFonts w:ascii="Garamond" w:hAnsi="Garamond"/>
        </w:rPr>
        <w:footnoteReference w:id="260"/>
      </w:r>
      <w:r w:rsidR="006A7AE3" w:rsidRPr="00381F61">
        <w:rPr>
          <w:rFonts w:ascii="Garamond" w:hAnsi="Garamond"/>
        </w:rPr>
        <w:t xml:space="preserve">.  As we have demonstrated in sections </w:t>
      </w:r>
      <w:r w:rsidR="000856CF" w:rsidRPr="00381F61">
        <w:rPr>
          <w:rFonts w:ascii="Garamond" w:hAnsi="Garamond"/>
        </w:rPr>
        <w:t>9</w:t>
      </w:r>
      <w:r w:rsidR="006A7AE3" w:rsidRPr="00381F61">
        <w:rPr>
          <w:rFonts w:ascii="Garamond" w:hAnsi="Garamond"/>
        </w:rPr>
        <w:t xml:space="preserve"> (On tax</w:t>
      </w:r>
      <w:r w:rsidR="00B84F66" w:rsidRPr="00381F61">
        <w:rPr>
          <w:rFonts w:ascii="Garamond" w:hAnsi="Garamond"/>
        </w:rPr>
        <w:t xml:space="preserve"> subsidies for saving</w:t>
      </w:r>
      <w:r w:rsidR="006A7AE3" w:rsidRPr="00381F61">
        <w:rPr>
          <w:rFonts w:ascii="Garamond" w:hAnsi="Garamond"/>
        </w:rPr>
        <w:t xml:space="preserve">) and </w:t>
      </w:r>
      <w:r w:rsidR="000856CF" w:rsidRPr="00381F61">
        <w:rPr>
          <w:rFonts w:ascii="Garamond" w:hAnsi="Garamond"/>
        </w:rPr>
        <w:t>10</w:t>
      </w:r>
      <w:r w:rsidR="006A7AE3" w:rsidRPr="00381F61">
        <w:rPr>
          <w:rFonts w:ascii="Garamond" w:hAnsi="Garamond"/>
        </w:rPr>
        <w:t xml:space="preserve"> (On compulsory saving for retirement) governments are relatively powerless to direct its citizens to save more or save more in this way rather than that.</w:t>
      </w:r>
      <w:r w:rsidR="0045691E" w:rsidRPr="00381F61">
        <w:rPr>
          <w:rFonts w:ascii="Garamond" w:hAnsi="Garamond"/>
        </w:rPr>
        <w:t xml:space="preserve">  We also think that the latest requirements</w:t>
      </w:r>
      <w:r w:rsidR="00996D0B" w:rsidRPr="00381F61">
        <w:rPr>
          <w:rFonts w:ascii="Garamond" w:hAnsi="Garamond"/>
        </w:rPr>
        <w:t xml:space="preserve"> for KiwiSaver schemes</w:t>
      </w:r>
      <w:r w:rsidR="0045691E" w:rsidRPr="00381F61">
        <w:rPr>
          <w:rFonts w:ascii="Garamond" w:hAnsi="Garamond"/>
        </w:rPr>
        <w:t xml:space="preserve"> around fees and expected retirement income will not achieve the desired outcome of better decision</w:t>
      </w:r>
      <w:r w:rsidR="00996D0B" w:rsidRPr="00381F61">
        <w:rPr>
          <w:rFonts w:ascii="Garamond" w:hAnsi="Garamond"/>
        </w:rPr>
        <w:t>-</w:t>
      </w:r>
      <w:r w:rsidR="0045691E" w:rsidRPr="00381F61">
        <w:rPr>
          <w:rFonts w:ascii="Garamond" w:hAnsi="Garamond"/>
        </w:rPr>
        <w:t>making.</w:t>
      </w:r>
    </w:p>
    <w:p w14:paraId="53334967" w14:textId="2FE86C38" w:rsidR="00B56D52" w:rsidRPr="00381F61" w:rsidRDefault="00B56D52" w:rsidP="00E71CEB">
      <w:pPr>
        <w:jc w:val="both"/>
        <w:rPr>
          <w:rFonts w:ascii="Garamond" w:hAnsi="Garamond"/>
        </w:rPr>
      </w:pPr>
    </w:p>
    <w:p w14:paraId="3EC50D0B" w14:textId="10230DEB" w:rsidR="00B87B1E" w:rsidRPr="00381F61" w:rsidRDefault="00B56D52" w:rsidP="00E71CEB">
      <w:pPr>
        <w:jc w:val="both"/>
        <w:rPr>
          <w:rFonts w:ascii="Garamond" w:hAnsi="Garamond"/>
        </w:rPr>
      </w:pPr>
      <w:r w:rsidRPr="00381F61">
        <w:rPr>
          <w:rFonts w:ascii="Garamond" w:hAnsi="Garamond"/>
        </w:rPr>
        <w:t xml:space="preserve">The first priority for </w:t>
      </w:r>
      <w:r w:rsidR="005946AD" w:rsidRPr="00381F61">
        <w:rPr>
          <w:rFonts w:ascii="Garamond" w:hAnsi="Garamond"/>
        </w:rPr>
        <w:t>the government</w:t>
      </w:r>
      <w:r w:rsidRPr="00381F61">
        <w:rPr>
          <w:rFonts w:ascii="Garamond" w:hAnsi="Garamond"/>
        </w:rPr>
        <w:t xml:space="preserve"> is the gathering and dispersal of high</w:t>
      </w:r>
      <w:r w:rsidR="0045691E" w:rsidRPr="00381F61">
        <w:rPr>
          <w:rFonts w:ascii="Garamond" w:hAnsi="Garamond"/>
        </w:rPr>
        <w:t>-</w:t>
      </w:r>
      <w:r w:rsidRPr="00381F61">
        <w:rPr>
          <w:rFonts w:ascii="Garamond" w:hAnsi="Garamond"/>
        </w:rPr>
        <w:t xml:space="preserve">quality data – only governments have the capacity to enforce </w:t>
      </w:r>
      <w:r w:rsidR="00B036B7" w:rsidRPr="00381F61">
        <w:rPr>
          <w:rFonts w:ascii="Garamond" w:hAnsi="Garamond"/>
        </w:rPr>
        <w:t xml:space="preserve">disclosure of that information. </w:t>
      </w:r>
      <w:r w:rsidRPr="00381F61">
        <w:rPr>
          <w:rFonts w:ascii="Garamond" w:hAnsi="Garamond"/>
        </w:rPr>
        <w:t xml:space="preserve"> </w:t>
      </w:r>
      <w:r w:rsidR="00B87B1E" w:rsidRPr="00381F61">
        <w:rPr>
          <w:rFonts w:ascii="Garamond" w:hAnsi="Garamond"/>
        </w:rPr>
        <w:t>As already discussed, there is a lot of work to do in New Zealand on this topic.</w:t>
      </w:r>
      <w:r w:rsidR="00D348E0" w:rsidRPr="00381F61">
        <w:rPr>
          <w:rFonts w:ascii="Garamond" w:hAnsi="Garamond"/>
        </w:rPr>
        <w:t xml:space="preserve">  Little can happen effectively at the next s</w:t>
      </w:r>
      <w:r w:rsidR="00F5612B" w:rsidRPr="00381F61">
        <w:rPr>
          <w:rFonts w:ascii="Garamond" w:hAnsi="Garamond"/>
        </w:rPr>
        <w:t>tep without that high-</w:t>
      </w:r>
      <w:r w:rsidR="00D348E0" w:rsidRPr="00381F61">
        <w:rPr>
          <w:rFonts w:ascii="Garamond" w:hAnsi="Garamond"/>
        </w:rPr>
        <w:t>quality data.</w:t>
      </w:r>
    </w:p>
    <w:p w14:paraId="0B8467F6" w14:textId="77777777" w:rsidR="00B87B1E" w:rsidRPr="00381F61" w:rsidRDefault="00B87B1E" w:rsidP="00E71CEB">
      <w:pPr>
        <w:jc w:val="both"/>
        <w:rPr>
          <w:rFonts w:ascii="Garamond" w:hAnsi="Garamond"/>
        </w:rPr>
      </w:pPr>
    </w:p>
    <w:p w14:paraId="3B8E660E" w14:textId="65A55C13" w:rsidR="002A579C" w:rsidRPr="00381F61" w:rsidRDefault="00B56D52" w:rsidP="00E71CEB">
      <w:pPr>
        <w:jc w:val="both"/>
        <w:rPr>
          <w:rFonts w:ascii="Garamond" w:hAnsi="Garamond"/>
        </w:rPr>
      </w:pPr>
      <w:r w:rsidRPr="00381F61">
        <w:rPr>
          <w:rFonts w:ascii="Garamond" w:hAnsi="Garamond"/>
        </w:rPr>
        <w:t xml:space="preserve">Next, only </w:t>
      </w:r>
      <w:r w:rsidR="005946AD" w:rsidRPr="00381F61">
        <w:rPr>
          <w:rFonts w:ascii="Garamond" w:hAnsi="Garamond"/>
        </w:rPr>
        <w:t>the government</w:t>
      </w:r>
      <w:r w:rsidRPr="00381F61">
        <w:rPr>
          <w:rFonts w:ascii="Garamond" w:hAnsi="Garamond"/>
        </w:rPr>
        <w:t xml:space="preserve"> can provide regulatory oversight and enforce ap</w:t>
      </w:r>
      <w:r w:rsidR="005946AD" w:rsidRPr="00381F61">
        <w:rPr>
          <w:rFonts w:ascii="Garamond" w:hAnsi="Garamond"/>
        </w:rPr>
        <w:t>propriate levels of disclosure.</w:t>
      </w:r>
      <w:r w:rsidR="000714E4" w:rsidRPr="00381F61">
        <w:rPr>
          <w:rFonts w:ascii="Garamond" w:hAnsi="Garamond"/>
        </w:rPr>
        <w:t xml:space="preserve">  The government itself could participate by publishing comparative data, particularly investment performance comparisons.</w:t>
      </w:r>
    </w:p>
    <w:p w14:paraId="261670BA" w14:textId="77777777" w:rsidR="002A579C" w:rsidRPr="00381F61" w:rsidRDefault="002A579C" w:rsidP="00E71CEB">
      <w:pPr>
        <w:jc w:val="both"/>
        <w:rPr>
          <w:rFonts w:ascii="Garamond" w:hAnsi="Garamond"/>
        </w:rPr>
      </w:pPr>
    </w:p>
    <w:p w14:paraId="7193CE67" w14:textId="2BD9BA40" w:rsidR="00B56D52" w:rsidRPr="00381F61" w:rsidRDefault="00B56D52" w:rsidP="00E71CEB">
      <w:pPr>
        <w:jc w:val="both"/>
        <w:rPr>
          <w:rFonts w:ascii="Garamond" w:hAnsi="Garamond"/>
        </w:rPr>
      </w:pPr>
      <w:r w:rsidRPr="00381F61">
        <w:rPr>
          <w:rFonts w:ascii="Garamond" w:hAnsi="Garamond"/>
        </w:rPr>
        <w:t xml:space="preserve">To the extent </w:t>
      </w:r>
      <w:r w:rsidR="005946AD" w:rsidRPr="00381F61">
        <w:rPr>
          <w:rFonts w:ascii="Garamond" w:hAnsi="Garamond"/>
        </w:rPr>
        <w:t>the government has</w:t>
      </w:r>
      <w:r w:rsidRPr="00381F61">
        <w:rPr>
          <w:rFonts w:ascii="Garamond" w:hAnsi="Garamond"/>
        </w:rPr>
        <w:t xml:space="preserve"> a role in establishing school curriculums, </w:t>
      </w:r>
      <w:r w:rsidR="005946AD" w:rsidRPr="00381F61">
        <w:rPr>
          <w:rFonts w:ascii="Garamond" w:hAnsi="Garamond"/>
        </w:rPr>
        <w:t>we agree</w:t>
      </w:r>
      <w:r w:rsidRPr="00381F61">
        <w:rPr>
          <w:rFonts w:ascii="Garamond" w:hAnsi="Garamond"/>
        </w:rPr>
        <w:t xml:space="preserve"> that general literacy comprehension, numeracy and financial literacy can provide the necessary tools to gain,</w:t>
      </w:r>
      <w:r w:rsidR="005946AD" w:rsidRPr="00381F61">
        <w:rPr>
          <w:rFonts w:ascii="Garamond" w:hAnsi="Garamond"/>
        </w:rPr>
        <w:t xml:space="preserve"> eventual financial competenc</w:t>
      </w:r>
      <w:r w:rsidR="00996D0B" w:rsidRPr="00381F61">
        <w:rPr>
          <w:rFonts w:ascii="Garamond" w:hAnsi="Garamond"/>
        </w:rPr>
        <w:t>e</w:t>
      </w:r>
      <w:r w:rsidR="005946AD" w:rsidRPr="00381F61">
        <w:rPr>
          <w:rFonts w:ascii="Garamond" w:hAnsi="Garamond"/>
        </w:rPr>
        <w:t xml:space="preserve">. </w:t>
      </w:r>
      <w:r w:rsidRPr="00381F61">
        <w:rPr>
          <w:rFonts w:ascii="Garamond" w:hAnsi="Garamond"/>
        </w:rPr>
        <w:t xml:space="preserve"> However, </w:t>
      </w:r>
      <w:r w:rsidR="005946AD" w:rsidRPr="00381F61">
        <w:rPr>
          <w:rFonts w:ascii="Garamond" w:hAnsi="Garamond"/>
        </w:rPr>
        <w:t>we think</w:t>
      </w:r>
      <w:r w:rsidRPr="00381F61">
        <w:rPr>
          <w:rFonts w:ascii="Garamond" w:hAnsi="Garamond"/>
        </w:rPr>
        <w:t xml:space="preserve"> that governments should stay away from forcing, incentivising or even ‘nudging’ citizens</w:t>
      </w:r>
      <w:r w:rsidR="00117213" w:rsidRPr="00381F61">
        <w:rPr>
          <w:rFonts w:ascii="Garamond" w:hAnsi="Garamond"/>
        </w:rPr>
        <w:t xml:space="preserve"> of older ages</w:t>
      </w:r>
      <w:r w:rsidRPr="00381F61">
        <w:rPr>
          <w:rFonts w:ascii="Garamond" w:hAnsi="Garamond"/>
        </w:rPr>
        <w:t xml:space="preserve"> to behave in particular ways</w:t>
      </w:r>
      <w:r w:rsidR="00611DCB" w:rsidRPr="00381F61">
        <w:rPr>
          <w:rFonts w:ascii="Garamond" w:hAnsi="Garamond"/>
        </w:rPr>
        <w:t>, such as through ‘defaul</w:t>
      </w:r>
      <w:r w:rsidR="00490266" w:rsidRPr="00381F61">
        <w:rPr>
          <w:rFonts w:ascii="Garamond" w:hAnsi="Garamond"/>
        </w:rPr>
        <w:t>t</w:t>
      </w:r>
      <w:r w:rsidR="00611DCB" w:rsidRPr="00381F61">
        <w:rPr>
          <w:rFonts w:ascii="Garamond" w:hAnsi="Garamond"/>
        </w:rPr>
        <w:t>’ settings in KiwiSaver</w:t>
      </w:r>
      <w:r w:rsidRPr="00381F61">
        <w:rPr>
          <w:rFonts w:ascii="Garamond" w:hAnsi="Garamond"/>
        </w:rPr>
        <w:t>.</w:t>
      </w:r>
    </w:p>
    <w:p w14:paraId="4E624B64" w14:textId="2DAFA0C2" w:rsidR="00B56D52" w:rsidRPr="00381F61" w:rsidRDefault="00B56D52" w:rsidP="00E71CEB">
      <w:pPr>
        <w:jc w:val="both"/>
        <w:rPr>
          <w:rFonts w:ascii="Garamond" w:hAnsi="Garamond"/>
        </w:rPr>
      </w:pPr>
    </w:p>
    <w:p w14:paraId="2BF30C7A" w14:textId="3C9FDECF" w:rsidR="00B56D52" w:rsidRPr="00381F61" w:rsidRDefault="00B56D52" w:rsidP="00E71CEB">
      <w:pPr>
        <w:jc w:val="both"/>
        <w:rPr>
          <w:rFonts w:ascii="Garamond" w:hAnsi="Garamond"/>
        </w:rPr>
      </w:pPr>
      <w:r w:rsidRPr="00381F61">
        <w:rPr>
          <w:rFonts w:ascii="Garamond" w:hAnsi="Garamond"/>
        </w:rPr>
        <w:t>On the other hand, employers may have different motives for persuading or even forcing employ</w:t>
      </w:r>
      <w:r w:rsidR="005946AD" w:rsidRPr="00381F61">
        <w:rPr>
          <w:rFonts w:ascii="Garamond" w:hAnsi="Garamond"/>
        </w:rPr>
        <w:t>ees to save for retirement.  We think</w:t>
      </w:r>
      <w:r w:rsidRPr="00381F61">
        <w:rPr>
          <w:rFonts w:ascii="Garamond" w:hAnsi="Garamond"/>
        </w:rPr>
        <w:t xml:space="preserve"> that may be appropriate</w:t>
      </w:r>
      <w:r w:rsidR="004B40CA" w:rsidRPr="00381F61">
        <w:rPr>
          <w:rFonts w:ascii="Garamond" w:hAnsi="Garamond"/>
        </w:rPr>
        <w:t>,</w:t>
      </w:r>
      <w:r w:rsidRPr="00381F61">
        <w:rPr>
          <w:rFonts w:ascii="Garamond" w:hAnsi="Garamond"/>
        </w:rPr>
        <w:t xml:space="preserve"> but employers need to be clear about their objectives in promoting a particular form of behaviour.</w:t>
      </w:r>
    </w:p>
    <w:p w14:paraId="2632734C" w14:textId="5B60A9B9" w:rsidR="00B56D52" w:rsidRPr="00381F61" w:rsidRDefault="00B56D52" w:rsidP="00E71CEB">
      <w:pPr>
        <w:jc w:val="both"/>
        <w:rPr>
          <w:rFonts w:ascii="Garamond" w:hAnsi="Garamond"/>
        </w:rPr>
      </w:pPr>
    </w:p>
    <w:p w14:paraId="787DEF51" w14:textId="5ACB06D6" w:rsidR="00B56D52" w:rsidRPr="00381F61" w:rsidRDefault="00B56D52" w:rsidP="00E71CEB">
      <w:pPr>
        <w:jc w:val="both"/>
        <w:rPr>
          <w:rFonts w:ascii="Garamond" w:hAnsi="Garamond"/>
        </w:rPr>
      </w:pPr>
      <w:r w:rsidRPr="00381F61">
        <w:rPr>
          <w:rFonts w:ascii="Garamond" w:hAnsi="Garamond"/>
        </w:rPr>
        <w:t>In the meantime, citizens still need help with important issues that have nothing directly to do with their r</w:t>
      </w:r>
      <w:r w:rsidR="005946AD" w:rsidRPr="00381F61">
        <w:rPr>
          <w:rFonts w:ascii="Garamond" w:hAnsi="Garamond"/>
        </w:rPr>
        <w:t xml:space="preserve">etirement savings. </w:t>
      </w:r>
      <w:r w:rsidR="00B3095A" w:rsidRPr="00381F61">
        <w:rPr>
          <w:rFonts w:ascii="Garamond" w:hAnsi="Garamond"/>
        </w:rPr>
        <w:t xml:space="preserve"> </w:t>
      </w:r>
      <w:r w:rsidR="005946AD" w:rsidRPr="00381F61">
        <w:rPr>
          <w:rFonts w:ascii="Garamond" w:hAnsi="Garamond"/>
        </w:rPr>
        <w:t>Gaining appropriate ‘retirement job’ skills would be one of those; c</w:t>
      </w:r>
      <w:r w:rsidRPr="00381F61">
        <w:rPr>
          <w:rFonts w:ascii="Garamond" w:hAnsi="Garamond"/>
        </w:rPr>
        <w:t>h</w:t>
      </w:r>
      <w:r w:rsidR="005946AD" w:rsidRPr="00381F61">
        <w:rPr>
          <w:rFonts w:ascii="Garamond" w:hAnsi="Garamond"/>
        </w:rPr>
        <w:t>oosing the age from which to ‘retire’ is another</w:t>
      </w:r>
      <w:r w:rsidR="007B442B" w:rsidRPr="00381F61">
        <w:rPr>
          <w:rFonts w:ascii="Garamond" w:hAnsi="Garamond"/>
        </w:rPr>
        <w:t>, understanding housing-related options yet a third.</w:t>
      </w:r>
    </w:p>
    <w:p w14:paraId="1BA6803B" w14:textId="77777777" w:rsidR="00B56D52" w:rsidRPr="00381F61" w:rsidRDefault="00B56D52" w:rsidP="00E71CEB">
      <w:pPr>
        <w:jc w:val="both"/>
        <w:rPr>
          <w:rFonts w:ascii="Garamond" w:hAnsi="Garamond"/>
        </w:rPr>
      </w:pPr>
    </w:p>
    <w:p w14:paraId="6DCED3DA" w14:textId="649DB251" w:rsidR="00B56D52" w:rsidRPr="00381F61" w:rsidRDefault="00B56D52" w:rsidP="00E71CEB">
      <w:pPr>
        <w:jc w:val="both"/>
        <w:rPr>
          <w:rFonts w:ascii="Garamond" w:hAnsi="Garamond"/>
        </w:rPr>
      </w:pPr>
      <w:r w:rsidRPr="00381F61">
        <w:rPr>
          <w:rFonts w:ascii="Garamond" w:hAnsi="Garamond"/>
        </w:rPr>
        <w:t xml:space="preserve">Part of the government’s regulatory responsibilities with respect to collective saving vehicles </w:t>
      </w:r>
      <w:r w:rsidR="009C1B4F" w:rsidRPr="00381F61">
        <w:rPr>
          <w:rFonts w:ascii="Garamond" w:hAnsi="Garamond"/>
        </w:rPr>
        <w:t xml:space="preserve">(such as KiwiSaver) </w:t>
      </w:r>
      <w:r w:rsidRPr="00381F61">
        <w:rPr>
          <w:rFonts w:ascii="Garamond" w:hAnsi="Garamond"/>
        </w:rPr>
        <w:t>is to ensure disclosure and reporting requirements are consistent across similar products (</w:t>
      </w:r>
      <w:r w:rsidR="00D348E0" w:rsidRPr="00381F61">
        <w:rPr>
          <w:rFonts w:ascii="Garamond" w:hAnsi="Garamond"/>
        </w:rPr>
        <w:t xml:space="preserve">see </w:t>
      </w:r>
      <w:r w:rsidRPr="00381F61">
        <w:rPr>
          <w:rFonts w:ascii="Garamond" w:hAnsi="Garamond"/>
        </w:rPr>
        <w:t>section 1</w:t>
      </w:r>
      <w:r w:rsidR="000856CF" w:rsidRPr="00381F61">
        <w:rPr>
          <w:rFonts w:ascii="Garamond" w:hAnsi="Garamond"/>
        </w:rPr>
        <w:t>8</w:t>
      </w:r>
      <w:r w:rsidRPr="00381F61">
        <w:rPr>
          <w:rFonts w:ascii="Garamond" w:hAnsi="Garamond"/>
        </w:rPr>
        <w:t xml:space="preserve"> – Disclosure – both initial and ongoing).  That consistency can then extend to the collection and publication of statistics on fees and investment performance and those themselves will form the basis of an information programme directed at savers.</w:t>
      </w:r>
    </w:p>
    <w:p w14:paraId="10D5D0AB" w14:textId="77777777" w:rsidR="00B56D52" w:rsidRPr="00381F61" w:rsidRDefault="00B56D52" w:rsidP="00E71CEB">
      <w:pPr>
        <w:jc w:val="both"/>
        <w:rPr>
          <w:rFonts w:ascii="Garamond" w:hAnsi="Garamond"/>
        </w:rPr>
      </w:pPr>
    </w:p>
    <w:p w14:paraId="153BF31D" w14:textId="38BAD960" w:rsidR="00B56731" w:rsidRPr="00381F61" w:rsidRDefault="00B56731" w:rsidP="00E71CEB">
      <w:pPr>
        <w:jc w:val="both"/>
        <w:rPr>
          <w:rFonts w:ascii="Garamond" w:hAnsi="Garamond"/>
        </w:rPr>
      </w:pPr>
      <w:r w:rsidRPr="00381F61">
        <w:rPr>
          <w:rFonts w:ascii="Garamond" w:hAnsi="Garamond"/>
        </w:rPr>
        <w:t xml:space="preserve">New Zealand’s Commission for Financial Capability (CFFC) has focussed much of its recent activity </w:t>
      </w:r>
      <w:r w:rsidR="00C61226" w:rsidRPr="00381F61">
        <w:rPr>
          <w:rFonts w:ascii="Garamond" w:hAnsi="Garamond"/>
        </w:rPr>
        <w:t>on</w:t>
      </w:r>
      <w:r w:rsidR="007B442B" w:rsidRPr="00381F61">
        <w:rPr>
          <w:rFonts w:ascii="Garamond" w:hAnsi="Garamond"/>
        </w:rPr>
        <w:t xml:space="preserve"> attempting to</w:t>
      </w:r>
      <w:r w:rsidR="00C61226" w:rsidRPr="00381F61">
        <w:rPr>
          <w:rFonts w:ascii="Garamond" w:hAnsi="Garamond"/>
        </w:rPr>
        <w:t xml:space="preserve"> improv</w:t>
      </w:r>
      <w:r w:rsidR="007B442B" w:rsidRPr="00381F61">
        <w:rPr>
          <w:rFonts w:ascii="Garamond" w:hAnsi="Garamond"/>
        </w:rPr>
        <w:t>e</w:t>
      </w:r>
      <w:r w:rsidR="00C61226" w:rsidRPr="00381F61">
        <w:rPr>
          <w:rFonts w:ascii="Garamond" w:hAnsi="Garamond"/>
        </w:rPr>
        <w:t xml:space="preserve"> New Zea</w:t>
      </w:r>
      <w:r w:rsidR="00016AFB" w:rsidRPr="00381F61">
        <w:rPr>
          <w:rFonts w:ascii="Garamond" w:hAnsi="Garamond"/>
        </w:rPr>
        <w:t>landers’ ‘financial capability’:</w:t>
      </w:r>
    </w:p>
    <w:p w14:paraId="10BDED33" w14:textId="77777777" w:rsidR="00016AFB" w:rsidRPr="00381F61" w:rsidRDefault="00016AFB" w:rsidP="00E71CEB">
      <w:pPr>
        <w:jc w:val="both"/>
        <w:rPr>
          <w:rFonts w:ascii="Garamond" w:hAnsi="Garamond"/>
          <w:sz w:val="8"/>
          <w:szCs w:val="8"/>
        </w:rPr>
      </w:pPr>
    </w:p>
    <w:p w14:paraId="45141AC9" w14:textId="77777777" w:rsidR="00053F48" w:rsidRPr="00381F61" w:rsidRDefault="00C61226" w:rsidP="00053F48">
      <w:pPr>
        <w:ind w:left="709"/>
        <w:jc w:val="both"/>
        <w:rPr>
          <w:rFonts w:ascii="Garamond" w:hAnsi="Garamond"/>
          <w:sz w:val="22"/>
          <w:szCs w:val="22"/>
        </w:rPr>
      </w:pPr>
      <w:r w:rsidRPr="00381F61">
        <w:rPr>
          <w:rFonts w:ascii="Garamond" w:hAnsi="Garamond"/>
          <w:sz w:val="22"/>
          <w:szCs w:val="22"/>
        </w:rPr>
        <w:t>“</w:t>
      </w:r>
      <w:r w:rsidR="00053F48" w:rsidRPr="00381F61">
        <w:rPr>
          <w:rFonts w:ascii="Garamond" w:hAnsi="Garamond"/>
          <w:sz w:val="22"/>
          <w:szCs w:val="22"/>
        </w:rPr>
        <w:t>Financial capability goes deeper than what we know about money.  It’s feeling confident to make wise judgements about how we use and manage our money in ways that benefit us now and in the future, enable us to reach our goals, provide for our family and, ultimately reach retirement in good financial shape.”</w:t>
      </w:r>
    </w:p>
    <w:p w14:paraId="53079D71" w14:textId="77777777" w:rsidR="00053F48" w:rsidRPr="00381F61" w:rsidRDefault="00053F48" w:rsidP="00053F48">
      <w:pPr>
        <w:ind w:left="709"/>
        <w:jc w:val="both"/>
        <w:rPr>
          <w:rFonts w:ascii="Garamond" w:hAnsi="Garamond"/>
          <w:sz w:val="8"/>
          <w:szCs w:val="8"/>
        </w:rPr>
      </w:pPr>
    </w:p>
    <w:p w14:paraId="3169CE67" w14:textId="47145AEB" w:rsidR="001A4987" w:rsidRPr="00381F61" w:rsidRDefault="00053F48" w:rsidP="001A4987">
      <w:pPr>
        <w:pStyle w:val="ListParagraph"/>
        <w:ind w:left="1134"/>
        <w:jc w:val="both"/>
        <w:rPr>
          <w:rFonts w:ascii="Garamond" w:hAnsi="Garamond"/>
          <w:sz w:val="8"/>
          <w:szCs w:val="8"/>
        </w:rPr>
      </w:pPr>
      <w:r w:rsidRPr="00381F61">
        <w:rPr>
          <w:rFonts w:ascii="Garamond" w:hAnsi="Garamond"/>
          <w:sz w:val="22"/>
          <w:szCs w:val="22"/>
        </w:rPr>
        <w:t>“AT CFFC, we understand this and use it to inform our work.  By unravelling what motivates people, our financial capability programmes create lasting behaviour change.  Improving New Zealanders’ ability to manage their money across a lifetime gives individuals greater financial certainty and freedom.  It helps to reduce hardship among families, creates resilient communities and a more prosperous and productive economy.  We recognise financial capability as an essential life skill for all New Zealanders.”</w:t>
      </w:r>
    </w:p>
    <w:p w14:paraId="33709D26" w14:textId="685B6707" w:rsidR="00C61226" w:rsidRPr="00381F61" w:rsidRDefault="00C61226" w:rsidP="001A4987">
      <w:pPr>
        <w:pStyle w:val="ListParagraph"/>
        <w:ind w:left="1134"/>
        <w:jc w:val="both"/>
        <w:rPr>
          <w:rFonts w:ascii="Garamond" w:hAnsi="Garamond"/>
          <w:sz w:val="22"/>
          <w:szCs w:val="22"/>
        </w:rPr>
      </w:pPr>
      <w:r w:rsidRPr="00381F61">
        <w:rPr>
          <w:rFonts w:ascii="Garamond" w:hAnsi="Garamond"/>
          <w:sz w:val="22"/>
          <w:szCs w:val="22"/>
        </w:rPr>
        <w:t xml:space="preserve">From the Commission’s website </w:t>
      </w:r>
      <w:hyperlink r:id="rId82" w:history="1">
        <w:r w:rsidRPr="00381F61">
          <w:rPr>
            <w:rStyle w:val="Hyperlink"/>
            <w:rFonts w:ascii="Garamond" w:hAnsi="Garamond"/>
            <w:sz w:val="22"/>
            <w:szCs w:val="22"/>
          </w:rPr>
          <w:t>here</w:t>
        </w:r>
      </w:hyperlink>
      <w:r w:rsidRPr="00381F61">
        <w:rPr>
          <w:rFonts w:ascii="Garamond" w:hAnsi="Garamond"/>
          <w:sz w:val="22"/>
          <w:szCs w:val="22"/>
        </w:rPr>
        <w:t>.</w:t>
      </w:r>
    </w:p>
    <w:p w14:paraId="1A9F1445" w14:textId="77777777" w:rsidR="00DC42E4" w:rsidRPr="00381F61" w:rsidRDefault="00DC42E4" w:rsidP="00E71CEB">
      <w:pPr>
        <w:jc w:val="both"/>
        <w:rPr>
          <w:rFonts w:ascii="Garamond" w:hAnsi="Garamond"/>
        </w:rPr>
      </w:pPr>
    </w:p>
    <w:p w14:paraId="1FB7AC5E" w14:textId="4892EC82" w:rsidR="006C3AE6" w:rsidRPr="00381F61" w:rsidRDefault="00D11CC6" w:rsidP="00E71CEB">
      <w:pPr>
        <w:jc w:val="both"/>
        <w:rPr>
          <w:rFonts w:ascii="Garamond" w:hAnsi="Garamond"/>
        </w:rPr>
      </w:pPr>
      <w:r w:rsidRPr="00381F61">
        <w:rPr>
          <w:rFonts w:ascii="Garamond" w:hAnsi="Garamond"/>
        </w:rPr>
        <w:t>In 2015, t</w:t>
      </w:r>
      <w:r w:rsidR="00FB5FBD" w:rsidRPr="00381F61">
        <w:rPr>
          <w:rFonts w:ascii="Garamond" w:hAnsi="Garamond"/>
        </w:rPr>
        <w:t xml:space="preserve">he CFFC published a </w:t>
      </w:r>
      <w:r w:rsidR="00FB5FBD" w:rsidRPr="00381F61">
        <w:rPr>
          <w:rFonts w:ascii="Garamond" w:hAnsi="Garamond"/>
          <w:i/>
        </w:rPr>
        <w:t>National Strategy for Financial Capability</w:t>
      </w:r>
      <w:r w:rsidR="00FB5FBD" w:rsidRPr="00381F61">
        <w:rPr>
          <w:rFonts w:ascii="Garamond" w:hAnsi="Garamond"/>
        </w:rPr>
        <w:t xml:space="preserve"> (accessible </w:t>
      </w:r>
      <w:hyperlink r:id="rId83" w:history="1">
        <w:r w:rsidR="00FB5FBD" w:rsidRPr="00381F61">
          <w:rPr>
            <w:rStyle w:val="Hyperlink"/>
            <w:rFonts w:ascii="Garamond" w:hAnsi="Garamond"/>
          </w:rPr>
          <w:t>here</w:t>
        </w:r>
      </w:hyperlink>
      <w:r w:rsidR="00FB5FBD" w:rsidRPr="00381F61">
        <w:rPr>
          <w:rFonts w:ascii="Garamond" w:hAnsi="Garamond"/>
        </w:rPr>
        <w:t>)</w:t>
      </w:r>
      <w:r w:rsidR="006C3AE6" w:rsidRPr="00381F61">
        <w:rPr>
          <w:rFonts w:ascii="Garamond" w:hAnsi="Garamond"/>
        </w:rPr>
        <w:t>:</w:t>
      </w:r>
    </w:p>
    <w:p w14:paraId="6148AF11" w14:textId="77777777" w:rsidR="006C3AE6" w:rsidRPr="00381F61" w:rsidRDefault="006C3AE6" w:rsidP="00E71CEB">
      <w:pPr>
        <w:jc w:val="both"/>
        <w:rPr>
          <w:rFonts w:ascii="Garamond" w:hAnsi="Garamond"/>
          <w:sz w:val="8"/>
          <w:szCs w:val="8"/>
        </w:rPr>
      </w:pPr>
    </w:p>
    <w:p w14:paraId="63676407" w14:textId="26E3AD2C" w:rsidR="006C3AE6" w:rsidRPr="00381F61" w:rsidRDefault="00D11CC6" w:rsidP="00E71CEB">
      <w:pPr>
        <w:ind w:left="709"/>
        <w:jc w:val="both"/>
        <w:rPr>
          <w:rFonts w:ascii="Garamond" w:hAnsi="Garamond"/>
          <w:sz w:val="22"/>
          <w:szCs w:val="22"/>
        </w:rPr>
      </w:pPr>
      <w:r w:rsidRPr="00381F61">
        <w:rPr>
          <w:rFonts w:ascii="Garamond" w:hAnsi="Garamond"/>
          <w:sz w:val="22"/>
          <w:szCs w:val="22"/>
        </w:rPr>
        <w:t>“</w:t>
      </w:r>
      <w:r w:rsidR="006C3AE6" w:rsidRPr="00381F61">
        <w:rPr>
          <w:rFonts w:ascii="Garamond" w:hAnsi="Garamond"/>
          <w:sz w:val="22"/>
          <w:szCs w:val="22"/>
        </w:rPr>
        <w:t>The vision outlined in this National Strategy is to equip everyone to ‘get ahead financially’… The term ‘getting ahead’ holds different meanings for different people, but at its core it is about how we successfully navigate our way through products, choices, demands and needs across a lifetime.”</w:t>
      </w:r>
    </w:p>
    <w:p w14:paraId="47880CB8" w14:textId="77777777" w:rsidR="00D11CC6" w:rsidRPr="00381F61" w:rsidRDefault="00D11CC6" w:rsidP="00E71CEB">
      <w:pPr>
        <w:jc w:val="both"/>
        <w:rPr>
          <w:rFonts w:ascii="Garamond" w:hAnsi="Garamond"/>
        </w:rPr>
      </w:pPr>
    </w:p>
    <w:p w14:paraId="0DB3C149" w14:textId="52B5AA30" w:rsidR="00FB5FBD" w:rsidRPr="00381F61" w:rsidRDefault="00AF6B89" w:rsidP="00E71CEB">
      <w:pPr>
        <w:jc w:val="both"/>
        <w:rPr>
          <w:rFonts w:ascii="Garamond" w:hAnsi="Garamond"/>
        </w:rPr>
      </w:pPr>
      <w:r w:rsidRPr="00381F61">
        <w:rPr>
          <w:rFonts w:ascii="Garamond" w:hAnsi="Garamond"/>
        </w:rPr>
        <w:t>One of the strategy’s objectives is to join the financial services industry up with the government, the education sector, NGOs, the Stock Exchange, workplaces, Maori groups, the media and the CFFC itself.</w:t>
      </w:r>
    </w:p>
    <w:p w14:paraId="65789420" w14:textId="77777777" w:rsidR="00FB5FBD" w:rsidRPr="00381F61" w:rsidRDefault="00FB5FBD" w:rsidP="00E71CEB">
      <w:pPr>
        <w:jc w:val="both"/>
        <w:rPr>
          <w:rFonts w:ascii="Garamond" w:hAnsi="Garamond"/>
        </w:rPr>
      </w:pPr>
    </w:p>
    <w:p w14:paraId="7F17E252" w14:textId="72F0C95A" w:rsidR="00D521EF" w:rsidRPr="00381F61" w:rsidRDefault="00D521EF" w:rsidP="00E71CEB">
      <w:pPr>
        <w:jc w:val="both"/>
        <w:rPr>
          <w:rFonts w:ascii="Garamond" w:hAnsi="Garamond"/>
        </w:rPr>
      </w:pPr>
      <w:r w:rsidRPr="00381F61">
        <w:rPr>
          <w:rFonts w:ascii="Garamond" w:hAnsi="Garamond"/>
        </w:rPr>
        <w:t xml:space="preserve">The </w:t>
      </w:r>
      <w:r w:rsidR="00053F48" w:rsidRPr="00381F61">
        <w:rPr>
          <w:rFonts w:ascii="Garamond" w:hAnsi="Garamond"/>
        </w:rPr>
        <w:t xml:space="preserve">last </w:t>
      </w:r>
      <w:r w:rsidRPr="00381F61">
        <w:rPr>
          <w:rFonts w:ascii="Garamond" w:hAnsi="Garamond"/>
        </w:rPr>
        <w:t>government support</w:t>
      </w:r>
      <w:r w:rsidR="00053F48" w:rsidRPr="00381F61">
        <w:rPr>
          <w:rFonts w:ascii="Garamond" w:hAnsi="Garamond"/>
        </w:rPr>
        <w:t>ed</w:t>
      </w:r>
      <w:r w:rsidRPr="00381F61">
        <w:rPr>
          <w:rFonts w:ascii="Garamond" w:hAnsi="Garamond"/>
        </w:rPr>
        <w:t xml:space="preserve"> this initiative:</w:t>
      </w:r>
    </w:p>
    <w:p w14:paraId="1E4EDB24" w14:textId="77777777" w:rsidR="00AF6B89" w:rsidRPr="00381F61" w:rsidRDefault="00AF6B89" w:rsidP="00E71CEB">
      <w:pPr>
        <w:jc w:val="both"/>
        <w:rPr>
          <w:rFonts w:ascii="Garamond" w:hAnsi="Garamond"/>
          <w:sz w:val="8"/>
          <w:szCs w:val="8"/>
        </w:rPr>
      </w:pPr>
    </w:p>
    <w:p w14:paraId="13B7CDAF" w14:textId="3D1BF9F3" w:rsidR="00D521EF" w:rsidRPr="00381F61" w:rsidRDefault="00D11CC6" w:rsidP="00E71CEB">
      <w:pPr>
        <w:ind w:left="709"/>
        <w:jc w:val="both"/>
        <w:rPr>
          <w:rFonts w:ascii="Garamond" w:hAnsi="Garamond"/>
          <w:sz w:val="22"/>
          <w:szCs w:val="22"/>
        </w:rPr>
      </w:pPr>
      <w:r w:rsidRPr="00381F61">
        <w:rPr>
          <w:rFonts w:ascii="Garamond" w:hAnsi="Garamond"/>
          <w:sz w:val="22"/>
          <w:szCs w:val="22"/>
        </w:rPr>
        <w:t>“</w:t>
      </w:r>
      <w:r w:rsidR="00D521EF" w:rsidRPr="00381F61">
        <w:rPr>
          <w:rFonts w:ascii="Garamond" w:hAnsi="Garamond"/>
          <w:sz w:val="22"/>
          <w:szCs w:val="22"/>
        </w:rPr>
        <w:t>The Minister of Commerce and Consumer Affairs, Paul Goldsmith has issued a government statement to reinforce the contribution financial capability makes to the goal of everyone getting ahead financially.</w:t>
      </w:r>
    </w:p>
    <w:p w14:paraId="0D5A7497" w14:textId="77777777" w:rsidR="00D521EF" w:rsidRPr="00381F61" w:rsidRDefault="00D521EF" w:rsidP="00E71CEB">
      <w:pPr>
        <w:ind w:left="709"/>
        <w:jc w:val="both"/>
        <w:rPr>
          <w:rFonts w:ascii="Garamond" w:hAnsi="Garamond"/>
          <w:sz w:val="8"/>
          <w:szCs w:val="8"/>
        </w:rPr>
      </w:pPr>
    </w:p>
    <w:p w14:paraId="6237794E" w14:textId="54E1A0E4" w:rsidR="00D521EF" w:rsidRPr="00381F61" w:rsidRDefault="00D11CC6" w:rsidP="00E71CEB">
      <w:pPr>
        <w:ind w:left="709"/>
        <w:jc w:val="both"/>
        <w:rPr>
          <w:rFonts w:ascii="Garamond" w:hAnsi="Garamond"/>
          <w:sz w:val="22"/>
          <w:szCs w:val="22"/>
        </w:rPr>
      </w:pPr>
      <w:r w:rsidRPr="00381F61">
        <w:rPr>
          <w:rFonts w:ascii="Garamond" w:hAnsi="Garamond"/>
          <w:sz w:val="22"/>
          <w:szCs w:val="22"/>
        </w:rPr>
        <w:t>‘</w:t>
      </w:r>
      <w:r w:rsidR="00D521EF" w:rsidRPr="00381F61">
        <w:rPr>
          <w:rFonts w:ascii="Garamond" w:hAnsi="Garamond"/>
          <w:sz w:val="22"/>
          <w:szCs w:val="22"/>
        </w:rPr>
        <w:t>Building the financial capability of New Zealanders is a priority for the Government.  It will help us improve the wellbeing of our families and communities, reduce hardship, increase in</w:t>
      </w:r>
      <w:r w:rsidRPr="00381F61">
        <w:rPr>
          <w:rFonts w:ascii="Garamond" w:hAnsi="Garamond"/>
          <w:sz w:val="22"/>
          <w:szCs w:val="22"/>
        </w:rPr>
        <w:t>vestment, and grow the economy.’</w:t>
      </w:r>
    </w:p>
    <w:p w14:paraId="053584E0" w14:textId="77777777" w:rsidR="00D521EF" w:rsidRPr="00381F61" w:rsidRDefault="00D521EF" w:rsidP="00E71CEB">
      <w:pPr>
        <w:ind w:left="709"/>
        <w:jc w:val="both"/>
        <w:rPr>
          <w:rFonts w:ascii="Garamond" w:hAnsi="Garamond"/>
          <w:sz w:val="8"/>
          <w:szCs w:val="8"/>
        </w:rPr>
      </w:pPr>
    </w:p>
    <w:p w14:paraId="52525A06" w14:textId="7578DBE3" w:rsidR="00D521EF" w:rsidRPr="00381F61" w:rsidRDefault="00D521EF" w:rsidP="00E71CEB">
      <w:pPr>
        <w:ind w:left="709"/>
        <w:jc w:val="both"/>
        <w:rPr>
          <w:rFonts w:ascii="Garamond" w:hAnsi="Garamond"/>
          <w:sz w:val="22"/>
          <w:szCs w:val="22"/>
        </w:rPr>
      </w:pPr>
      <w:r w:rsidRPr="00381F61">
        <w:rPr>
          <w:rFonts w:ascii="Garamond" w:hAnsi="Garamond"/>
          <w:sz w:val="22"/>
          <w:szCs w:val="22"/>
        </w:rPr>
        <w:t>Government agencies will be working more collaboratively, including financial capability outcomes as a consideration in service delivery and will be looking to increase the work with industry and the community for better results.  The government statement recognises that building financial capability is a shared responsibility and that everyone has a part to play.  It also recognises that financial capability is built at home, at school, in workplaces and elsewhere in the community.”</w:t>
      </w:r>
      <w:r w:rsidR="00053F48" w:rsidRPr="00381F61">
        <w:rPr>
          <w:rStyle w:val="FootnoteReference"/>
          <w:rFonts w:ascii="Garamond" w:hAnsi="Garamond"/>
          <w:sz w:val="22"/>
          <w:szCs w:val="22"/>
        </w:rPr>
        <w:footnoteReference w:id="261"/>
      </w:r>
    </w:p>
    <w:p w14:paraId="4382E451" w14:textId="2956EC49" w:rsidR="00D521EF" w:rsidRPr="00381F61" w:rsidRDefault="00D521EF" w:rsidP="00E71CEB">
      <w:pPr>
        <w:ind w:left="709"/>
        <w:jc w:val="both"/>
        <w:rPr>
          <w:rFonts w:ascii="Garamond" w:hAnsi="Garamond"/>
        </w:rPr>
      </w:pPr>
    </w:p>
    <w:p w14:paraId="03AC1F06" w14:textId="77777777" w:rsidR="00D521EF" w:rsidRPr="00381F61" w:rsidRDefault="00D521EF" w:rsidP="00E71CEB">
      <w:pPr>
        <w:jc w:val="both"/>
        <w:rPr>
          <w:rFonts w:ascii="Garamond" w:hAnsi="Garamond"/>
          <w:b/>
        </w:rPr>
      </w:pPr>
    </w:p>
    <w:p w14:paraId="4A209FD0" w14:textId="73320114" w:rsidR="005B44A4" w:rsidRPr="00381F61" w:rsidRDefault="005B44A4" w:rsidP="00E71CEB">
      <w:pPr>
        <w:jc w:val="both"/>
        <w:rPr>
          <w:rFonts w:ascii="Garamond" w:hAnsi="Garamond"/>
        </w:rPr>
      </w:pPr>
      <w:r w:rsidRPr="00381F61">
        <w:rPr>
          <w:rFonts w:ascii="Garamond" w:hAnsi="Garamond"/>
        </w:rPr>
        <w:t>In the government</w:t>
      </w:r>
      <w:r w:rsidR="007B442B" w:rsidRPr="00381F61">
        <w:rPr>
          <w:rFonts w:ascii="Garamond" w:hAnsi="Garamond"/>
        </w:rPr>
        <w:t>’</w:t>
      </w:r>
      <w:r w:rsidRPr="00381F61">
        <w:rPr>
          <w:rFonts w:ascii="Garamond" w:hAnsi="Garamond"/>
        </w:rPr>
        <w:t>s response to the Retirement Commissioner’s 2016</w:t>
      </w:r>
      <w:r w:rsidRPr="00381F61">
        <w:rPr>
          <w:rFonts w:ascii="Garamond" w:hAnsi="Garamond"/>
          <w:i/>
        </w:rPr>
        <w:t xml:space="preserve"> </w:t>
      </w:r>
      <w:r w:rsidRPr="00381F61">
        <w:rPr>
          <w:rFonts w:ascii="Garamond" w:hAnsi="Garamond"/>
        </w:rPr>
        <w:t>Review, the Minister of Commerce and Consumer Affairs also stated:</w:t>
      </w:r>
    </w:p>
    <w:p w14:paraId="6B9317B4" w14:textId="77777777" w:rsidR="005B44A4" w:rsidRPr="00381F61" w:rsidRDefault="005B44A4" w:rsidP="00E71CEB">
      <w:pPr>
        <w:jc w:val="both"/>
        <w:rPr>
          <w:rFonts w:ascii="Garamond" w:hAnsi="Garamond"/>
          <w:sz w:val="8"/>
          <w:szCs w:val="8"/>
        </w:rPr>
      </w:pPr>
    </w:p>
    <w:p w14:paraId="0501331B" w14:textId="5FAF982C" w:rsidR="005B44A4" w:rsidRPr="00381F61" w:rsidRDefault="005B44A4" w:rsidP="005B44A4">
      <w:pPr>
        <w:ind w:left="709"/>
        <w:jc w:val="both"/>
        <w:rPr>
          <w:rFonts w:ascii="Garamond" w:hAnsi="Garamond"/>
          <w:sz w:val="22"/>
          <w:szCs w:val="22"/>
        </w:rPr>
      </w:pPr>
      <w:r w:rsidRPr="00381F61">
        <w:rPr>
          <w:rFonts w:ascii="Garamond" w:hAnsi="Garamond"/>
          <w:sz w:val="22"/>
          <w:szCs w:val="22"/>
        </w:rPr>
        <w:t>“Raising New Zealanders’ level of financial capability is a Government priority.  The Government is committed to supporting the Commission for Financial Capability and the Ministry of Social Development and encouraging other organisations to provide financial capability programmes that reach New Zealanders of all ages.”</w:t>
      </w:r>
      <w:r w:rsidRPr="00381F61">
        <w:rPr>
          <w:rStyle w:val="FootnoteReference"/>
          <w:rFonts w:ascii="Garamond" w:hAnsi="Garamond"/>
          <w:sz w:val="22"/>
          <w:szCs w:val="22"/>
        </w:rPr>
        <w:footnoteReference w:id="262"/>
      </w:r>
    </w:p>
    <w:p w14:paraId="668554A0" w14:textId="77777777" w:rsidR="005B44A4" w:rsidRPr="00381F61" w:rsidRDefault="005B44A4" w:rsidP="00E71CEB">
      <w:pPr>
        <w:jc w:val="both"/>
        <w:rPr>
          <w:rFonts w:ascii="Garamond" w:hAnsi="Garamond"/>
        </w:rPr>
      </w:pPr>
    </w:p>
    <w:p w14:paraId="45EF61B1" w14:textId="03008057" w:rsidR="002A579C" w:rsidRPr="00381F61" w:rsidRDefault="0078170D" w:rsidP="00E71CEB">
      <w:pPr>
        <w:jc w:val="both"/>
        <w:rPr>
          <w:rFonts w:ascii="Garamond" w:hAnsi="Garamond"/>
        </w:rPr>
      </w:pPr>
      <w:r w:rsidRPr="00381F61">
        <w:rPr>
          <w:rFonts w:ascii="Garamond" w:hAnsi="Garamond"/>
        </w:rPr>
        <w:t>This all looks reasonably sound with admirable objectives</w:t>
      </w:r>
      <w:r w:rsidR="0045691E" w:rsidRPr="00381F61">
        <w:rPr>
          <w:rFonts w:ascii="Garamond" w:hAnsi="Garamond"/>
        </w:rPr>
        <w:t>,</w:t>
      </w:r>
      <w:r w:rsidRPr="00381F61">
        <w:rPr>
          <w:rFonts w:ascii="Garamond" w:hAnsi="Garamond"/>
        </w:rPr>
        <w:t xml:space="preserve"> but we would like to see evidence of what is actually being achieved.</w:t>
      </w:r>
    </w:p>
    <w:p w14:paraId="53A33A93" w14:textId="77777777" w:rsidR="002A579C" w:rsidRPr="00381F61" w:rsidRDefault="002A579C" w:rsidP="00E71CEB">
      <w:pPr>
        <w:jc w:val="both"/>
        <w:rPr>
          <w:rFonts w:ascii="Garamond" w:hAnsi="Garamond"/>
        </w:rPr>
      </w:pPr>
    </w:p>
    <w:p w14:paraId="7AC90D08" w14:textId="5DD618D3" w:rsidR="0078170D" w:rsidRPr="00381F61" w:rsidRDefault="0078170D" w:rsidP="00E71CEB">
      <w:pPr>
        <w:jc w:val="both"/>
        <w:rPr>
          <w:rFonts w:ascii="Garamond" w:hAnsi="Garamond"/>
        </w:rPr>
      </w:pPr>
      <w:r w:rsidRPr="00381F61">
        <w:rPr>
          <w:rFonts w:ascii="Garamond" w:hAnsi="Garamond"/>
        </w:rPr>
        <w:t xml:space="preserve">An </w:t>
      </w:r>
      <w:r w:rsidRPr="00381F61">
        <w:rPr>
          <w:rFonts w:ascii="Garamond" w:hAnsi="Garamond"/>
          <w:i/>
        </w:rPr>
        <w:t xml:space="preserve">Annual Report 2012 </w:t>
      </w:r>
      <w:r w:rsidR="0078276E" w:rsidRPr="00381F61">
        <w:rPr>
          <w:rFonts w:ascii="Garamond" w:hAnsi="Garamond"/>
          <w:i/>
        </w:rPr>
        <w:t xml:space="preserve">- </w:t>
      </w:r>
      <w:r w:rsidRPr="00381F61">
        <w:rPr>
          <w:rFonts w:ascii="Garamond" w:hAnsi="Garamond"/>
          <w:i/>
        </w:rPr>
        <w:t>National Strategy for Financial Literacy</w:t>
      </w:r>
      <w:r w:rsidRPr="00381F61">
        <w:rPr>
          <w:rFonts w:ascii="Garamond" w:hAnsi="Garamond"/>
        </w:rPr>
        <w:t xml:space="preserve"> (accessible </w:t>
      </w:r>
      <w:hyperlink r:id="rId84" w:history="1">
        <w:r w:rsidRPr="00381F61">
          <w:rPr>
            <w:rStyle w:val="Hyperlink"/>
            <w:rFonts w:ascii="Garamond" w:hAnsi="Garamond"/>
          </w:rPr>
          <w:t>here</w:t>
        </w:r>
      </w:hyperlink>
      <w:r w:rsidRPr="00381F61">
        <w:rPr>
          <w:rFonts w:ascii="Garamond" w:hAnsi="Garamond"/>
        </w:rPr>
        <w:t>)</w:t>
      </w:r>
      <w:r w:rsidR="00A47250" w:rsidRPr="00381F61">
        <w:rPr>
          <w:rFonts w:ascii="Garamond" w:hAnsi="Garamond"/>
        </w:rPr>
        <w:t xml:space="preserve"> seems to be the first and only such report since New Zealand’s ‘National Strategy for Financial Literacy’ was launched in 2008.</w:t>
      </w:r>
      <w:r w:rsidR="00816508" w:rsidRPr="00381F61">
        <w:rPr>
          <w:rFonts w:ascii="Garamond" w:hAnsi="Garamond"/>
        </w:rPr>
        <w:t xml:space="preserve">   There were passing references to “raising financial capability” in the formal report of the Retirement Commissioner’s 2016 Review (accessible </w:t>
      </w:r>
      <w:hyperlink r:id="rId85" w:history="1">
        <w:r w:rsidR="00816508" w:rsidRPr="00381F61">
          <w:rPr>
            <w:rStyle w:val="Hyperlink"/>
            <w:rFonts w:ascii="Garamond" w:hAnsi="Garamond"/>
          </w:rPr>
          <w:t>here</w:t>
        </w:r>
      </w:hyperlink>
      <w:r w:rsidR="00816508" w:rsidRPr="00381F61">
        <w:rPr>
          <w:rFonts w:ascii="Garamond" w:hAnsi="Garamond"/>
        </w:rPr>
        <w:t xml:space="preserve">) but seemingly no recent, substantial </w:t>
      </w:r>
      <w:r w:rsidR="00C641BD" w:rsidRPr="00381F61">
        <w:rPr>
          <w:rFonts w:ascii="Garamond" w:hAnsi="Garamond"/>
        </w:rPr>
        <w:t xml:space="preserve">data that establish whether </w:t>
      </w:r>
      <w:r w:rsidR="00816508" w:rsidRPr="00381F61">
        <w:rPr>
          <w:rFonts w:ascii="Garamond" w:hAnsi="Garamond"/>
        </w:rPr>
        <w:t>the National Strategy</w:t>
      </w:r>
      <w:r w:rsidR="00C641BD" w:rsidRPr="00381F61">
        <w:rPr>
          <w:rFonts w:ascii="Garamond" w:hAnsi="Garamond"/>
        </w:rPr>
        <w:t xml:space="preserve"> has changed the way New Zealanders as a whole do things</w:t>
      </w:r>
      <w:r w:rsidR="00816508" w:rsidRPr="00381F61">
        <w:rPr>
          <w:rFonts w:ascii="Garamond" w:hAnsi="Garamond"/>
        </w:rPr>
        <w:t>.</w:t>
      </w:r>
    </w:p>
    <w:p w14:paraId="3E39153B" w14:textId="77777777" w:rsidR="0078170D" w:rsidRPr="00381F61" w:rsidRDefault="0078170D" w:rsidP="00E71CEB">
      <w:pPr>
        <w:jc w:val="both"/>
        <w:rPr>
          <w:rFonts w:ascii="Garamond" w:hAnsi="Garamond"/>
        </w:rPr>
      </w:pPr>
    </w:p>
    <w:p w14:paraId="3C314AFA" w14:textId="4321510C" w:rsidR="006F72B7" w:rsidRPr="00381F61" w:rsidRDefault="006F72B7" w:rsidP="00E71CEB">
      <w:pPr>
        <w:jc w:val="both"/>
        <w:rPr>
          <w:rFonts w:ascii="Garamond" w:hAnsi="Garamond"/>
          <w:b/>
        </w:rPr>
      </w:pPr>
      <w:r w:rsidRPr="00381F61">
        <w:rPr>
          <w:rFonts w:ascii="Garamond" w:hAnsi="Garamond"/>
          <w:b/>
        </w:rPr>
        <w:t xml:space="preserve">The </w:t>
      </w:r>
      <w:r w:rsidRPr="00381F61">
        <w:rPr>
          <w:rFonts w:ascii="Garamond" w:hAnsi="Garamond"/>
          <w:b/>
          <w:i/>
        </w:rPr>
        <w:t>Sorted</w:t>
      </w:r>
      <w:r w:rsidRPr="00381F61">
        <w:rPr>
          <w:rFonts w:ascii="Garamond" w:hAnsi="Garamond"/>
          <w:b/>
        </w:rPr>
        <w:t xml:space="preserve"> web site</w:t>
      </w:r>
    </w:p>
    <w:p w14:paraId="54D67A5E" w14:textId="63A5852F" w:rsidR="006F72B7" w:rsidRPr="00381F61" w:rsidRDefault="006F72B7" w:rsidP="00E71CEB">
      <w:pPr>
        <w:jc w:val="both"/>
        <w:rPr>
          <w:rFonts w:ascii="Garamond" w:hAnsi="Garamond"/>
        </w:rPr>
      </w:pPr>
      <w:r w:rsidRPr="00381F61">
        <w:rPr>
          <w:rFonts w:ascii="Garamond" w:hAnsi="Garamond"/>
        </w:rPr>
        <w:t xml:space="preserve">One of the Commission for Financial Capabilities (CFFC’s) major initiatives since it started more than 20 years ago has been the web site at </w:t>
      </w:r>
      <w:hyperlink r:id="rId86" w:history="1">
        <w:r w:rsidRPr="00381F61">
          <w:rPr>
            <w:rStyle w:val="Hyperlink"/>
            <w:rFonts w:ascii="Garamond" w:hAnsi="Garamond"/>
          </w:rPr>
          <w:t>www.Sorted.org.nz</w:t>
        </w:r>
      </w:hyperlink>
      <w:r w:rsidRPr="00381F61">
        <w:rPr>
          <w:rFonts w:ascii="Garamond" w:hAnsi="Garamond"/>
        </w:rPr>
        <w:t>.</w:t>
      </w:r>
      <w:r w:rsidR="00AE3FD0" w:rsidRPr="00381F61">
        <w:rPr>
          <w:rFonts w:ascii="Garamond" w:hAnsi="Garamond"/>
        </w:rPr>
        <w:t xml:space="preserve">  It offers a number of calculating tools that are used online; also</w:t>
      </w:r>
      <w:r w:rsidR="00361D4F" w:rsidRPr="00381F61">
        <w:rPr>
          <w:rFonts w:ascii="Garamond" w:hAnsi="Garamond"/>
        </w:rPr>
        <w:t>,</w:t>
      </w:r>
      <w:r w:rsidR="00AE3FD0" w:rsidRPr="00381F61">
        <w:rPr>
          <w:rFonts w:ascii="Garamond" w:hAnsi="Garamond"/>
        </w:rPr>
        <w:t xml:space="preserve"> guides on issues like planning, budgeting, managing debt, home buying, ‘protecting’ wealth, KiwiSaver and investing.</w:t>
      </w:r>
    </w:p>
    <w:p w14:paraId="62BE9280" w14:textId="77777777" w:rsidR="00CD42A8" w:rsidRPr="00381F61" w:rsidRDefault="00CD42A8" w:rsidP="00E71CEB">
      <w:pPr>
        <w:jc w:val="both"/>
        <w:rPr>
          <w:rFonts w:ascii="Garamond" w:hAnsi="Garamond"/>
        </w:rPr>
      </w:pPr>
    </w:p>
    <w:p w14:paraId="2E34C3F7" w14:textId="39D21490" w:rsidR="00CD42A8" w:rsidRPr="00381F61" w:rsidRDefault="00827DEE" w:rsidP="00E71CEB">
      <w:pPr>
        <w:jc w:val="both"/>
        <w:rPr>
          <w:rFonts w:ascii="Garamond" w:hAnsi="Garamond"/>
        </w:rPr>
      </w:pPr>
      <w:r w:rsidRPr="00381F61">
        <w:rPr>
          <w:rFonts w:ascii="Garamond" w:hAnsi="Garamond"/>
        </w:rPr>
        <w:t>The 2016 Review</w:t>
      </w:r>
      <w:r w:rsidRPr="00381F61">
        <w:rPr>
          <w:rFonts w:ascii="Garamond" w:hAnsi="Garamond"/>
          <w:i/>
        </w:rPr>
        <w:t xml:space="preserve"> </w:t>
      </w:r>
      <w:r w:rsidRPr="00381F61">
        <w:rPr>
          <w:rFonts w:ascii="Garamond" w:hAnsi="Garamond"/>
        </w:rPr>
        <w:t xml:space="preserve">(accessible </w:t>
      </w:r>
      <w:hyperlink r:id="rId87" w:history="1">
        <w:r w:rsidRPr="00381F61">
          <w:rPr>
            <w:rStyle w:val="Hyperlink"/>
            <w:rFonts w:ascii="Garamond" w:hAnsi="Garamond"/>
          </w:rPr>
          <w:t>here</w:t>
        </w:r>
      </w:hyperlink>
      <w:r w:rsidRPr="00381F61">
        <w:rPr>
          <w:rFonts w:ascii="Garamond" w:hAnsi="Garamond"/>
        </w:rPr>
        <w:t xml:space="preserve">) made no reference </w:t>
      </w:r>
      <w:r w:rsidR="00F213D0" w:rsidRPr="00381F61">
        <w:rPr>
          <w:rFonts w:ascii="Garamond" w:hAnsi="Garamond"/>
        </w:rPr>
        <w:t xml:space="preserve">to </w:t>
      </w:r>
      <w:r w:rsidR="00F213D0" w:rsidRPr="00381F61">
        <w:rPr>
          <w:rFonts w:ascii="Garamond" w:hAnsi="Garamond"/>
          <w:i/>
        </w:rPr>
        <w:t>Sorted</w:t>
      </w:r>
      <w:r w:rsidR="00F213D0" w:rsidRPr="00381F61">
        <w:rPr>
          <w:rFonts w:ascii="Garamond" w:hAnsi="Garamond"/>
        </w:rPr>
        <w:t xml:space="preserve"> (other than a passing reference to a calculation done using a </w:t>
      </w:r>
      <w:r w:rsidR="00F213D0" w:rsidRPr="00381F61">
        <w:rPr>
          <w:rFonts w:ascii="Garamond" w:hAnsi="Garamond"/>
          <w:i/>
        </w:rPr>
        <w:t xml:space="preserve">Sorted </w:t>
      </w:r>
      <w:r w:rsidR="00F213D0" w:rsidRPr="00381F61">
        <w:rPr>
          <w:rFonts w:ascii="Garamond" w:hAnsi="Garamond"/>
        </w:rPr>
        <w:t xml:space="preserve">calculator).  </w:t>
      </w:r>
      <w:r w:rsidR="006D33B7" w:rsidRPr="00381F61">
        <w:rPr>
          <w:rFonts w:ascii="Garamond" w:hAnsi="Garamond"/>
        </w:rPr>
        <w:t>The</w:t>
      </w:r>
      <w:r w:rsidR="006D33B7" w:rsidRPr="00381F61">
        <w:rPr>
          <w:rFonts w:ascii="Garamond" w:hAnsi="Garamond"/>
          <w:i/>
        </w:rPr>
        <w:t xml:space="preserve"> 2013 Review of Retirement Income Policies</w:t>
      </w:r>
      <w:r w:rsidR="006D33B7" w:rsidRPr="00381F61">
        <w:rPr>
          <w:rStyle w:val="FootnoteReference"/>
          <w:rFonts w:ascii="Garamond" w:hAnsi="Garamond"/>
          <w:i/>
        </w:rPr>
        <w:footnoteReference w:id="263"/>
      </w:r>
      <w:r w:rsidR="006D33B7" w:rsidRPr="00381F61">
        <w:rPr>
          <w:rFonts w:ascii="Garamond" w:hAnsi="Garamond"/>
        </w:rPr>
        <w:t xml:space="preserve">made a total of nine references to </w:t>
      </w:r>
      <w:r w:rsidR="006D33B7" w:rsidRPr="00381F61">
        <w:rPr>
          <w:rFonts w:ascii="Garamond" w:hAnsi="Garamond"/>
          <w:i/>
        </w:rPr>
        <w:t xml:space="preserve">Sorted </w:t>
      </w:r>
      <w:r w:rsidR="006D33B7" w:rsidRPr="00381F61">
        <w:rPr>
          <w:rFonts w:ascii="Garamond" w:hAnsi="Garamond"/>
        </w:rPr>
        <w:t xml:space="preserve">but those were confined to what </w:t>
      </w:r>
      <w:r w:rsidR="006D33B7" w:rsidRPr="00381F61">
        <w:rPr>
          <w:rFonts w:ascii="Garamond" w:hAnsi="Garamond"/>
          <w:i/>
        </w:rPr>
        <w:t xml:space="preserve">Sorted </w:t>
      </w:r>
      <w:r w:rsidR="006D33B7" w:rsidRPr="00381F61">
        <w:rPr>
          <w:rFonts w:ascii="Garamond" w:hAnsi="Garamond"/>
        </w:rPr>
        <w:t>does and not whether it works</w:t>
      </w:r>
      <w:r w:rsidR="007B442B" w:rsidRPr="00381F61">
        <w:rPr>
          <w:rFonts w:ascii="Garamond" w:hAnsi="Garamond"/>
        </w:rPr>
        <w:t xml:space="preserve"> or whether it might be improved</w:t>
      </w:r>
      <w:r w:rsidR="006D33B7" w:rsidRPr="00381F61">
        <w:rPr>
          <w:rFonts w:ascii="Garamond" w:hAnsi="Garamond"/>
        </w:rPr>
        <w:t>.</w:t>
      </w:r>
    </w:p>
    <w:p w14:paraId="28F675C3" w14:textId="77777777" w:rsidR="002931EA" w:rsidRPr="00381F61" w:rsidRDefault="002931EA" w:rsidP="00E71CEB">
      <w:pPr>
        <w:jc w:val="both"/>
        <w:rPr>
          <w:rFonts w:ascii="Garamond" w:hAnsi="Garamond"/>
        </w:rPr>
      </w:pPr>
    </w:p>
    <w:p w14:paraId="060AEF86" w14:textId="68B1BCD4" w:rsidR="002931EA" w:rsidRPr="00381F61" w:rsidRDefault="005569E3" w:rsidP="00E71CEB">
      <w:pPr>
        <w:jc w:val="both"/>
        <w:rPr>
          <w:rFonts w:ascii="Garamond" w:hAnsi="Garamond"/>
        </w:rPr>
      </w:pPr>
      <w:r w:rsidRPr="00381F61">
        <w:rPr>
          <w:rFonts w:ascii="Garamond" w:hAnsi="Garamond"/>
        </w:rPr>
        <w:t>The calculators take what we think is an un</w:t>
      </w:r>
      <w:r w:rsidR="002931EA" w:rsidRPr="00381F61">
        <w:rPr>
          <w:rFonts w:ascii="Garamond" w:hAnsi="Garamond"/>
        </w:rPr>
        <w:t>necessarily simple view of a user’</w:t>
      </w:r>
      <w:r w:rsidRPr="00381F61">
        <w:rPr>
          <w:rFonts w:ascii="Garamond" w:hAnsi="Garamond"/>
        </w:rPr>
        <w:t>s financial life.  T</w:t>
      </w:r>
      <w:r w:rsidR="002931EA" w:rsidRPr="00381F61">
        <w:rPr>
          <w:rFonts w:ascii="Garamond" w:hAnsi="Garamond"/>
        </w:rPr>
        <w:t xml:space="preserve">he retirement saving calculator, for us, requires too much information before </w:t>
      </w:r>
      <w:r w:rsidR="004D74C0" w:rsidRPr="00381F61">
        <w:rPr>
          <w:rFonts w:ascii="Garamond" w:hAnsi="Garamond"/>
        </w:rPr>
        <w:t xml:space="preserve">any </w:t>
      </w:r>
      <w:r w:rsidR="002931EA" w:rsidRPr="00381F61">
        <w:rPr>
          <w:rFonts w:ascii="Garamond" w:hAnsi="Garamond"/>
        </w:rPr>
        <w:t>useful material starts emerging.</w:t>
      </w:r>
      <w:r w:rsidR="00E55389" w:rsidRPr="00381F61">
        <w:rPr>
          <w:rFonts w:ascii="Garamond" w:hAnsi="Garamond"/>
        </w:rPr>
        <w:t xml:space="preserve">  It also takes account of only some </w:t>
      </w:r>
      <w:r w:rsidR="00361D4F" w:rsidRPr="00381F61">
        <w:rPr>
          <w:rFonts w:ascii="Garamond" w:hAnsi="Garamond"/>
        </w:rPr>
        <w:t>issues.</w:t>
      </w:r>
    </w:p>
    <w:p w14:paraId="1722E5C1" w14:textId="77777777" w:rsidR="006D33B7" w:rsidRPr="00381F61" w:rsidRDefault="006D33B7" w:rsidP="00E71CEB">
      <w:pPr>
        <w:jc w:val="both"/>
        <w:rPr>
          <w:rFonts w:ascii="Garamond" w:hAnsi="Garamond"/>
        </w:rPr>
      </w:pPr>
    </w:p>
    <w:p w14:paraId="1B91BF45" w14:textId="5462BB5D" w:rsidR="006D33B7" w:rsidRPr="00381F61" w:rsidRDefault="006D33B7" w:rsidP="00E71CEB">
      <w:pPr>
        <w:jc w:val="both"/>
        <w:rPr>
          <w:rFonts w:ascii="Garamond" w:hAnsi="Garamond"/>
        </w:rPr>
      </w:pPr>
      <w:r w:rsidRPr="00381F61">
        <w:rPr>
          <w:rFonts w:ascii="Garamond" w:hAnsi="Garamond"/>
        </w:rPr>
        <w:t xml:space="preserve">We support the idea of </w:t>
      </w:r>
      <w:r w:rsidRPr="00381F61">
        <w:rPr>
          <w:rFonts w:ascii="Garamond" w:hAnsi="Garamond"/>
          <w:i/>
        </w:rPr>
        <w:t xml:space="preserve">Sorted </w:t>
      </w:r>
      <w:r w:rsidRPr="00381F61">
        <w:rPr>
          <w:rFonts w:ascii="Garamond" w:hAnsi="Garamond"/>
        </w:rPr>
        <w:t>but suggest that New Zealand needs to unders</w:t>
      </w:r>
      <w:r w:rsidR="00361D4F" w:rsidRPr="00381F61">
        <w:rPr>
          <w:rFonts w:ascii="Garamond" w:hAnsi="Garamond"/>
        </w:rPr>
        <w:t xml:space="preserve">tand whether the costs </w:t>
      </w:r>
      <w:r w:rsidRPr="00381F61">
        <w:rPr>
          <w:rFonts w:ascii="Garamond" w:hAnsi="Garamond"/>
        </w:rPr>
        <w:t xml:space="preserve">of keeping the web site up to date </w:t>
      </w:r>
      <w:r w:rsidR="00AE3FD0" w:rsidRPr="00381F61">
        <w:rPr>
          <w:rFonts w:ascii="Garamond" w:hAnsi="Garamond"/>
        </w:rPr>
        <w:t>can be justified.</w:t>
      </w:r>
      <w:r w:rsidR="00361D4F" w:rsidRPr="00381F61">
        <w:rPr>
          <w:rFonts w:ascii="Garamond" w:hAnsi="Garamond"/>
        </w:rPr>
        <w:t xml:space="preserve">  We think that such a review should have been part of </w:t>
      </w:r>
      <w:r w:rsidR="004D74C0" w:rsidRPr="00381F61">
        <w:rPr>
          <w:rFonts w:ascii="Garamond" w:hAnsi="Garamond"/>
        </w:rPr>
        <w:t xml:space="preserve">both </w:t>
      </w:r>
      <w:r w:rsidR="00361D4F" w:rsidRPr="00381F61">
        <w:rPr>
          <w:rFonts w:ascii="Garamond" w:hAnsi="Garamond"/>
        </w:rPr>
        <w:t xml:space="preserve">the 2013 and 2016 </w:t>
      </w:r>
      <w:r w:rsidR="00361D4F" w:rsidRPr="00381F61">
        <w:rPr>
          <w:rFonts w:ascii="Garamond" w:hAnsi="Garamond"/>
          <w:i/>
        </w:rPr>
        <w:t>Reviews</w:t>
      </w:r>
      <w:r w:rsidR="00361D4F" w:rsidRPr="00381F61">
        <w:rPr>
          <w:rFonts w:ascii="Garamond" w:hAnsi="Garamond"/>
        </w:rPr>
        <w:t>.</w:t>
      </w:r>
    </w:p>
    <w:p w14:paraId="5C9719B7" w14:textId="77777777" w:rsidR="002D0CF6" w:rsidRPr="00381F61" w:rsidRDefault="002D0CF6" w:rsidP="002D0CF6">
      <w:pPr>
        <w:jc w:val="both"/>
        <w:rPr>
          <w:rFonts w:ascii="Garamond" w:hAnsi="Garamond"/>
          <w:b/>
        </w:rPr>
      </w:pPr>
    </w:p>
    <w:p w14:paraId="45540A9C" w14:textId="58F2258B" w:rsidR="002D0CF6" w:rsidRPr="00381F61" w:rsidRDefault="002D0CF6" w:rsidP="002D0CF6">
      <w:pPr>
        <w:jc w:val="both"/>
        <w:rPr>
          <w:rFonts w:ascii="Garamond" w:hAnsi="Garamond"/>
        </w:rPr>
      </w:pPr>
      <w:r w:rsidRPr="00381F61">
        <w:rPr>
          <w:rFonts w:ascii="Garamond" w:hAnsi="Garamond"/>
          <w:b/>
        </w:rPr>
        <w:t>Terms of reference for 2019 Review</w:t>
      </w:r>
    </w:p>
    <w:p w14:paraId="4427EA86" w14:textId="77777777" w:rsidR="002D0CF6" w:rsidRPr="00381F61" w:rsidRDefault="002D0CF6" w:rsidP="002D0CF6">
      <w:pPr>
        <w:jc w:val="both"/>
        <w:rPr>
          <w:rFonts w:ascii="Garamond" w:hAnsi="Garamond"/>
        </w:rPr>
      </w:pPr>
    </w:p>
    <w:p w14:paraId="2F741A24" w14:textId="7AADB3BC" w:rsidR="006F72B7" w:rsidRPr="00381F61" w:rsidRDefault="002D0CF6" w:rsidP="00E71CEB">
      <w:pPr>
        <w:jc w:val="both"/>
        <w:rPr>
          <w:rFonts w:ascii="Garamond" w:hAnsi="Garamond"/>
        </w:rPr>
      </w:pPr>
      <w:r w:rsidRPr="00381F61">
        <w:rPr>
          <w:rFonts w:ascii="Garamond" w:hAnsi="Garamond"/>
        </w:rPr>
        <w:t>We were surprised that the Terms of Reference for the Retirement Commissioner’s 2019 Review asked for no information or assessment of the work done to date by the CFCC on financial literacy or the financial competence of New Zealanders, given that most of the CFFC’s public profile focusses on these initiatives.  The only, potentially passing reference might be in paragraph 1 that asks for:</w:t>
      </w:r>
    </w:p>
    <w:p w14:paraId="74D51BE5" w14:textId="77777777" w:rsidR="002D0CF6" w:rsidRPr="00381F61" w:rsidRDefault="002D0CF6" w:rsidP="00E71CEB">
      <w:pPr>
        <w:jc w:val="both"/>
        <w:rPr>
          <w:rFonts w:ascii="Garamond" w:hAnsi="Garamond"/>
          <w:sz w:val="8"/>
          <w:szCs w:val="8"/>
        </w:rPr>
      </w:pPr>
    </w:p>
    <w:p w14:paraId="2A7236D1" w14:textId="122F6D1A" w:rsidR="002D0CF6" w:rsidRPr="00381F61" w:rsidRDefault="002D0CF6" w:rsidP="00701CA1">
      <w:pPr>
        <w:pStyle w:val="ListParagraph"/>
        <w:widowControl w:val="0"/>
        <w:tabs>
          <w:tab w:val="left" w:pos="1187"/>
        </w:tabs>
        <w:autoSpaceDE w:val="0"/>
        <w:autoSpaceDN w:val="0"/>
        <w:ind w:left="284" w:right="411"/>
        <w:contextualSpacing w:val="0"/>
        <w:jc w:val="both"/>
        <w:rPr>
          <w:rFonts w:ascii="Garamond" w:hAnsi="Garamond"/>
          <w:color w:val="1A1A1A"/>
          <w:sz w:val="22"/>
          <w:szCs w:val="22"/>
        </w:rPr>
      </w:pPr>
      <w:r w:rsidRPr="00381F61">
        <w:rPr>
          <w:rFonts w:ascii="Garamond" w:hAnsi="Garamond"/>
        </w:rPr>
        <w:t>“</w:t>
      </w:r>
      <w:r w:rsidRPr="00381F61">
        <w:rPr>
          <w:rFonts w:ascii="Garamond" w:hAnsi="Garamond"/>
          <w:color w:val="1A1A1A"/>
          <w:sz w:val="22"/>
          <w:szCs w:val="22"/>
        </w:rPr>
        <w:t>An assessment of the effectiveness of current retirement policies for</w:t>
      </w:r>
      <w:r w:rsidRPr="00381F61">
        <w:rPr>
          <w:rFonts w:ascii="Garamond" w:hAnsi="Garamond"/>
          <w:color w:val="1A1A1A"/>
          <w:spacing w:val="-44"/>
          <w:sz w:val="22"/>
          <w:szCs w:val="22"/>
        </w:rPr>
        <w:t xml:space="preserve">   </w:t>
      </w:r>
      <w:r w:rsidRPr="00381F61">
        <w:rPr>
          <w:rFonts w:ascii="Garamond" w:hAnsi="Garamond"/>
          <w:color w:val="1A1A1A"/>
          <w:sz w:val="22"/>
          <w:szCs w:val="22"/>
        </w:rPr>
        <w:t>financially vulnerable and low-income groups, and recommendations for any policies that could improve their retirement</w:t>
      </w:r>
      <w:r w:rsidRPr="00381F61">
        <w:rPr>
          <w:rFonts w:ascii="Garamond" w:hAnsi="Garamond"/>
          <w:color w:val="1A1A1A"/>
          <w:spacing w:val="44"/>
          <w:sz w:val="22"/>
          <w:szCs w:val="22"/>
        </w:rPr>
        <w:t xml:space="preserve"> </w:t>
      </w:r>
      <w:r w:rsidRPr="00381F61">
        <w:rPr>
          <w:rFonts w:ascii="Garamond" w:hAnsi="Garamond"/>
          <w:color w:val="1A1A1A"/>
          <w:sz w:val="22"/>
          <w:szCs w:val="22"/>
        </w:rPr>
        <w:t>outcomes.”</w:t>
      </w:r>
    </w:p>
    <w:p w14:paraId="06FB86F5" w14:textId="407942DB" w:rsidR="002D0CF6" w:rsidRPr="00381F61" w:rsidRDefault="002D0CF6" w:rsidP="00E71CEB">
      <w:pPr>
        <w:jc w:val="both"/>
        <w:rPr>
          <w:rFonts w:ascii="Garamond" w:hAnsi="Garamond"/>
        </w:rPr>
      </w:pPr>
    </w:p>
    <w:p w14:paraId="07069F2F" w14:textId="112B6443" w:rsidR="002D0CF6" w:rsidRPr="00381F61" w:rsidRDefault="002D0CF6" w:rsidP="00E71CEB">
      <w:pPr>
        <w:jc w:val="both"/>
        <w:rPr>
          <w:rFonts w:ascii="Garamond" w:hAnsi="Garamond"/>
        </w:rPr>
      </w:pPr>
      <w:r w:rsidRPr="00381F61">
        <w:rPr>
          <w:rFonts w:ascii="Garamond" w:hAnsi="Garamond"/>
        </w:rPr>
        <w:t xml:space="preserve">The 2019 Review will be deficient if it does </w:t>
      </w:r>
      <w:r w:rsidR="00E03AB0" w:rsidRPr="00381F61">
        <w:rPr>
          <w:rFonts w:ascii="Garamond" w:hAnsi="Garamond"/>
        </w:rPr>
        <w:t xml:space="preserve">not look at this </w:t>
      </w:r>
      <w:r w:rsidR="00490266" w:rsidRPr="00381F61">
        <w:rPr>
          <w:rFonts w:ascii="Garamond" w:hAnsi="Garamond"/>
        </w:rPr>
        <w:t xml:space="preserve">important </w:t>
      </w:r>
      <w:r w:rsidR="00E03AB0" w:rsidRPr="00381F61">
        <w:rPr>
          <w:rFonts w:ascii="Garamond" w:hAnsi="Garamond"/>
        </w:rPr>
        <w:t>issue.  Here are the questions that it should address.</w:t>
      </w:r>
    </w:p>
    <w:p w14:paraId="141B9FD6" w14:textId="77777777" w:rsidR="006F72B7" w:rsidRPr="00381F61" w:rsidRDefault="006F72B7" w:rsidP="00E71CEB">
      <w:pPr>
        <w:jc w:val="both"/>
        <w:rPr>
          <w:rFonts w:ascii="Garamond" w:hAnsi="Garamond"/>
        </w:rPr>
      </w:pPr>
    </w:p>
    <w:p w14:paraId="695F6336" w14:textId="0B468E3D" w:rsidR="00ED71CF" w:rsidRPr="00381F61" w:rsidRDefault="00ED71CF" w:rsidP="00E71CEB">
      <w:pPr>
        <w:jc w:val="both"/>
        <w:rPr>
          <w:rFonts w:ascii="Garamond" w:hAnsi="Garamond"/>
          <w:b/>
        </w:rPr>
      </w:pPr>
      <w:r w:rsidRPr="00381F61">
        <w:rPr>
          <w:rFonts w:ascii="Garamond" w:hAnsi="Garamond"/>
          <w:b/>
        </w:rPr>
        <w:t>Questions New Zealand</w:t>
      </w:r>
      <w:r w:rsidR="00CC0BC7" w:rsidRPr="00381F61">
        <w:rPr>
          <w:rFonts w:ascii="Garamond" w:hAnsi="Garamond"/>
          <w:b/>
        </w:rPr>
        <w:t xml:space="preserve"> needs</w:t>
      </w:r>
      <w:r w:rsidRPr="00381F61">
        <w:rPr>
          <w:rFonts w:ascii="Garamond" w:hAnsi="Garamond"/>
          <w:b/>
        </w:rPr>
        <w:t xml:space="preserve"> to discuss</w:t>
      </w:r>
      <w:r w:rsidR="00CC0BC7" w:rsidRPr="00381F61">
        <w:rPr>
          <w:rFonts w:ascii="Garamond" w:hAnsi="Garamond"/>
          <w:b/>
        </w:rPr>
        <w:t xml:space="preserve"> on information and education</w:t>
      </w:r>
      <w:r w:rsidRPr="00381F61">
        <w:rPr>
          <w:rFonts w:ascii="Garamond" w:hAnsi="Garamond"/>
          <w:b/>
        </w:rPr>
        <w:t>:</w:t>
      </w:r>
    </w:p>
    <w:p w14:paraId="0B6DFC3E" w14:textId="77777777" w:rsidR="00ED71CF" w:rsidRPr="00381F61" w:rsidRDefault="00ED71CF" w:rsidP="00E71CEB">
      <w:pPr>
        <w:jc w:val="both"/>
        <w:rPr>
          <w:rFonts w:ascii="Garamond" w:hAnsi="Garamond"/>
          <w:b/>
        </w:rPr>
      </w:pPr>
    </w:p>
    <w:p w14:paraId="64A6A4DF" w14:textId="7E7F22E1" w:rsidR="00ED71CF" w:rsidRPr="00381F61" w:rsidRDefault="00ED71CF" w:rsidP="00E71CEB">
      <w:pPr>
        <w:pStyle w:val="ListParagraph"/>
        <w:numPr>
          <w:ilvl w:val="0"/>
          <w:numId w:val="37"/>
        </w:numPr>
        <w:ind w:left="709" w:hanging="349"/>
        <w:jc w:val="both"/>
        <w:rPr>
          <w:rFonts w:ascii="Garamond" w:hAnsi="Garamond"/>
        </w:rPr>
      </w:pPr>
      <w:r w:rsidRPr="00381F61">
        <w:rPr>
          <w:rFonts w:ascii="Garamond" w:hAnsi="Garamond"/>
        </w:rPr>
        <w:t>What is the employer’s role in helping employees to understand what to do about retirement saving and other financial preparation for retirement (reducing debt, re-training, new skills etc.)?</w:t>
      </w:r>
    </w:p>
    <w:p w14:paraId="3A5A2195" w14:textId="77777777" w:rsidR="0024763D" w:rsidRPr="00381F61" w:rsidRDefault="0024763D" w:rsidP="0024763D">
      <w:pPr>
        <w:pStyle w:val="ListParagraph"/>
        <w:ind w:left="709"/>
        <w:jc w:val="both"/>
        <w:rPr>
          <w:rFonts w:ascii="Garamond" w:hAnsi="Garamond"/>
        </w:rPr>
      </w:pPr>
    </w:p>
    <w:p w14:paraId="593BF6EB" w14:textId="4C3AA22F" w:rsidR="0024763D" w:rsidRPr="00381F61" w:rsidRDefault="0024763D" w:rsidP="00E71CEB">
      <w:pPr>
        <w:pStyle w:val="ListParagraph"/>
        <w:numPr>
          <w:ilvl w:val="0"/>
          <w:numId w:val="37"/>
        </w:numPr>
        <w:ind w:left="709" w:hanging="349"/>
        <w:jc w:val="both"/>
        <w:rPr>
          <w:rFonts w:ascii="Garamond" w:hAnsi="Garamond"/>
        </w:rPr>
      </w:pPr>
      <w:r w:rsidRPr="00381F61">
        <w:rPr>
          <w:rFonts w:ascii="Garamond" w:hAnsi="Garamond"/>
        </w:rPr>
        <w:t xml:space="preserve">What is the education system’s role in improving </w:t>
      </w:r>
      <w:r w:rsidR="00B85F99" w:rsidRPr="00381F61">
        <w:rPr>
          <w:rFonts w:ascii="Garamond" w:hAnsi="Garamond"/>
        </w:rPr>
        <w:t xml:space="preserve">mathematical competence and </w:t>
      </w:r>
      <w:r w:rsidRPr="00381F61">
        <w:rPr>
          <w:rFonts w:ascii="Garamond" w:hAnsi="Garamond"/>
        </w:rPr>
        <w:t>financial literacy?</w:t>
      </w:r>
      <w:r w:rsidR="00BB72C5" w:rsidRPr="00381F61">
        <w:rPr>
          <w:rFonts w:ascii="Garamond" w:hAnsi="Garamond"/>
        </w:rPr>
        <w:t xml:space="preserve">  We should start with teachers themselves as a discrete project.</w:t>
      </w:r>
    </w:p>
    <w:p w14:paraId="105E2BAC" w14:textId="77777777" w:rsidR="00D11CC6" w:rsidRPr="00381F61" w:rsidRDefault="00D11CC6" w:rsidP="003E03E0">
      <w:pPr>
        <w:pStyle w:val="ListParagraph"/>
        <w:ind w:left="709"/>
        <w:jc w:val="both"/>
        <w:rPr>
          <w:rFonts w:ascii="Garamond" w:hAnsi="Garamond"/>
        </w:rPr>
      </w:pPr>
    </w:p>
    <w:p w14:paraId="0FF76C96" w14:textId="6C99DA3E" w:rsidR="00D11CC6" w:rsidRPr="00381F61" w:rsidRDefault="00D11CC6" w:rsidP="00E71CEB">
      <w:pPr>
        <w:pStyle w:val="ListParagraph"/>
        <w:numPr>
          <w:ilvl w:val="0"/>
          <w:numId w:val="37"/>
        </w:numPr>
        <w:ind w:left="709" w:hanging="349"/>
        <w:jc w:val="both"/>
        <w:rPr>
          <w:rFonts w:ascii="Garamond" w:hAnsi="Garamond"/>
        </w:rPr>
      </w:pPr>
      <w:r w:rsidRPr="00381F61">
        <w:rPr>
          <w:rFonts w:ascii="Garamond" w:hAnsi="Garamond"/>
        </w:rPr>
        <w:t>What has happened to the ‘National Strategy for Financial Literacy?  Where is the evidence that it is achieving the objectives established in 2008?</w:t>
      </w:r>
      <w:r w:rsidR="00253751" w:rsidRPr="00381F61">
        <w:rPr>
          <w:rFonts w:ascii="Garamond" w:hAnsi="Garamond"/>
        </w:rPr>
        <w:t xml:space="preserve">  Why haven’t more ‘annual’ reports been published?</w:t>
      </w:r>
    </w:p>
    <w:p w14:paraId="35E40A4C" w14:textId="77777777" w:rsidR="00CC6CDF" w:rsidRPr="00381F61" w:rsidRDefault="00CC6CDF" w:rsidP="003E03E0">
      <w:pPr>
        <w:ind w:left="709"/>
        <w:jc w:val="both"/>
        <w:rPr>
          <w:rFonts w:ascii="Garamond" w:hAnsi="Garamond"/>
        </w:rPr>
      </w:pPr>
    </w:p>
    <w:p w14:paraId="0A83AF83" w14:textId="4B6BA377" w:rsidR="00D11CC6" w:rsidRPr="00381F61" w:rsidRDefault="00D11CC6" w:rsidP="00E71CEB">
      <w:pPr>
        <w:pStyle w:val="ListParagraph"/>
        <w:numPr>
          <w:ilvl w:val="0"/>
          <w:numId w:val="37"/>
        </w:numPr>
        <w:ind w:left="709" w:hanging="349"/>
        <w:jc w:val="both"/>
        <w:rPr>
          <w:rFonts w:ascii="Garamond" w:hAnsi="Garamond"/>
        </w:rPr>
      </w:pPr>
      <w:r w:rsidRPr="00381F61">
        <w:rPr>
          <w:rFonts w:ascii="Garamond" w:hAnsi="Garamond"/>
        </w:rPr>
        <w:t xml:space="preserve">Why isn’t the government collecting </w:t>
      </w:r>
      <w:r w:rsidR="007F1251" w:rsidRPr="00381F61">
        <w:rPr>
          <w:rFonts w:ascii="Garamond" w:hAnsi="Garamond"/>
        </w:rPr>
        <w:t xml:space="preserve">returns, expense and other </w:t>
      </w:r>
      <w:r w:rsidR="00CC6CDF" w:rsidRPr="00381F61">
        <w:rPr>
          <w:rFonts w:ascii="Garamond" w:hAnsi="Garamond"/>
        </w:rPr>
        <w:t xml:space="preserve">data on collective saving vehicles, including KiwiSaver, and </w:t>
      </w:r>
      <w:r w:rsidR="0045691E" w:rsidRPr="00381F61">
        <w:rPr>
          <w:rFonts w:ascii="Garamond" w:hAnsi="Garamond"/>
        </w:rPr>
        <w:t xml:space="preserve">having that analysed by an independent body and </w:t>
      </w:r>
      <w:r w:rsidR="00CC6CDF" w:rsidRPr="00381F61">
        <w:rPr>
          <w:rFonts w:ascii="Garamond" w:hAnsi="Garamond"/>
        </w:rPr>
        <w:t xml:space="preserve">publishing </w:t>
      </w:r>
      <w:r w:rsidR="0045691E" w:rsidRPr="00381F61">
        <w:rPr>
          <w:rFonts w:ascii="Garamond" w:hAnsi="Garamond"/>
        </w:rPr>
        <w:t xml:space="preserve">the results </w:t>
      </w:r>
      <w:r w:rsidR="00CC6CDF" w:rsidRPr="00381F61">
        <w:rPr>
          <w:rFonts w:ascii="Garamond" w:hAnsi="Garamond"/>
        </w:rPr>
        <w:t>on a regular (say, quarterly) basis?</w:t>
      </w:r>
    </w:p>
    <w:p w14:paraId="33E2F222" w14:textId="77777777" w:rsidR="00AE3FD0" w:rsidRPr="00381F61" w:rsidRDefault="00AE3FD0" w:rsidP="003E03E0">
      <w:pPr>
        <w:ind w:left="709"/>
        <w:jc w:val="both"/>
        <w:rPr>
          <w:rFonts w:ascii="Garamond" w:hAnsi="Garamond"/>
        </w:rPr>
      </w:pPr>
    </w:p>
    <w:p w14:paraId="3EB7FFF3" w14:textId="6D21CA40" w:rsidR="00AE3FD0" w:rsidRPr="00381F61" w:rsidRDefault="00AE3FD0" w:rsidP="00E71CEB">
      <w:pPr>
        <w:pStyle w:val="ListParagraph"/>
        <w:numPr>
          <w:ilvl w:val="0"/>
          <w:numId w:val="37"/>
        </w:numPr>
        <w:ind w:left="709" w:hanging="349"/>
        <w:jc w:val="both"/>
        <w:rPr>
          <w:rFonts w:ascii="Garamond" w:hAnsi="Garamond"/>
        </w:rPr>
      </w:pPr>
      <w:r w:rsidRPr="00381F61">
        <w:rPr>
          <w:rFonts w:ascii="Garamond" w:hAnsi="Garamond"/>
        </w:rPr>
        <w:t xml:space="preserve">Does the CFFC’s web site </w:t>
      </w:r>
      <w:r w:rsidRPr="00381F61">
        <w:rPr>
          <w:rFonts w:ascii="Garamond" w:hAnsi="Garamond"/>
          <w:i/>
        </w:rPr>
        <w:t xml:space="preserve">Sorted </w:t>
      </w:r>
      <w:r w:rsidRPr="00381F61">
        <w:rPr>
          <w:rFonts w:ascii="Garamond" w:hAnsi="Garamond"/>
        </w:rPr>
        <w:t>work?  How much does it cost?  How successful is it?</w:t>
      </w:r>
    </w:p>
    <w:p w14:paraId="0FAD1C07" w14:textId="77777777" w:rsidR="00CC6CDF" w:rsidRPr="00381F61" w:rsidRDefault="00CC6CDF" w:rsidP="003E03E0">
      <w:pPr>
        <w:ind w:left="709"/>
        <w:jc w:val="both"/>
        <w:rPr>
          <w:rFonts w:ascii="Garamond" w:hAnsi="Garamond"/>
        </w:rPr>
      </w:pPr>
    </w:p>
    <w:p w14:paraId="7B4D8668" w14:textId="77777777" w:rsidR="00CC6CDF" w:rsidRPr="00381F61" w:rsidRDefault="00361D4F" w:rsidP="00E71CEB">
      <w:pPr>
        <w:pStyle w:val="ListParagraph"/>
        <w:numPr>
          <w:ilvl w:val="0"/>
          <w:numId w:val="37"/>
        </w:numPr>
        <w:ind w:left="709" w:hanging="349"/>
        <w:jc w:val="both"/>
        <w:rPr>
          <w:rFonts w:ascii="Garamond" w:hAnsi="Garamond"/>
        </w:rPr>
      </w:pPr>
      <w:r w:rsidRPr="00381F61">
        <w:rPr>
          <w:rFonts w:ascii="Garamond" w:hAnsi="Garamond"/>
        </w:rPr>
        <w:t>C</w:t>
      </w:r>
      <w:r w:rsidR="00CC6CDF" w:rsidRPr="00381F61">
        <w:rPr>
          <w:rFonts w:ascii="Garamond" w:hAnsi="Garamond"/>
        </w:rPr>
        <w:t xml:space="preserve">an the government make available a </w:t>
      </w:r>
      <w:r w:rsidRPr="00381F61">
        <w:rPr>
          <w:rFonts w:ascii="Garamond" w:hAnsi="Garamond"/>
        </w:rPr>
        <w:t xml:space="preserve">more </w:t>
      </w:r>
      <w:r w:rsidR="00CC6CDF" w:rsidRPr="00381F61">
        <w:rPr>
          <w:rFonts w:ascii="Garamond" w:hAnsi="Garamond"/>
        </w:rPr>
        <w:t>useful on-line tool that would allow ordinary New Zealanders to make reasonable decisions about their retirement saving and other financial planning issues</w:t>
      </w:r>
      <w:r w:rsidR="00ED2A0C" w:rsidRPr="00381F61">
        <w:rPr>
          <w:rFonts w:ascii="Garamond" w:hAnsi="Garamond"/>
        </w:rPr>
        <w:t xml:space="preserve"> in the context of their household’s assets and liabilities</w:t>
      </w:r>
      <w:r w:rsidR="00CC6CDF" w:rsidRPr="00381F61">
        <w:rPr>
          <w:rFonts w:ascii="Garamond" w:hAnsi="Garamond"/>
        </w:rPr>
        <w:t>?</w:t>
      </w:r>
    </w:p>
    <w:p w14:paraId="4FDF51DA" w14:textId="77777777" w:rsidR="002D0CF6" w:rsidRPr="00381F61" w:rsidRDefault="002D0CF6">
      <w:pPr>
        <w:rPr>
          <w:rFonts w:ascii="Garamond" w:hAnsi="Garamond"/>
          <w:b/>
        </w:rPr>
      </w:pPr>
      <w:r w:rsidRPr="00381F61">
        <w:rPr>
          <w:rFonts w:ascii="Garamond" w:hAnsi="Garamond"/>
          <w:b/>
        </w:rPr>
        <w:br w:type="page"/>
      </w:r>
    </w:p>
    <w:p w14:paraId="3D50FC3C" w14:textId="72EED7F2" w:rsidR="00695EF3" w:rsidRPr="00381F61" w:rsidRDefault="00A97583" w:rsidP="00E71CEB">
      <w:pPr>
        <w:jc w:val="both"/>
        <w:rPr>
          <w:rFonts w:ascii="Garamond" w:hAnsi="Garamond"/>
          <w:b/>
        </w:rPr>
      </w:pPr>
      <w:r w:rsidRPr="00381F61">
        <w:rPr>
          <w:rFonts w:ascii="Garamond" w:hAnsi="Garamond"/>
          <w:b/>
        </w:rPr>
        <w:t>2</w:t>
      </w:r>
      <w:r w:rsidR="00F519BC" w:rsidRPr="00381F61">
        <w:rPr>
          <w:rFonts w:ascii="Garamond" w:hAnsi="Garamond"/>
          <w:b/>
        </w:rPr>
        <w:t>1</w:t>
      </w:r>
      <w:r w:rsidRPr="00381F61">
        <w:rPr>
          <w:rFonts w:ascii="Garamond" w:hAnsi="Garamond"/>
          <w:b/>
        </w:rPr>
        <w:t xml:space="preserve">. </w:t>
      </w:r>
      <w:r w:rsidR="001C399A" w:rsidRPr="00381F61">
        <w:rPr>
          <w:rFonts w:ascii="Garamond" w:hAnsi="Garamond"/>
          <w:b/>
        </w:rPr>
        <w:tab/>
      </w:r>
      <w:r w:rsidR="00695EF3" w:rsidRPr="00381F61">
        <w:rPr>
          <w:rFonts w:ascii="Garamond" w:hAnsi="Garamond"/>
          <w:b/>
        </w:rPr>
        <w:t xml:space="preserve">The review process </w:t>
      </w:r>
    </w:p>
    <w:p w14:paraId="1F7B5A1A" w14:textId="77777777" w:rsidR="00695EF3" w:rsidRPr="00381F61" w:rsidRDefault="00695EF3" w:rsidP="00E71CEB">
      <w:pPr>
        <w:jc w:val="both"/>
        <w:rPr>
          <w:rFonts w:ascii="Garamond" w:hAnsi="Garamond"/>
        </w:rPr>
      </w:pPr>
    </w:p>
    <w:p w14:paraId="77523F8B" w14:textId="432009E7" w:rsidR="00ED2A0C" w:rsidRPr="00381F61" w:rsidRDefault="00ED2A0C" w:rsidP="00E71CEB">
      <w:pPr>
        <w:jc w:val="both"/>
        <w:rPr>
          <w:rFonts w:ascii="Garamond" w:hAnsi="Garamond"/>
        </w:rPr>
      </w:pPr>
      <w:r w:rsidRPr="00381F61">
        <w:rPr>
          <w:rFonts w:ascii="Garamond" w:hAnsi="Garamond"/>
        </w:rPr>
        <w:t>The 1992 Task Force on Private Provision for Retirement</w:t>
      </w:r>
      <w:r w:rsidRPr="00381F61">
        <w:rPr>
          <w:rStyle w:val="FootnoteReference"/>
          <w:rFonts w:ascii="Garamond" w:hAnsi="Garamond"/>
        </w:rPr>
        <w:footnoteReference w:id="264"/>
      </w:r>
      <w:r w:rsidRPr="00381F61">
        <w:rPr>
          <w:rFonts w:ascii="Garamond" w:hAnsi="Garamond"/>
        </w:rPr>
        <w:t xml:space="preserve"> proposed the establishment of a Retirement Commission</w:t>
      </w:r>
      <w:r w:rsidR="00745753" w:rsidRPr="00381F61">
        <w:rPr>
          <w:rFonts w:ascii="Garamond" w:hAnsi="Garamond"/>
        </w:rPr>
        <w:t xml:space="preserve"> to manage the</w:t>
      </w:r>
      <w:r w:rsidR="00002DC5" w:rsidRPr="00381F61">
        <w:rPr>
          <w:rFonts w:ascii="Garamond" w:hAnsi="Garamond"/>
        </w:rPr>
        <w:t xml:space="preserve"> </w:t>
      </w:r>
      <w:r w:rsidR="001A4987" w:rsidRPr="00381F61">
        <w:rPr>
          <w:rFonts w:ascii="Garamond" w:hAnsi="Garamond"/>
        </w:rPr>
        <w:t>then-</w:t>
      </w:r>
      <w:r w:rsidR="00002DC5" w:rsidRPr="00381F61">
        <w:rPr>
          <w:rFonts w:ascii="Garamond" w:hAnsi="Garamond"/>
        </w:rPr>
        <w:t>recommended six-</w:t>
      </w:r>
      <w:r w:rsidR="00745753" w:rsidRPr="00381F61">
        <w:rPr>
          <w:rFonts w:ascii="Garamond" w:hAnsi="Garamond"/>
        </w:rPr>
        <w:t xml:space="preserve">yearly reviews.  The </w:t>
      </w:r>
      <w:r w:rsidR="00D94778" w:rsidRPr="00381F61">
        <w:rPr>
          <w:rFonts w:ascii="Garamond" w:hAnsi="Garamond"/>
        </w:rPr>
        <w:t>suggested</w:t>
      </w:r>
      <w:r w:rsidR="00745753" w:rsidRPr="00381F61">
        <w:rPr>
          <w:rFonts w:ascii="Garamond" w:hAnsi="Garamond"/>
        </w:rPr>
        <w:t xml:space="preserve"> </w:t>
      </w:r>
      <w:r w:rsidR="004B69E6" w:rsidRPr="00381F61">
        <w:rPr>
          <w:rFonts w:ascii="Garamond" w:hAnsi="Garamond"/>
        </w:rPr>
        <w:t>responsibilities included</w:t>
      </w:r>
      <w:r w:rsidRPr="00381F61">
        <w:rPr>
          <w:rFonts w:ascii="Garamond" w:hAnsi="Garamond"/>
        </w:rPr>
        <w:t>:</w:t>
      </w:r>
    </w:p>
    <w:p w14:paraId="1995AE16" w14:textId="77777777" w:rsidR="008C686A" w:rsidRPr="00381F61" w:rsidRDefault="008C686A" w:rsidP="00E71CEB">
      <w:pPr>
        <w:jc w:val="both"/>
        <w:rPr>
          <w:rFonts w:ascii="Garamond" w:hAnsi="Garamond"/>
          <w:sz w:val="8"/>
          <w:szCs w:val="8"/>
        </w:rPr>
      </w:pPr>
    </w:p>
    <w:p w14:paraId="6A5CD3A1" w14:textId="3B6A563E" w:rsidR="004B69E6" w:rsidRPr="00381F61" w:rsidRDefault="00D22718" w:rsidP="00E71CEB">
      <w:pPr>
        <w:ind w:left="851" w:hanging="284"/>
        <w:jc w:val="both"/>
        <w:rPr>
          <w:rFonts w:ascii="Garamond" w:hAnsi="Garamond"/>
        </w:rPr>
      </w:pPr>
      <w:r w:rsidRPr="00381F61">
        <w:rPr>
          <w:rFonts w:ascii="Garamond" w:hAnsi="Garamond"/>
        </w:rPr>
        <w:t>(a)</w:t>
      </w:r>
      <w:r w:rsidRPr="00381F61">
        <w:rPr>
          <w:rFonts w:ascii="Garamond" w:hAnsi="Garamond"/>
        </w:rPr>
        <w:tab/>
      </w:r>
      <w:r w:rsidR="004B69E6" w:rsidRPr="00381F61">
        <w:rPr>
          <w:rFonts w:ascii="Garamond" w:hAnsi="Garamond"/>
        </w:rPr>
        <w:t>Completing the proposed changes to implement the recommended “improved voluntary regime and monitoring programme”.</w:t>
      </w:r>
    </w:p>
    <w:p w14:paraId="0F52365E" w14:textId="0DA199A6" w:rsidR="004B69E6" w:rsidRPr="00381F61" w:rsidRDefault="00D22718" w:rsidP="00E71CEB">
      <w:pPr>
        <w:ind w:left="851" w:hanging="284"/>
        <w:jc w:val="both"/>
        <w:rPr>
          <w:rFonts w:ascii="Garamond" w:hAnsi="Garamond"/>
        </w:rPr>
      </w:pPr>
      <w:r w:rsidRPr="00381F61">
        <w:rPr>
          <w:rFonts w:ascii="Garamond" w:hAnsi="Garamond"/>
        </w:rPr>
        <w:t>(b)</w:t>
      </w:r>
      <w:r w:rsidRPr="00381F61">
        <w:rPr>
          <w:rFonts w:ascii="Garamond" w:hAnsi="Garamond"/>
        </w:rPr>
        <w:tab/>
      </w:r>
      <w:r w:rsidR="00D90AD4" w:rsidRPr="00381F61">
        <w:rPr>
          <w:rFonts w:ascii="Garamond" w:hAnsi="Garamond"/>
        </w:rPr>
        <w:t>Making</w:t>
      </w:r>
      <w:r w:rsidR="004B69E6" w:rsidRPr="00381F61">
        <w:rPr>
          <w:rFonts w:ascii="Garamond" w:hAnsi="Garamond"/>
        </w:rPr>
        <w:t xml:space="preserve"> recommendations to strengthen the regime;</w:t>
      </w:r>
    </w:p>
    <w:p w14:paraId="2C744024" w14:textId="27542725" w:rsidR="004B69E6" w:rsidRPr="00381F61" w:rsidRDefault="00D22718" w:rsidP="00E71CEB">
      <w:pPr>
        <w:ind w:left="851" w:hanging="284"/>
        <w:jc w:val="both"/>
        <w:rPr>
          <w:rFonts w:ascii="Garamond" w:hAnsi="Garamond"/>
        </w:rPr>
      </w:pPr>
      <w:r w:rsidRPr="00381F61">
        <w:rPr>
          <w:rFonts w:ascii="Garamond" w:hAnsi="Garamond"/>
        </w:rPr>
        <w:t>(c)</w:t>
      </w:r>
      <w:r w:rsidRPr="00381F61">
        <w:rPr>
          <w:rFonts w:ascii="Garamond" w:hAnsi="Garamond"/>
        </w:rPr>
        <w:tab/>
      </w:r>
      <w:r w:rsidR="004B69E6" w:rsidRPr="00381F61">
        <w:rPr>
          <w:rFonts w:ascii="Garamond" w:hAnsi="Garamond"/>
        </w:rPr>
        <w:t xml:space="preserve">“Encouraging private retirement provision through </w:t>
      </w:r>
      <w:r w:rsidR="00D90AD4" w:rsidRPr="00381F61">
        <w:rPr>
          <w:rFonts w:ascii="Garamond" w:hAnsi="Garamond"/>
        </w:rPr>
        <w:t>the continuing programme of public education and information to individuals, em</w:t>
      </w:r>
      <w:r w:rsidR="005E1C0F" w:rsidRPr="00381F61">
        <w:rPr>
          <w:rFonts w:ascii="Garamond" w:hAnsi="Garamond"/>
        </w:rPr>
        <w:t>p</w:t>
      </w:r>
      <w:r w:rsidR="00D90AD4" w:rsidRPr="00381F61">
        <w:rPr>
          <w:rFonts w:ascii="Garamond" w:hAnsi="Garamond"/>
        </w:rPr>
        <w:t>loyers and others; and</w:t>
      </w:r>
    </w:p>
    <w:p w14:paraId="16740BE1" w14:textId="5E9FF9CA" w:rsidR="00D90AD4" w:rsidRPr="00381F61" w:rsidRDefault="00D22718" w:rsidP="00E71CEB">
      <w:pPr>
        <w:ind w:left="851" w:hanging="284"/>
        <w:jc w:val="both"/>
        <w:rPr>
          <w:rFonts w:ascii="Garamond" w:hAnsi="Garamond"/>
        </w:rPr>
      </w:pPr>
      <w:r w:rsidRPr="00381F61">
        <w:rPr>
          <w:rFonts w:ascii="Garamond" w:hAnsi="Garamond"/>
        </w:rPr>
        <w:t>(d)</w:t>
      </w:r>
      <w:r w:rsidRPr="00381F61">
        <w:rPr>
          <w:rFonts w:ascii="Garamond" w:hAnsi="Garamond"/>
        </w:rPr>
        <w:tab/>
      </w:r>
      <w:r w:rsidR="00D90AD4" w:rsidRPr="00381F61">
        <w:rPr>
          <w:rFonts w:ascii="Garamond" w:hAnsi="Garamond"/>
        </w:rPr>
        <w:t>“Managing the work programme of information gathering, research and analysis that is necessary for the reviews to fulfil their purpose of assessing the success of the integrated retirement policy regime.”</w:t>
      </w:r>
      <w:r w:rsidR="00D90AD4" w:rsidRPr="00381F61">
        <w:rPr>
          <w:rStyle w:val="FootnoteReference"/>
          <w:rFonts w:ascii="Garamond" w:hAnsi="Garamond"/>
        </w:rPr>
        <w:footnoteReference w:id="265"/>
      </w:r>
    </w:p>
    <w:p w14:paraId="63B86E84" w14:textId="77777777" w:rsidR="00ED2A0C" w:rsidRPr="00381F61" w:rsidRDefault="00ED2A0C" w:rsidP="00E71CEB">
      <w:pPr>
        <w:jc w:val="both"/>
        <w:rPr>
          <w:rFonts w:ascii="Garamond" w:hAnsi="Garamond"/>
        </w:rPr>
      </w:pPr>
    </w:p>
    <w:p w14:paraId="286300B1" w14:textId="1AAC15A9" w:rsidR="00D90AD4" w:rsidRPr="00381F61" w:rsidRDefault="00D90AD4" w:rsidP="00E71CEB">
      <w:pPr>
        <w:jc w:val="both"/>
        <w:rPr>
          <w:rFonts w:ascii="Garamond" w:hAnsi="Garamond"/>
        </w:rPr>
      </w:pPr>
      <w:r w:rsidRPr="00381F61">
        <w:rPr>
          <w:rFonts w:ascii="Garamond" w:hAnsi="Garamond"/>
        </w:rPr>
        <w:t>The report continued:</w:t>
      </w:r>
    </w:p>
    <w:p w14:paraId="56EFA67C" w14:textId="77777777" w:rsidR="00D90AD4" w:rsidRPr="00381F61" w:rsidRDefault="00D90AD4" w:rsidP="00E71CEB">
      <w:pPr>
        <w:jc w:val="both"/>
        <w:rPr>
          <w:rFonts w:ascii="Garamond" w:hAnsi="Garamond"/>
          <w:sz w:val="8"/>
          <w:szCs w:val="8"/>
        </w:rPr>
      </w:pPr>
    </w:p>
    <w:p w14:paraId="42D2CBF2" w14:textId="77777777" w:rsidR="00D90AD4" w:rsidRPr="00381F61" w:rsidRDefault="00D90AD4" w:rsidP="00E71CEB">
      <w:pPr>
        <w:ind w:left="284"/>
        <w:jc w:val="both"/>
        <w:rPr>
          <w:rFonts w:ascii="Garamond" w:hAnsi="Garamond"/>
          <w:sz w:val="22"/>
          <w:szCs w:val="22"/>
        </w:rPr>
      </w:pPr>
      <w:r w:rsidRPr="00381F61">
        <w:rPr>
          <w:rFonts w:ascii="Garamond" w:hAnsi="Garamond"/>
          <w:sz w:val="22"/>
          <w:szCs w:val="22"/>
        </w:rPr>
        <w:t>“The public, the industry and the political parties would need to have confidence that this body had the expertise and resources to do a thorough job, was independent, and had a brief that spanned the various inter-connected issues involved.</w:t>
      </w:r>
    </w:p>
    <w:p w14:paraId="54649620" w14:textId="77777777" w:rsidR="00D90AD4" w:rsidRPr="00381F61" w:rsidRDefault="00D90AD4" w:rsidP="00E71CEB">
      <w:pPr>
        <w:ind w:left="284"/>
        <w:jc w:val="both"/>
        <w:rPr>
          <w:rFonts w:ascii="Garamond" w:hAnsi="Garamond"/>
          <w:sz w:val="8"/>
          <w:szCs w:val="8"/>
        </w:rPr>
      </w:pPr>
    </w:p>
    <w:p w14:paraId="791E4E3B" w14:textId="66D182BF" w:rsidR="00D90AD4" w:rsidRPr="00381F61" w:rsidRDefault="00D90AD4" w:rsidP="00E71CEB">
      <w:pPr>
        <w:ind w:left="284"/>
        <w:jc w:val="both"/>
        <w:rPr>
          <w:rFonts w:ascii="Garamond" w:hAnsi="Garamond"/>
          <w:sz w:val="22"/>
          <w:szCs w:val="22"/>
        </w:rPr>
      </w:pPr>
      <w:r w:rsidRPr="00381F61">
        <w:rPr>
          <w:rFonts w:ascii="Garamond" w:hAnsi="Garamond"/>
          <w:sz w:val="22"/>
          <w:szCs w:val="22"/>
        </w:rPr>
        <w:t>It would be equally important to ensure that the Commissioner’s role is focussed on the collection and dissemination of factual information.  This would reinforce the idea of policy stability in the period between reviews, rather than the Commissioner being, or being seen as an instrument of continual change.” (at page 93)</w:t>
      </w:r>
    </w:p>
    <w:p w14:paraId="0827F900" w14:textId="77777777" w:rsidR="00A56E23" w:rsidRPr="00381F61" w:rsidRDefault="00A56E23" w:rsidP="00E71CEB">
      <w:pPr>
        <w:jc w:val="both"/>
        <w:rPr>
          <w:rFonts w:ascii="Garamond" w:hAnsi="Garamond"/>
        </w:rPr>
      </w:pPr>
    </w:p>
    <w:p w14:paraId="50FD062C" w14:textId="77777777" w:rsidR="00D22718" w:rsidRPr="00381F61" w:rsidRDefault="00F0538A" w:rsidP="00E71CEB">
      <w:pPr>
        <w:jc w:val="both"/>
        <w:rPr>
          <w:rFonts w:ascii="Garamond" w:hAnsi="Garamond"/>
        </w:rPr>
      </w:pPr>
      <w:r w:rsidRPr="00381F61">
        <w:rPr>
          <w:rFonts w:ascii="Garamond" w:hAnsi="Garamond"/>
        </w:rPr>
        <w:t>The government accepted the recommendation for the establishment of the Retirement Commission</w:t>
      </w:r>
      <w:r w:rsidR="00BA6759" w:rsidRPr="00381F61">
        <w:rPr>
          <w:rFonts w:ascii="Garamond" w:hAnsi="Garamond"/>
        </w:rPr>
        <w:t xml:space="preserve"> that</w:t>
      </w:r>
      <w:r w:rsidRPr="00381F61">
        <w:rPr>
          <w:rFonts w:ascii="Garamond" w:hAnsi="Garamond"/>
        </w:rPr>
        <w:t xml:space="preserve"> started </w:t>
      </w:r>
      <w:r w:rsidR="00BA6759" w:rsidRPr="00381F61">
        <w:rPr>
          <w:rFonts w:ascii="Garamond" w:hAnsi="Garamond"/>
        </w:rPr>
        <w:t xml:space="preserve">with the appointment of the first </w:t>
      </w:r>
      <w:r w:rsidR="00D22718" w:rsidRPr="00381F61">
        <w:rPr>
          <w:rFonts w:ascii="Garamond" w:hAnsi="Garamond"/>
        </w:rPr>
        <w:t xml:space="preserve">Commissioner in 1995.  </w:t>
      </w:r>
    </w:p>
    <w:p w14:paraId="4AACBE2A" w14:textId="77777777" w:rsidR="00470B2B" w:rsidRPr="00381F61" w:rsidRDefault="00470B2B" w:rsidP="00E71CEB">
      <w:pPr>
        <w:jc w:val="both"/>
        <w:rPr>
          <w:rFonts w:ascii="Garamond" w:hAnsi="Garamond"/>
        </w:rPr>
      </w:pPr>
    </w:p>
    <w:p w14:paraId="56DF7A94" w14:textId="18D7D9A1" w:rsidR="00C6506F" w:rsidRPr="00381F61" w:rsidRDefault="00C6506F" w:rsidP="00E71CEB">
      <w:pPr>
        <w:jc w:val="both"/>
        <w:rPr>
          <w:rFonts w:ascii="Garamond" w:hAnsi="Garamond"/>
        </w:rPr>
      </w:pPr>
      <w:r w:rsidRPr="00381F61">
        <w:rPr>
          <w:rFonts w:ascii="Garamond" w:hAnsi="Garamond"/>
        </w:rPr>
        <w:t xml:space="preserve">Since the </w:t>
      </w:r>
      <w:r w:rsidR="00CF4912" w:rsidRPr="00381F61">
        <w:rPr>
          <w:rFonts w:ascii="Garamond" w:hAnsi="Garamond"/>
        </w:rPr>
        <w:t xml:space="preserve">original </w:t>
      </w:r>
      <w:r w:rsidRPr="00381F61">
        <w:rPr>
          <w:rFonts w:ascii="Garamond" w:hAnsi="Garamond"/>
        </w:rPr>
        <w:t xml:space="preserve">1992 Task Force on Private Provision for Retirement, we have had </w:t>
      </w:r>
      <w:r w:rsidR="00B85F99" w:rsidRPr="00381F61">
        <w:rPr>
          <w:rFonts w:ascii="Garamond" w:hAnsi="Garamond"/>
        </w:rPr>
        <w:t xml:space="preserve">six reviews - </w:t>
      </w:r>
      <w:r w:rsidRPr="00381F61">
        <w:rPr>
          <w:rFonts w:ascii="Garamond" w:hAnsi="Garamond"/>
        </w:rPr>
        <w:t xml:space="preserve">the Periodic Report Group (1997); Periodic Report Group (2003); Retirement Commissioner’s Review of Retirement Income Policy (2007); </w:t>
      </w:r>
      <w:r w:rsidR="007874B7" w:rsidRPr="00381F61">
        <w:rPr>
          <w:rFonts w:ascii="Garamond" w:hAnsi="Garamond"/>
        </w:rPr>
        <w:t xml:space="preserve">the 2010 Review of Retirement Income Policies; </w:t>
      </w:r>
      <w:r w:rsidRPr="00381F61">
        <w:rPr>
          <w:rFonts w:ascii="Garamond" w:hAnsi="Garamond"/>
        </w:rPr>
        <w:t>the Review of Retirement Income Policies (2013) and, most recently, the 2016 Review of Retirement Income Policies.  None of these reports has come close to what is now needed</w:t>
      </w:r>
      <w:r w:rsidR="00CF4912" w:rsidRPr="00381F61">
        <w:rPr>
          <w:rFonts w:ascii="Garamond" w:hAnsi="Garamond"/>
        </w:rPr>
        <w:t xml:space="preserve"> because, apart from anything else, none had the depth or breadth of data required to support </w:t>
      </w:r>
      <w:r w:rsidR="00EB0AE7" w:rsidRPr="00381F61">
        <w:rPr>
          <w:rFonts w:ascii="Garamond" w:hAnsi="Garamond"/>
        </w:rPr>
        <w:t>the necessary</w:t>
      </w:r>
      <w:r w:rsidR="00CF4912" w:rsidRPr="00381F61">
        <w:rPr>
          <w:rFonts w:ascii="Garamond" w:hAnsi="Garamond"/>
        </w:rPr>
        <w:t xml:space="preserve"> full review</w:t>
      </w:r>
      <w:r w:rsidR="00EE522D" w:rsidRPr="00381F61">
        <w:rPr>
          <w:rFonts w:ascii="Garamond" w:hAnsi="Garamond"/>
        </w:rPr>
        <w:t xml:space="preserve"> and the financial resources were either inadequate or allocated in the wrong areas</w:t>
      </w:r>
      <w:r w:rsidRPr="00381F61">
        <w:rPr>
          <w:rFonts w:ascii="Garamond" w:hAnsi="Garamond"/>
        </w:rPr>
        <w:t>.</w:t>
      </w:r>
    </w:p>
    <w:p w14:paraId="63DD708E" w14:textId="77777777" w:rsidR="00C6506F" w:rsidRPr="00381F61" w:rsidRDefault="00C6506F" w:rsidP="00E71CEB">
      <w:pPr>
        <w:jc w:val="both"/>
        <w:rPr>
          <w:rFonts w:ascii="Garamond" w:hAnsi="Garamond"/>
        </w:rPr>
      </w:pPr>
    </w:p>
    <w:p w14:paraId="7D4E0AE3" w14:textId="11B2B4CF" w:rsidR="0070694D" w:rsidRPr="00381F61" w:rsidRDefault="0070694D" w:rsidP="00E71CEB">
      <w:pPr>
        <w:jc w:val="both"/>
        <w:rPr>
          <w:rFonts w:ascii="Garamond" w:hAnsi="Garamond"/>
        </w:rPr>
      </w:pPr>
      <w:r w:rsidRPr="00381F61">
        <w:rPr>
          <w:rFonts w:ascii="Garamond" w:hAnsi="Garamond"/>
        </w:rPr>
        <w:t xml:space="preserve">In a 2015 speech, the </w:t>
      </w:r>
      <w:r w:rsidR="00E03AB0" w:rsidRPr="00381F61">
        <w:rPr>
          <w:rFonts w:ascii="Garamond" w:hAnsi="Garamond"/>
        </w:rPr>
        <w:t xml:space="preserve">then </w:t>
      </w:r>
      <w:r w:rsidRPr="00381F61">
        <w:rPr>
          <w:rFonts w:ascii="Garamond" w:hAnsi="Garamond"/>
        </w:rPr>
        <w:t xml:space="preserve">Prime Minister Bill English said that data and analytics </w:t>
      </w:r>
      <w:r w:rsidR="00E03AB0" w:rsidRPr="00381F61">
        <w:rPr>
          <w:rFonts w:ascii="Garamond" w:hAnsi="Garamond"/>
        </w:rPr>
        <w:t>should be</w:t>
      </w:r>
      <w:r w:rsidRPr="00381F61">
        <w:rPr>
          <w:rFonts w:ascii="Garamond" w:hAnsi="Garamond"/>
        </w:rPr>
        <w:t xml:space="preserve"> an intrinsic part of policy-making:</w:t>
      </w:r>
    </w:p>
    <w:p w14:paraId="01A38687" w14:textId="77777777" w:rsidR="008C686A" w:rsidRPr="00381F61" w:rsidRDefault="008C686A" w:rsidP="00E71CEB">
      <w:pPr>
        <w:pStyle w:val="NormalWeb"/>
        <w:shd w:val="clear" w:color="auto" w:fill="FFFFFF"/>
        <w:spacing w:before="0" w:beforeAutospacing="0" w:after="0" w:afterAutospacing="0"/>
        <w:ind w:left="284"/>
        <w:jc w:val="both"/>
        <w:rPr>
          <w:rFonts w:ascii="Garamond" w:hAnsi="Garamond" w:cs="Arial"/>
          <w:color w:val="383838"/>
          <w:sz w:val="8"/>
          <w:szCs w:val="8"/>
        </w:rPr>
      </w:pPr>
    </w:p>
    <w:p w14:paraId="67F6A356" w14:textId="1910BFB0" w:rsidR="0070694D" w:rsidRPr="00381F61" w:rsidRDefault="0070694D" w:rsidP="00E71CEB">
      <w:pPr>
        <w:pStyle w:val="NormalWeb"/>
        <w:shd w:val="clear" w:color="auto" w:fill="FFFFFF"/>
        <w:spacing w:before="0" w:beforeAutospacing="0" w:after="0" w:afterAutospacing="0"/>
        <w:ind w:left="284"/>
        <w:jc w:val="both"/>
        <w:rPr>
          <w:rFonts w:ascii="Garamond" w:hAnsi="Garamond" w:cs="Arial"/>
          <w:color w:val="000000" w:themeColor="text1"/>
          <w:sz w:val="22"/>
          <w:szCs w:val="22"/>
        </w:rPr>
      </w:pPr>
      <w:r w:rsidRPr="00381F61">
        <w:rPr>
          <w:rFonts w:ascii="Garamond" w:hAnsi="Garamond" w:cs="Arial"/>
          <w:color w:val="000000" w:themeColor="text1"/>
          <w:sz w:val="22"/>
          <w:szCs w:val="22"/>
        </w:rPr>
        <w:t>“Policy without using these tools won’t mean much to us, because our policy is getting better results for customers.  We are taking this seriously enough to build this into the process in a way that has not been done before."</w:t>
      </w:r>
      <w:r w:rsidRPr="00381F61">
        <w:rPr>
          <w:rStyle w:val="FootnoteReference"/>
          <w:rFonts w:ascii="Garamond" w:hAnsi="Garamond" w:cs="Arial"/>
          <w:color w:val="000000" w:themeColor="text1"/>
          <w:sz w:val="22"/>
          <w:szCs w:val="22"/>
        </w:rPr>
        <w:footnoteReference w:id="266"/>
      </w:r>
    </w:p>
    <w:p w14:paraId="3604AC4A" w14:textId="77777777" w:rsidR="0070694D" w:rsidRPr="00381F61" w:rsidRDefault="0070694D" w:rsidP="00E71CEB">
      <w:pPr>
        <w:jc w:val="both"/>
        <w:rPr>
          <w:rFonts w:ascii="Garamond" w:hAnsi="Garamond"/>
        </w:rPr>
      </w:pPr>
    </w:p>
    <w:p w14:paraId="04170DE1" w14:textId="339871A2" w:rsidR="00A0593F" w:rsidRPr="00381F61" w:rsidRDefault="002E344E" w:rsidP="00E71CEB">
      <w:pPr>
        <w:jc w:val="both"/>
        <w:rPr>
          <w:rFonts w:ascii="Garamond" w:hAnsi="Garamond"/>
          <w:color w:val="000000"/>
        </w:rPr>
      </w:pPr>
      <w:r w:rsidRPr="00381F61">
        <w:rPr>
          <w:rFonts w:ascii="Garamond" w:hAnsi="Garamond"/>
          <w:color w:val="000000"/>
        </w:rPr>
        <w:t>Nowhere is this more true than in policies associated with financial preparation for retirement</w:t>
      </w:r>
      <w:r w:rsidR="008942DF" w:rsidRPr="00381F61">
        <w:rPr>
          <w:rFonts w:ascii="Garamond" w:hAnsi="Garamond"/>
          <w:color w:val="000000"/>
        </w:rPr>
        <w:t>, income in retirement and services associated with older people</w:t>
      </w:r>
      <w:r w:rsidRPr="00381F61">
        <w:rPr>
          <w:rFonts w:ascii="Garamond" w:hAnsi="Garamond"/>
          <w:color w:val="000000"/>
        </w:rPr>
        <w:t xml:space="preserve">.  </w:t>
      </w:r>
      <w:r w:rsidR="00205AA8" w:rsidRPr="00381F61">
        <w:rPr>
          <w:rFonts w:ascii="Garamond" w:hAnsi="Garamond"/>
          <w:color w:val="000000"/>
        </w:rPr>
        <w:t>This is because of the long-term nature of required planning</w:t>
      </w:r>
      <w:r w:rsidR="00A0593F" w:rsidRPr="00381F61">
        <w:rPr>
          <w:rFonts w:ascii="Garamond" w:hAnsi="Garamond"/>
          <w:color w:val="000000"/>
        </w:rPr>
        <w:t xml:space="preserve"> and protections to limit the potential damage from sudden shocks.  </w:t>
      </w:r>
    </w:p>
    <w:p w14:paraId="4D551A57" w14:textId="77777777" w:rsidR="00A0593F" w:rsidRPr="00381F61" w:rsidRDefault="00A0593F" w:rsidP="00E71CEB">
      <w:pPr>
        <w:jc w:val="both"/>
        <w:rPr>
          <w:rFonts w:ascii="Garamond" w:hAnsi="Garamond"/>
          <w:color w:val="000000"/>
        </w:rPr>
      </w:pPr>
    </w:p>
    <w:p w14:paraId="0BBC643C" w14:textId="0FCF3508" w:rsidR="00470B2B" w:rsidRPr="00381F61" w:rsidRDefault="00470B2B" w:rsidP="00E71CEB">
      <w:pPr>
        <w:jc w:val="both"/>
        <w:rPr>
          <w:rFonts w:ascii="Garamond" w:hAnsi="Garamond"/>
          <w:color w:val="000000"/>
        </w:rPr>
      </w:pPr>
      <w:r w:rsidRPr="00381F61">
        <w:rPr>
          <w:rFonts w:ascii="Garamond" w:hAnsi="Garamond"/>
          <w:color w:val="000000"/>
        </w:rPr>
        <w:t xml:space="preserve">For example, </w:t>
      </w:r>
      <w:r w:rsidR="00282B7B" w:rsidRPr="00381F61">
        <w:rPr>
          <w:rFonts w:ascii="Garamond" w:hAnsi="Garamond"/>
          <w:color w:val="000000"/>
        </w:rPr>
        <w:t xml:space="preserve">through the Survey of Family Income and Employment (SoFIE), </w:t>
      </w:r>
      <w:r w:rsidRPr="00381F61">
        <w:rPr>
          <w:rFonts w:ascii="Garamond" w:hAnsi="Garamond"/>
          <w:color w:val="000000"/>
        </w:rPr>
        <w:t>we di</w:t>
      </w:r>
      <w:r w:rsidR="001C399A" w:rsidRPr="00381F61">
        <w:rPr>
          <w:rFonts w:ascii="Garamond" w:hAnsi="Garamond"/>
          <w:color w:val="000000"/>
        </w:rPr>
        <w:t>scovered,</w:t>
      </w:r>
      <w:r w:rsidR="008942DF" w:rsidRPr="00381F61">
        <w:rPr>
          <w:rFonts w:ascii="Garamond" w:hAnsi="Garamond"/>
          <w:color w:val="000000"/>
        </w:rPr>
        <w:t xml:space="preserve"> </w:t>
      </w:r>
      <w:r w:rsidR="001C399A" w:rsidRPr="00381F61">
        <w:rPr>
          <w:rFonts w:ascii="Garamond" w:hAnsi="Garamond"/>
          <w:color w:val="000000"/>
        </w:rPr>
        <w:t>in 2006</w:t>
      </w:r>
      <w:r w:rsidR="00282B7B" w:rsidRPr="00381F61">
        <w:rPr>
          <w:rFonts w:ascii="Garamond" w:hAnsi="Garamond"/>
          <w:color w:val="000000"/>
        </w:rPr>
        <w:t>,</w:t>
      </w:r>
      <w:r w:rsidR="008942DF" w:rsidRPr="00381F61">
        <w:rPr>
          <w:rFonts w:ascii="Garamond" w:hAnsi="Garamond"/>
          <w:color w:val="000000"/>
        </w:rPr>
        <w:t xml:space="preserve"> that</w:t>
      </w:r>
      <w:r w:rsidR="001C399A" w:rsidRPr="00381F61">
        <w:rPr>
          <w:rFonts w:ascii="Garamond" w:hAnsi="Garamond"/>
          <w:color w:val="000000"/>
        </w:rPr>
        <w:t xml:space="preserve"> </w:t>
      </w:r>
      <w:r w:rsidRPr="00381F61">
        <w:rPr>
          <w:rFonts w:ascii="Garamond" w:hAnsi="Garamond"/>
          <w:color w:val="000000"/>
        </w:rPr>
        <w:t xml:space="preserve">New Zealanders </w:t>
      </w:r>
      <w:r w:rsidR="00ED2CAE" w:rsidRPr="00381F61">
        <w:rPr>
          <w:rFonts w:ascii="Garamond" w:hAnsi="Garamond"/>
          <w:color w:val="000000"/>
        </w:rPr>
        <w:t>seemed to be</w:t>
      </w:r>
      <w:r w:rsidRPr="00381F61">
        <w:rPr>
          <w:rFonts w:ascii="Garamond" w:hAnsi="Garamond"/>
          <w:color w:val="000000"/>
        </w:rPr>
        <w:t xml:space="preserve"> saving, on average, enough</w:t>
      </w:r>
      <w:r w:rsidR="008618D6" w:rsidRPr="00381F61">
        <w:rPr>
          <w:rFonts w:ascii="Garamond" w:hAnsi="Garamond"/>
          <w:color w:val="000000"/>
        </w:rPr>
        <w:t xml:space="preserve"> (even, perhaps, more than enough)</w:t>
      </w:r>
      <w:r w:rsidRPr="00381F61">
        <w:rPr>
          <w:rFonts w:ascii="Garamond" w:hAnsi="Garamond"/>
          <w:color w:val="000000"/>
        </w:rPr>
        <w:t xml:space="preserve"> for retirement</w:t>
      </w:r>
      <w:r w:rsidR="00DA27BC" w:rsidRPr="00381F61">
        <w:rPr>
          <w:rStyle w:val="FootnoteReference"/>
          <w:rFonts w:ascii="Garamond" w:hAnsi="Garamond"/>
          <w:color w:val="000000"/>
        </w:rPr>
        <w:footnoteReference w:id="267"/>
      </w:r>
      <w:r w:rsidRPr="00381F61">
        <w:rPr>
          <w:rFonts w:ascii="Garamond" w:hAnsi="Garamond"/>
          <w:color w:val="000000"/>
        </w:rPr>
        <w:t xml:space="preserve">.  On that basis, </w:t>
      </w:r>
      <w:r w:rsidR="002E344E" w:rsidRPr="00381F61">
        <w:rPr>
          <w:rFonts w:ascii="Garamond" w:hAnsi="Garamond"/>
          <w:color w:val="000000"/>
        </w:rPr>
        <w:t>KiwiSaver need not</w:t>
      </w:r>
      <w:r w:rsidRPr="00381F61">
        <w:rPr>
          <w:rFonts w:ascii="Garamond" w:hAnsi="Garamond"/>
          <w:color w:val="000000"/>
        </w:rPr>
        <w:t xml:space="preserve"> have happened</w:t>
      </w:r>
      <w:r w:rsidR="00ED2CAE" w:rsidRPr="00381F61">
        <w:rPr>
          <w:rFonts w:ascii="Garamond" w:hAnsi="Garamond"/>
          <w:color w:val="000000"/>
        </w:rPr>
        <w:t xml:space="preserve"> and taxpayers could have saved the $</w:t>
      </w:r>
      <w:r w:rsidR="00E03AB0" w:rsidRPr="00381F61">
        <w:rPr>
          <w:rFonts w:ascii="Garamond" w:hAnsi="Garamond"/>
          <w:color w:val="000000"/>
        </w:rPr>
        <w:t>10.1</w:t>
      </w:r>
      <w:r w:rsidR="00ED2CAE" w:rsidRPr="00381F61">
        <w:rPr>
          <w:rFonts w:ascii="Garamond" w:hAnsi="Garamond"/>
          <w:color w:val="000000"/>
        </w:rPr>
        <w:t xml:space="preserve"> billion spent so far on tax subsidies</w:t>
      </w:r>
      <w:r w:rsidRPr="00381F61">
        <w:rPr>
          <w:rFonts w:ascii="Garamond" w:hAnsi="Garamond"/>
          <w:color w:val="000000"/>
        </w:rPr>
        <w:t xml:space="preserve">. </w:t>
      </w:r>
      <w:r w:rsidR="001C399A" w:rsidRPr="00381F61">
        <w:rPr>
          <w:rFonts w:ascii="Garamond" w:hAnsi="Garamond"/>
          <w:color w:val="000000"/>
        </w:rPr>
        <w:t xml:space="preserve"> </w:t>
      </w:r>
      <w:r w:rsidRPr="00381F61">
        <w:rPr>
          <w:rFonts w:ascii="Garamond" w:hAnsi="Garamond"/>
          <w:color w:val="000000"/>
        </w:rPr>
        <w:t xml:space="preserve">We now know that, as of 2010, households in KiwiSaver had, on average, fewer financial assets than those </w:t>
      </w:r>
      <w:r w:rsidR="00D90C19" w:rsidRPr="00381F61">
        <w:rPr>
          <w:rFonts w:ascii="Garamond" w:hAnsi="Garamond"/>
          <w:color w:val="000000"/>
        </w:rPr>
        <w:t xml:space="preserve">who </w:t>
      </w:r>
      <w:r w:rsidRPr="00381F61">
        <w:rPr>
          <w:rFonts w:ascii="Garamond" w:hAnsi="Garamond"/>
          <w:color w:val="000000"/>
        </w:rPr>
        <w:t xml:space="preserve">aren’t KiwiSaver members.  </w:t>
      </w:r>
      <w:r w:rsidR="00282B7B" w:rsidRPr="00381F61">
        <w:rPr>
          <w:rFonts w:ascii="Garamond" w:hAnsi="Garamond"/>
          <w:color w:val="000000"/>
        </w:rPr>
        <w:t>T</w:t>
      </w:r>
      <w:r w:rsidRPr="00381F61">
        <w:rPr>
          <w:rFonts w:ascii="Garamond" w:hAnsi="Garamond"/>
          <w:color w:val="000000"/>
        </w:rPr>
        <w:t xml:space="preserve">hose </w:t>
      </w:r>
      <w:r w:rsidR="00ED2CAE" w:rsidRPr="00381F61">
        <w:rPr>
          <w:rFonts w:ascii="Garamond" w:hAnsi="Garamond"/>
          <w:color w:val="000000"/>
        </w:rPr>
        <w:t>findings</w:t>
      </w:r>
      <w:r w:rsidRPr="00381F61">
        <w:rPr>
          <w:rFonts w:ascii="Garamond" w:hAnsi="Garamond"/>
          <w:color w:val="000000"/>
        </w:rPr>
        <w:t xml:space="preserve"> came from </w:t>
      </w:r>
      <w:r w:rsidR="001C399A" w:rsidRPr="00381F61">
        <w:rPr>
          <w:rFonts w:ascii="Garamond" w:hAnsi="Garamond"/>
          <w:color w:val="000000"/>
        </w:rPr>
        <w:t>SoFIE that ended in 2010</w:t>
      </w:r>
      <w:r w:rsidR="00D94778" w:rsidRPr="00381F61">
        <w:rPr>
          <w:rFonts w:ascii="Garamond" w:hAnsi="Garamond"/>
          <w:color w:val="000000"/>
        </w:rPr>
        <w:t xml:space="preserve"> (see section 1</w:t>
      </w:r>
      <w:r w:rsidR="000856CF" w:rsidRPr="00381F61">
        <w:rPr>
          <w:rFonts w:ascii="Garamond" w:hAnsi="Garamond"/>
          <w:color w:val="000000"/>
        </w:rPr>
        <w:t>5</w:t>
      </w:r>
      <w:r w:rsidR="00D94778" w:rsidRPr="00381F61">
        <w:rPr>
          <w:rFonts w:ascii="Garamond" w:hAnsi="Garamond"/>
          <w:color w:val="000000"/>
        </w:rPr>
        <w:t xml:space="preserve"> above for more on this)</w:t>
      </w:r>
      <w:r w:rsidR="001C399A" w:rsidRPr="00381F61">
        <w:rPr>
          <w:rFonts w:ascii="Garamond" w:hAnsi="Garamond"/>
          <w:color w:val="000000"/>
        </w:rPr>
        <w:t>.</w:t>
      </w:r>
    </w:p>
    <w:p w14:paraId="796CA5E2" w14:textId="77777777" w:rsidR="008C686A" w:rsidRPr="00381F61" w:rsidRDefault="008C686A" w:rsidP="00E71CEB">
      <w:pPr>
        <w:jc w:val="both"/>
        <w:rPr>
          <w:rFonts w:ascii="Garamond" w:hAnsi="Garamond"/>
          <w:color w:val="000000"/>
        </w:rPr>
      </w:pPr>
    </w:p>
    <w:p w14:paraId="5824BBD3" w14:textId="617ACF08" w:rsidR="008C686A" w:rsidRPr="00381F61" w:rsidRDefault="008C686A" w:rsidP="00E71CEB">
      <w:pPr>
        <w:jc w:val="both"/>
        <w:rPr>
          <w:rFonts w:ascii="Garamond" w:hAnsi="Garamond"/>
          <w:color w:val="000000"/>
        </w:rPr>
      </w:pPr>
      <w:r w:rsidRPr="00381F61">
        <w:rPr>
          <w:rFonts w:ascii="Garamond" w:hAnsi="Garamond"/>
          <w:color w:val="000000"/>
        </w:rPr>
        <w:t>An underlying theme of most of the points made in this report and the questions that New Zealand must discuss</w:t>
      </w:r>
      <w:r w:rsidR="00282B7B" w:rsidRPr="00381F61">
        <w:rPr>
          <w:rFonts w:ascii="Garamond" w:hAnsi="Garamond"/>
          <w:color w:val="000000"/>
        </w:rPr>
        <w:t>,</w:t>
      </w:r>
      <w:r w:rsidRPr="00381F61">
        <w:rPr>
          <w:rFonts w:ascii="Garamond" w:hAnsi="Garamond"/>
          <w:color w:val="000000"/>
        </w:rPr>
        <w:t xml:space="preserve"> is the crucial significance of </w:t>
      </w:r>
      <w:r w:rsidR="00B85F99" w:rsidRPr="00381F61">
        <w:rPr>
          <w:rFonts w:ascii="Garamond" w:hAnsi="Garamond"/>
          <w:color w:val="000000"/>
        </w:rPr>
        <w:t>impeccable</w:t>
      </w:r>
      <w:r w:rsidRPr="00381F61">
        <w:rPr>
          <w:rFonts w:ascii="Garamond" w:hAnsi="Garamond"/>
          <w:color w:val="000000"/>
        </w:rPr>
        <w:t>, deep data.  Discussions about policy options are necessarily limited in their absence.  That is one of the reasons we were so disappointed with the Retirement Commissioner’s 2016 Review.</w:t>
      </w:r>
    </w:p>
    <w:p w14:paraId="49EA53FA" w14:textId="77777777" w:rsidR="008C686A" w:rsidRPr="00381F61" w:rsidRDefault="008C686A" w:rsidP="00E71CEB">
      <w:pPr>
        <w:jc w:val="both"/>
        <w:rPr>
          <w:rFonts w:ascii="Garamond" w:hAnsi="Garamond"/>
        </w:rPr>
      </w:pPr>
    </w:p>
    <w:p w14:paraId="3DA477BC" w14:textId="71EF6117" w:rsidR="008C686A" w:rsidRPr="00381F61" w:rsidRDefault="008C686A" w:rsidP="00E71CEB">
      <w:pPr>
        <w:jc w:val="both"/>
        <w:rPr>
          <w:rFonts w:ascii="Garamond" w:hAnsi="Garamond"/>
        </w:rPr>
      </w:pPr>
      <w:r w:rsidRPr="00381F61">
        <w:rPr>
          <w:rFonts w:ascii="Garamond" w:hAnsi="Garamond"/>
        </w:rPr>
        <w:t xml:space="preserve">We think the </w:t>
      </w:r>
      <w:r w:rsidR="0012433D" w:rsidRPr="00381F61">
        <w:rPr>
          <w:rFonts w:ascii="Garamond" w:hAnsi="Garamond"/>
        </w:rPr>
        <w:t xml:space="preserve">idea of the </w:t>
      </w:r>
      <w:r w:rsidRPr="00381F61">
        <w:rPr>
          <w:rFonts w:ascii="Garamond" w:hAnsi="Garamond"/>
        </w:rPr>
        <w:t>Retirement Commission</w:t>
      </w:r>
      <w:r w:rsidR="00862CDA" w:rsidRPr="00381F61">
        <w:rPr>
          <w:rFonts w:ascii="Garamond" w:hAnsi="Garamond"/>
        </w:rPr>
        <w:t xml:space="preserve"> (so named)</w:t>
      </w:r>
      <w:r w:rsidRPr="00381F61">
        <w:rPr>
          <w:rFonts w:ascii="Garamond" w:hAnsi="Garamond"/>
        </w:rPr>
        <w:t xml:space="preserve"> should return to the original objectives laid out in the 1992 report and that its governing legislation</w:t>
      </w:r>
      <w:r w:rsidR="004A7B44" w:rsidRPr="00381F61">
        <w:rPr>
          <w:rStyle w:val="FootnoteReference"/>
          <w:rFonts w:ascii="Garamond" w:hAnsi="Garamond"/>
        </w:rPr>
        <w:footnoteReference w:id="268"/>
      </w:r>
      <w:r w:rsidRPr="00381F61">
        <w:rPr>
          <w:rFonts w:ascii="Garamond" w:hAnsi="Garamond"/>
        </w:rPr>
        <w:t xml:space="preserve"> should be amended to reflect that.  </w:t>
      </w:r>
    </w:p>
    <w:p w14:paraId="5A2EA12E" w14:textId="77777777" w:rsidR="008C686A" w:rsidRPr="00381F61" w:rsidRDefault="008C686A" w:rsidP="00E71CEB">
      <w:pPr>
        <w:jc w:val="both"/>
        <w:rPr>
          <w:rFonts w:ascii="Garamond" w:hAnsi="Garamond"/>
          <w:color w:val="000000"/>
        </w:rPr>
      </w:pPr>
    </w:p>
    <w:p w14:paraId="135EDBB5" w14:textId="7B6AED2F" w:rsidR="00470B2B" w:rsidRPr="00381F61" w:rsidRDefault="00470B2B" w:rsidP="00E71CEB">
      <w:pPr>
        <w:jc w:val="both"/>
        <w:rPr>
          <w:rFonts w:ascii="Garamond" w:hAnsi="Garamond"/>
          <w:color w:val="000000"/>
        </w:rPr>
      </w:pPr>
      <w:r w:rsidRPr="00381F61">
        <w:rPr>
          <w:rFonts w:ascii="Garamond" w:hAnsi="Garamond"/>
          <w:color w:val="000000"/>
        </w:rPr>
        <w:t>As we have said in section 1</w:t>
      </w:r>
      <w:r w:rsidR="000856CF" w:rsidRPr="00381F61">
        <w:rPr>
          <w:rFonts w:ascii="Garamond" w:hAnsi="Garamond"/>
          <w:color w:val="000000"/>
        </w:rPr>
        <w:t>1</w:t>
      </w:r>
      <w:r w:rsidRPr="00381F61">
        <w:rPr>
          <w:rFonts w:ascii="Garamond" w:hAnsi="Garamond"/>
          <w:color w:val="000000"/>
        </w:rPr>
        <w:t xml:space="preserve"> (</w:t>
      </w:r>
      <w:r w:rsidR="00CE0C84" w:rsidRPr="00381F61">
        <w:rPr>
          <w:rFonts w:ascii="Garamond" w:hAnsi="Garamond"/>
          <w:color w:val="000000"/>
        </w:rPr>
        <w:t>T</w:t>
      </w:r>
      <w:r w:rsidRPr="00381F61">
        <w:rPr>
          <w:rFonts w:ascii="Garamond" w:hAnsi="Garamond"/>
          <w:color w:val="000000"/>
        </w:rPr>
        <w:t xml:space="preserve">he role of </w:t>
      </w:r>
      <w:r w:rsidR="00CE0C84" w:rsidRPr="00381F61">
        <w:rPr>
          <w:rFonts w:ascii="Garamond" w:hAnsi="Garamond"/>
          <w:color w:val="000000"/>
        </w:rPr>
        <w:t xml:space="preserve">the </w:t>
      </w:r>
      <w:r w:rsidRPr="00381F61">
        <w:rPr>
          <w:rFonts w:ascii="Garamond" w:hAnsi="Garamond"/>
          <w:color w:val="000000"/>
        </w:rPr>
        <w:t xml:space="preserve">government) gathering more, better data is something that only governments can do.  We need to be better informed about </w:t>
      </w:r>
      <w:r w:rsidR="001C399A" w:rsidRPr="00381F61">
        <w:rPr>
          <w:rFonts w:ascii="Garamond" w:hAnsi="Garamond"/>
          <w:color w:val="000000"/>
        </w:rPr>
        <w:t>how</w:t>
      </w:r>
      <w:r w:rsidRPr="00381F61">
        <w:rPr>
          <w:rFonts w:ascii="Garamond" w:hAnsi="Garamond"/>
          <w:color w:val="000000"/>
        </w:rPr>
        <w:t xml:space="preserve"> New Zealanders are </w:t>
      </w:r>
      <w:r w:rsidR="001C399A" w:rsidRPr="00381F61">
        <w:rPr>
          <w:rFonts w:ascii="Garamond" w:hAnsi="Garamond"/>
          <w:color w:val="000000"/>
        </w:rPr>
        <w:t>preparing for retirement</w:t>
      </w:r>
      <w:r w:rsidRPr="00381F61">
        <w:rPr>
          <w:rFonts w:ascii="Garamond" w:hAnsi="Garamond"/>
          <w:color w:val="000000"/>
        </w:rPr>
        <w:t xml:space="preserve"> so that we can see whether there is a</w:t>
      </w:r>
      <w:r w:rsidR="008C686A" w:rsidRPr="00381F61">
        <w:rPr>
          <w:rFonts w:ascii="Garamond" w:hAnsi="Garamond"/>
          <w:color w:val="000000"/>
        </w:rPr>
        <w:t>re</w:t>
      </w:r>
      <w:r w:rsidRPr="00381F61">
        <w:rPr>
          <w:rFonts w:ascii="Garamond" w:hAnsi="Garamond"/>
          <w:color w:val="000000"/>
        </w:rPr>
        <w:t xml:space="preserve"> policy gap</w:t>
      </w:r>
      <w:r w:rsidR="008C686A" w:rsidRPr="00381F61">
        <w:rPr>
          <w:rFonts w:ascii="Garamond" w:hAnsi="Garamond"/>
          <w:color w:val="000000"/>
        </w:rPr>
        <w:t>s</w:t>
      </w:r>
      <w:r w:rsidRPr="00381F61">
        <w:rPr>
          <w:rFonts w:ascii="Garamond" w:hAnsi="Garamond"/>
          <w:color w:val="000000"/>
        </w:rPr>
        <w:t xml:space="preserve"> that </w:t>
      </w:r>
      <w:r w:rsidR="001C399A" w:rsidRPr="00381F61">
        <w:rPr>
          <w:rFonts w:ascii="Garamond" w:hAnsi="Garamond"/>
          <w:color w:val="000000"/>
        </w:rPr>
        <w:t>governments need to address.</w:t>
      </w:r>
    </w:p>
    <w:p w14:paraId="600838F5" w14:textId="77777777" w:rsidR="00470B2B" w:rsidRPr="00381F61" w:rsidRDefault="00470B2B" w:rsidP="00E71CEB">
      <w:pPr>
        <w:jc w:val="both"/>
        <w:rPr>
          <w:rFonts w:ascii="Garamond" w:hAnsi="Garamond"/>
        </w:rPr>
      </w:pPr>
    </w:p>
    <w:p w14:paraId="72CDB1AA" w14:textId="77777777" w:rsidR="007648B8" w:rsidRPr="00381F61" w:rsidRDefault="002E344E" w:rsidP="00E71CEB">
      <w:pPr>
        <w:jc w:val="both"/>
        <w:rPr>
          <w:rFonts w:ascii="Garamond" w:hAnsi="Garamond"/>
        </w:rPr>
      </w:pPr>
      <w:r w:rsidRPr="00381F61">
        <w:rPr>
          <w:rFonts w:ascii="Garamond" w:hAnsi="Garamond"/>
        </w:rPr>
        <w:t>We agree that a</w:t>
      </w:r>
      <w:r w:rsidR="001C399A" w:rsidRPr="00381F61">
        <w:rPr>
          <w:rFonts w:ascii="Garamond" w:hAnsi="Garamond"/>
        </w:rPr>
        <w:t xml:space="preserve">n important part of </w:t>
      </w:r>
      <w:r w:rsidR="008C686A" w:rsidRPr="00381F61">
        <w:rPr>
          <w:rFonts w:ascii="Garamond" w:hAnsi="Garamond"/>
        </w:rPr>
        <w:t>a</w:t>
      </w:r>
      <w:r w:rsidR="001C399A" w:rsidRPr="00381F61">
        <w:rPr>
          <w:rFonts w:ascii="Garamond" w:hAnsi="Garamond"/>
        </w:rPr>
        <w:t xml:space="preserve"> 21</w:t>
      </w:r>
      <w:r w:rsidR="001C399A" w:rsidRPr="00381F61">
        <w:rPr>
          <w:rFonts w:ascii="Garamond" w:hAnsi="Garamond"/>
          <w:vertAlign w:val="superscript"/>
        </w:rPr>
        <w:t>st</w:t>
      </w:r>
      <w:r w:rsidR="001C399A" w:rsidRPr="00381F61">
        <w:rPr>
          <w:rFonts w:ascii="Garamond" w:hAnsi="Garamond"/>
        </w:rPr>
        <w:t xml:space="preserve"> Century NZS </w:t>
      </w:r>
      <w:r w:rsidRPr="00381F61">
        <w:rPr>
          <w:rFonts w:ascii="Garamond" w:hAnsi="Garamond"/>
        </w:rPr>
        <w:t>is</w:t>
      </w:r>
      <w:r w:rsidR="001C399A" w:rsidRPr="00381F61">
        <w:rPr>
          <w:rFonts w:ascii="Garamond" w:hAnsi="Garamond"/>
        </w:rPr>
        <w:t xml:space="preserve"> a regular review process of the kind currently carried out every three years by the Retirement Commissioner (under section 83(c) of the </w:t>
      </w:r>
      <w:r w:rsidR="00123721" w:rsidRPr="00381F61">
        <w:rPr>
          <w:rFonts w:ascii="Garamond" w:hAnsi="Garamond"/>
        </w:rPr>
        <w:t>New Zealand Super</w:t>
      </w:r>
      <w:r w:rsidR="00F53255" w:rsidRPr="00381F61">
        <w:rPr>
          <w:rFonts w:ascii="Garamond" w:hAnsi="Garamond"/>
        </w:rPr>
        <w:t xml:space="preserve">annuation and Retirement Income </w:t>
      </w:r>
      <w:r w:rsidR="001C399A" w:rsidRPr="00381F61">
        <w:rPr>
          <w:rFonts w:ascii="Garamond" w:hAnsi="Garamond"/>
        </w:rPr>
        <w:t>Act</w:t>
      </w:r>
      <w:r w:rsidR="00F53255" w:rsidRPr="00381F61">
        <w:rPr>
          <w:rFonts w:ascii="Garamond" w:hAnsi="Garamond"/>
        </w:rPr>
        <w:t xml:space="preserve"> 2001</w:t>
      </w:r>
      <w:r w:rsidR="00165300" w:rsidRPr="00381F61">
        <w:rPr>
          <w:rFonts w:ascii="Garamond" w:hAnsi="Garamond"/>
        </w:rPr>
        <w:t>,</w:t>
      </w:r>
      <w:r w:rsidR="00D82C86" w:rsidRPr="00381F61">
        <w:rPr>
          <w:rFonts w:ascii="Garamond" w:hAnsi="Garamond"/>
        </w:rPr>
        <w:t xml:space="preserve"> accessible </w:t>
      </w:r>
      <w:hyperlink r:id="rId88" w:history="1">
        <w:r w:rsidR="00D82C86" w:rsidRPr="00381F61">
          <w:rPr>
            <w:rStyle w:val="Hyperlink"/>
            <w:rFonts w:ascii="Garamond" w:hAnsi="Garamond"/>
          </w:rPr>
          <w:t>here</w:t>
        </w:r>
      </w:hyperlink>
      <w:r w:rsidR="001C399A" w:rsidRPr="00381F61">
        <w:rPr>
          <w:rFonts w:ascii="Garamond" w:hAnsi="Garamond"/>
        </w:rPr>
        <w:t>).  However, if those reviews were more independent</w:t>
      </w:r>
      <w:r w:rsidR="001C399A" w:rsidRPr="00381F61">
        <w:rPr>
          <w:rStyle w:val="FootnoteReference"/>
          <w:rFonts w:ascii="Garamond" w:hAnsi="Garamond"/>
        </w:rPr>
        <w:footnoteReference w:id="269"/>
      </w:r>
      <w:r w:rsidR="001C399A" w:rsidRPr="00381F61">
        <w:rPr>
          <w:rFonts w:ascii="Garamond" w:hAnsi="Garamond"/>
        </w:rPr>
        <w:t xml:space="preserve"> and were properly resourced, they need not be every three years: every ten years would probably be sufficient</w:t>
      </w:r>
      <w:r w:rsidR="00165300" w:rsidRPr="00381F61">
        <w:rPr>
          <w:rFonts w:ascii="Garamond" w:hAnsi="Garamond"/>
        </w:rPr>
        <w:t xml:space="preserve"> (the 1992 Task Force recommended every six years)</w:t>
      </w:r>
      <w:r w:rsidR="001C399A" w:rsidRPr="00381F61">
        <w:rPr>
          <w:rFonts w:ascii="Garamond" w:hAnsi="Garamond"/>
        </w:rPr>
        <w:t>.</w:t>
      </w:r>
    </w:p>
    <w:p w14:paraId="38608A61" w14:textId="77777777" w:rsidR="007648B8" w:rsidRPr="00381F61" w:rsidRDefault="007648B8" w:rsidP="00E71CEB">
      <w:pPr>
        <w:jc w:val="both"/>
        <w:rPr>
          <w:rFonts w:ascii="Garamond" w:hAnsi="Garamond"/>
        </w:rPr>
      </w:pPr>
    </w:p>
    <w:p w14:paraId="3F7522FF" w14:textId="501A25ED" w:rsidR="001C399A" w:rsidRPr="00381F61" w:rsidRDefault="001C399A" w:rsidP="00E71CEB">
      <w:pPr>
        <w:jc w:val="both"/>
        <w:rPr>
          <w:rFonts w:ascii="Garamond" w:hAnsi="Garamond"/>
        </w:rPr>
      </w:pPr>
      <w:r w:rsidRPr="00381F61">
        <w:rPr>
          <w:rFonts w:ascii="Garamond" w:hAnsi="Garamond"/>
        </w:rPr>
        <w:t>The</w:t>
      </w:r>
      <w:r w:rsidR="007648B8" w:rsidRPr="00381F61">
        <w:rPr>
          <w:rFonts w:ascii="Garamond" w:hAnsi="Garamond"/>
        </w:rPr>
        <w:t xml:space="preserve"> reviews</w:t>
      </w:r>
      <w:r w:rsidRPr="00381F61">
        <w:rPr>
          <w:rFonts w:ascii="Garamond" w:hAnsi="Garamond"/>
        </w:rPr>
        <w:t xml:space="preserve"> should also be confined to NZS and its implications</w:t>
      </w:r>
      <w:r w:rsidR="00F20FEF" w:rsidRPr="00381F61">
        <w:rPr>
          <w:rFonts w:ascii="Garamond" w:hAnsi="Garamond"/>
        </w:rPr>
        <w:t xml:space="preserve"> to both public policy and private responses</w:t>
      </w:r>
      <w:r w:rsidRPr="00381F61">
        <w:rPr>
          <w:rFonts w:ascii="Garamond" w:hAnsi="Garamond"/>
        </w:rPr>
        <w:t>.</w:t>
      </w:r>
      <w:r w:rsidR="00275BD4" w:rsidRPr="00381F61">
        <w:rPr>
          <w:rFonts w:ascii="Garamond" w:hAnsi="Garamond"/>
        </w:rPr>
        <w:t xml:space="preserve">  We do not dispute the significance of issues associated with financial literacy but suggest the Retirement Commissioner has been diverted from the main purpose of the reviews recommended by the 1992 Task Force.  Financial literacy seems more </w:t>
      </w:r>
      <w:r w:rsidR="00F20FEF" w:rsidRPr="00381F61">
        <w:rPr>
          <w:rFonts w:ascii="Garamond" w:hAnsi="Garamond"/>
        </w:rPr>
        <w:t xml:space="preserve">naturally </w:t>
      </w:r>
      <w:r w:rsidR="00275BD4" w:rsidRPr="00381F61">
        <w:rPr>
          <w:rFonts w:ascii="Garamond" w:hAnsi="Garamond"/>
        </w:rPr>
        <w:t>associated with school curriculums and ‘further education’</w:t>
      </w:r>
      <w:r w:rsidR="00921AF4" w:rsidRPr="00381F61">
        <w:rPr>
          <w:rFonts w:ascii="Garamond" w:hAnsi="Garamond"/>
        </w:rPr>
        <w:t xml:space="preserve"> rather than public policy issues associated with retirement incomes, though the two are related</w:t>
      </w:r>
      <w:r w:rsidR="00E62943" w:rsidRPr="00381F61">
        <w:rPr>
          <w:rFonts w:ascii="Garamond" w:hAnsi="Garamond"/>
        </w:rPr>
        <w:t xml:space="preserve"> (in much the same way as reading skills and disclosure regimes are connected</w:t>
      </w:r>
      <w:r w:rsidR="00E03AB0" w:rsidRPr="00381F61">
        <w:rPr>
          <w:rFonts w:ascii="Garamond" w:hAnsi="Garamond"/>
        </w:rPr>
        <w:t>)</w:t>
      </w:r>
      <w:r w:rsidR="00275BD4" w:rsidRPr="00381F61">
        <w:rPr>
          <w:rFonts w:ascii="Garamond" w:hAnsi="Garamond"/>
        </w:rPr>
        <w:t xml:space="preserve">. </w:t>
      </w:r>
    </w:p>
    <w:p w14:paraId="4C1650A8" w14:textId="77777777" w:rsidR="0012433D" w:rsidRPr="00381F61" w:rsidRDefault="0012433D" w:rsidP="00E71CEB">
      <w:pPr>
        <w:jc w:val="both"/>
        <w:rPr>
          <w:rFonts w:ascii="Garamond" w:hAnsi="Garamond"/>
        </w:rPr>
      </w:pPr>
    </w:p>
    <w:p w14:paraId="3DB254F5" w14:textId="4C389ECB" w:rsidR="00B8190D" w:rsidRPr="00381F61" w:rsidRDefault="0012433D" w:rsidP="00E71CEB">
      <w:pPr>
        <w:pStyle w:val="Footer"/>
        <w:jc w:val="both"/>
        <w:rPr>
          <w:rFonts w:ascii="Garamond" w:hAnsi="Garamond"/>
        </w:rPr>
      </w:pPr>
      <w:r w:rsidRPr="00381F61">
        <w:rPr>
          <w:rFonts w:ascii="Garamond" w:hAnsi="Garamond"/>
        </w:rPr>
        <w:t xml:space="preserve">One of </w:t>
      </w:r>
      <w:r w:rsidR="00964040" w:rsidRPr="00381F61">
        <w:rPr>
          <w:rFonts w:ascii="Garamond" w:hAnsi="Garamond"/>
        </w:rPr>
        <w:t>this report’s</w:t>
      </w:r>
      <w:r w:rsidRPr="00381F61">
        <w:rPr>
          <w:rFonts w:ascii="Garamond" w:hAnsi="Garamond"/>
        </w:rPr>
        <w:t xml:space="preserve"> most significant recommendations (section 1</w:t>
      </w:r>
      <w:r w:rsidR="000856CF" w:rsidRPr="00381F61">
        <w:rPr>
          <w:rFonts w:ascii="Garamond" w:hAnsi="Garamond"/>
        </w:rPr>
        <w:t>5</w:t>
      </w:r>
      <w:r w:rsidRPr="00381F61">
        <w:rPr>
          <w:rFonts w:ascii="Garamond" w:hAnsi="Garamond"/>
        </w:rPr>
        <w:t xml:space="preserve"> – Households’ financial position) would see the development of a permanent</w:t>
      </w:r>
      <w:r w:rsidR="00275BD4" w:rsidRPr="00381F61">
        <w:rPr>
          <w:rFonts w:ascii="Garamond" w:hAnsi="Garamond"/>
        </w:rPr>
        <w:t>,</w:t>
      </w:r>
      <w:r w:rsidRPr="00381F61">
        <w:rPr>
          <w:rFonts w:ascii="Garamond" w:hAnsi="Garamond"/>
        </w:rPr>
        <w:t xml:space="preserve"> </w:t>
      </w:r>
      <w:r w:rsidR="00964040" w:rsidRPr="00381F61">
        <w:rPr>
          <w:rFonts w:ascii="Garamond" w:hAnsi="Garamond"/>
        </w:rPr>
        <w:t xml:space="preserve">longitudinal survey of households’ financial behaviour.  As we said, the only way to discover what is happening at a household level is to </w:t>
      </w:r>
      <w:r w:rsidR="00F20EB5" w:rsidRPr="00381F61">
        <w:rPr>
          <w:rFonts w:ascii="Garamond" w:hAnsi="Garamond"/>
        </w:rPr>
        <w:t>find out from</w:t>
      </w:r>
      <w:r w:rsidR="00964040" w:rsidRPr="00381F61">
        <w:rPr>
          <w:rFonts w:ascii="Garamond" w:hAnsi="Garamond"/>
        </w:rPr>
        <w:t xml:space="preserve"> households themselves what they are doing – what they own and owe; what their retirement aspirations might be and what they might be doing about those now and over time.  </w:t>
      </w:r>
      <w:r w:rsidR="00EE522D" w:rsidRPr="00381F61">
        <w:rPr>
          <w:rFonts w:ascii="Garamond" w:hAnsi="Garamond"/>
        </w:rPr>
        <w:t>And, if we do not start this process soon, we will still have inadequate data for the 2022 Review.</w:t>
      </w:r>
    </w:p>
    <w:p w14:paraId="1999D68B" w14:textId="77777777" w:rsidR="00B8190D" w:rsidRPr="00381F61" w:rsidRDefault="00B8190D" w:rsidP="00E71CEB">
      <w:pPr>
        <w:pStyle w:val="Footer"/>
        <w:jc w:val="both"/>
        <w:rPr>
          <w:rFonts w:ascii="Garamond" w:hAnsi="Garamond"/>
        </w:rPr>
      </w:pPr>
    </w:p>
    <w:p w14:paraId="71E3D08F" w14:textId="7D7200E9" w:rsidR="00AD51A4" w:rsidRPr="00381F61" w:rsidRDefault="00AD51A4" w:rsidP="00E71CEB">
      <w:pPr>
        <w:pStyle w:val="Footer"/>
        <w:jc w:val="both"/>
        <w:rPr>
          <w:rFonts w:ascii="Garamond" w:hAnsi="Garamond"/>
        </w:rPr>
      </w:pPr>
      <w:r w:rsidRPr="00381F61">
        <w:rPr>
          <w:rFonts w:ascii="Garamond" w:hAnsi="Garamond"/>
        </w:rPr>
        <w:t>And this is not just about money – work, health, obtaining new skills, moving to a new location</w:t>
      </w:r>
      <w:r w:rsidR="00510E50" w:rsidRPr="00381F61">
        <w:rPr>
          <w:rFonts w:ascii="Garamond" w:hAnsi="Garamond"/>
        </w:rPr>
        <w:t xml:space="preserve">, </w:t>
      </w:r>
      <w:r w:rsidR="00B8619E" w:rsidRPr="00381F61">
        <w:rPr>
          <w:rFonts w:ascii="Garamond" w:hAnsi="Garamond"/>
        </w:rPr>
        <w:t xml:space="preserve">housing, </w:t>
      </w:r>
      <w:r w:rsidR="00510E50" w:rsidRPr="00381F61">
        <w:rPr>
          <w:rFonts w:ascii="Garamond" w:hAnsi="Garamond"/>
        </w:rPr>
        <w:t>different decisions by household members</w:t>
      </w:r>
      <w:r w:rsidRPr="00381F61">
        <w:rPr>
          <w:rFonts w:ascii="Garamond" w:hAnsi="Garamond"/>
        </w:rPr>
        <w:t xml:space="preserve"> and family support and responsibilities all play a part in the ‘retirement’ decision.  We have no idea how these i</w:t>
      </w:r>
      <w:r w:rsidR="008870AF" w:rsidRPr="00381F61">
        <w:rPr>
          <w:rFonts w:ascii="Garamond" w:hAnsi="Garamond"/>
        </w:rPr>
        <w:t>nfluences affect retirees today and we must find out.</w:t>
      </w:r>
    </w:p>
    <w:p w14:paraId="5B3DBF31" w14:textId="77777777" w:rsidR="00AD51A4" w:rsidRPr="00381F61" w:rsidRDefault="00AD51A4" w:rsidP="00E71CEB">
      <w:pPr>
        <w:pStyle w:val="Footer"/>
        <w:jc w:val="both"/>
        <w:rPr>
          <w:rFonts w:ascii="Garamond" w:hAnsi="Garamond"/>
        </w:rPr>
      </w:pPr>
    </w:p>
    <w:p w14:paraId="4E7B9630" w14:textId="624CF726" w:rsidR="008870AF" w:rsidRPr="00381F61" w:rsidRDefault="00964040" w:rsidP="00E71CEB">
      <w:pPr>
        <w:pStyle w:val="Footer"/>
        <w:jc w:val="both"/>
        <w:rPr>
          <w:rFonts w:ascii="Garamond" w:hAnsi="Garamond"/>
        </w:rPr>
      </w:pPr>
      <w:r w:rsidRPr="00381F61">
        <w:rPr>
          <w:rFonts w:ascii="Garamond" w:hAnsi="Garamond"/>
        </w:rPr>
        <w:t xml:space="preserve">SoFIE tried to uncover </w:t>
      </w:r>
      <w:r w:rsidR="00AD51A4" w:rsidRPr="00381F61">
        <w:rPr>
          <w:rFonts w:ascii="Garamond" w:hAnsi="Garamond"/>
        </w:rPr>
        <w:t>some of this</w:t>
      </w:r>
      <w:r w:rsidRPr="00381F61">
        <w:rPr>
          <w:rFonts w:ascii="Garamond" w:hAnsi="Garamond"/>
        </w:rPr>
        <w:t xml:space="preserve"> crucial information and some insights emerged</w:t>
      </w:r>
      <w:r w:rsidR="009A5FF1" w:rsidRPr="00381F61">
        <w:rPr>
          <w:rFonts w:ascii="Garamond" w:hAnsi="Garamond"/>
        </w:rPr>
        <w:t xml:space="preserve"> but the longitudinal process did not work well</w:t>
      </w:r>
      <w:r w:rsidRPr="00381F61">
        <w:rPr>
          <w:rFonts w:ascii="Garamond" w:hAnsi="Garamond"/>
        </w:rPr>
        <w:t xml:space="preserve">.  </w:t>
      </w:r>
      <w:r w:rsidR="008870AF" w:rsidRPr="00381F61">
        <w:rPr>
          <w:rFonts w:ascii="Garamond" w:hAnsi="Garamond"/>
        </w:rPr>
        <w:t>We understand that matching later tranches of data to earlier required some quite heroic statistical work.</w:t>
      </w:r>
      <w:r w:rsidR="00B8190D" w:rsidRPr="00381F61">
        <w:rPr>
          <w:rFonts w:ascii="Garamond" w:hAnsi="Garamond"/>
        </w:rPr>
        <w:t xml:space="preserve">  That limited both the timeliness and usefulness of the data produced.</w:t>
      </w:r>
    </w:p>
    <w:p w14:paraId="3229F612" w14:textId="77777777" w:rsidR="008870AF" w:rsidRPr="00381F61" w:rsidRDefault="008870AF" w:rsidP="00E71CEB">
      <w:pPr>
        <w:pStyle w:val="Footer"/>
        <w:jc w:val="both"/>
        <w:rPr>
          <w:rFonts w:ascii="Garamond" w:hAnsi="Garamond"/>
        </w:rPr>
      </w:pPr>
    </w:p>
    <w:p w14:paraId="53EFF2E1" w14:textId="3330A4D8" w:rsidR="00964040" w:rsidRPr="00381F61" w:rsidRDefault="008870AF" w:rsidP="00E71CEB">
      <w:pPr>
        <w:pStyle w:val="Footer"/>
        <w:jc w:val="both"/>
        <w:rPr>
          <w:rFonts w:ascii="Garamond" w:hAnsi="Garamond"/>
        </w:rPr>
      </w:pPr>
      <w:r w:rsidRPr="00381F61">
        <w:rPr>
          <w:rFonts w:ascii="Garamond" w:hAnsi="Garamond"/>
        </w:rPr>
        <w:t>New Zealand</w:t>
      </w:r>
      <w:r w:rsidR="00964040" w:rsidRPr="00381F61">
        <w:rPr>
          <w:rFonts w:ascii="Garamond" w:hAnsi="Garamond"/>
        </w:rPr>
        <w:t xml:space="preserve"> need</w:t>
      </w:r>
      <w:r w:rsidRPr="00381F61">
        <w:rPr>
          <w:rFonts w:ascii="Garamond" w:hAnsi="Garamond"/>
        </w:rPr>
        <w:t>s</w:t>
      </w:r>
      <w:r w:rsidR="00964040" w:rsidRPr="00381F61">
        <w:rPr>
          <w:rFonts w:ascii="Garamond" w:hAnsi="Garamond"/>
        </w:rPr>
        <w:t xml:space="preserve"> to </w:t>
      </w:r>
      <w:r w:rsidR="00CD78CA" w:rsidRPr="00381F61">
        <w:rPr>
          <w:rFonts w:ascii="Garamond" w:hAnsi="Garamond"/>
        </w:rPr>
        <w:t xml:space="preserve">learn lessons from SoFIE and </w:t>
      </w:r>
      <w:r w:rsidRPr="00381F61">
        <w:rPr>
          <w:rFonts w:ascii="Garamond" w:hAnsi="Garamond"/>
        </w:rPr>
        <w:t xml:space="preserve">we must </w:t>
      </w:r>
      <w:r w:rsidR="00964040" w:rsidRPr="00381F61">
        <w:rPr>
          <w:rFonts w:ascii="Garamond" w:hAnsi="Garamond"/>
        </w:rPr>
        <w:t>do better</w:t>
      </w:r>
      <w:r w:rsidR="00510E50" w:rsidRPr="00381F61">
        <w:rPr>
          <w:rFonts w:ascii="Garamond" w:hAnsi="Garamond"/>
        </w:rPr>
        <w:t xml:space="preserve"> next time</w:t>
      </w:r>
      <w:r w:rsidR="00EE522D" w:rsidRPr="00381F61">
        <w:rPr>
          <w:rFonts w:ascii="Garamond" w:hAnsi="Garamond"/>
        </w:rPr>
        <w:t>,</w:t>
      </w:r>
      <w:r w:rsidR="00964040" w:rsidRPr="00381F61">
        <w:rPr>
          <w:rFonts w:ascii="Garamond" w:hAnsi="Garamond"/>
        </w:rPr>
        <w:t xml:space="preserve"> but it will take at least 10 years, once the </w:t>
      </w:r>
      <w:r w:rsidR="00E71CEB" w:rsidRPr="00381F61">
        <w:rPr>
          <w:rFonts w:ascii="Garamond" w:hAnsi="Garamond"/>
        </w:rPr>
        <w:t xml:space="preserve">new </w:t>
      </w:r>
      <w:r w:rsidR="00964040" w:rsidRPr="00381F61">
        <w:rPr>
          <w:rFonts w:ascii="Garamond" w:hAnsi="Garamond"/>
        </w:rPr>
        <w:t xml:space="preserve">survey starts, for </w:t>
      </w:r>
      <w:r w:rsidR="00E71CEB" w:rsidRPr="00381F61">
        <w:rPr>
          <w:rFonts w:ascii="Garamond" w:hAnsi="Garamond"/>
        </w:rPr>
        <w:t>meaningful</w:t>
      </w:r>
      <w:r w:rsidR="00964040" w:rsidRPr="00381F61">
        <w:rPr>
          <w:rFonts w:ascii="Garamond" w:hAnsi="Garamond"/>
        </w:rPr>
        <w:t xml:space="preserve"> patterns to emerge.  To have a full review in 203</w:t>
      </w:r>
      <w:r w:rsidR="00E03AB0" w:rsidRPr="00381F61">
        <w:rPr>
          <w:rFonts w:ascii="Garamond" w:hAnsi="Garamond"/>
        </w:rPr>
        <w:t>5</w:t>
      </w:r>
      <w:r w:rsidR="00964040" w:rsidRPr="00381F61">
        <w:rPr>
          <w:rFonts w:ascii="Garamond" w:hAnsi="Garamond"/>
        </w:rPr>
        <w:t xml:space="preserve"> will be only just enough time, as long as the commitment for the recommended survey is made now.</w:t>
      </w:r>
    </w:p>
    <w:p w14:paraId="1311C5A6" w14:textId="77777777" w:rsidR="00013F88" w:rsidRPr="00381F61" w:rsidRDefault="00013F88" w:rsidP="00E71CEB">
      <w:pPr>
        <w:pStyle w:val="Footer"/>
        <w:jc w:val="both"/>
        <w:rPr>
          <w:rFonts w:ascii="Garamond" w:hAnsi="Garamond"/>
        </w:rPr>
      </w:pPr>
    </w:p>
    <w:p w14:paraId="2BD82262" w14:textId="5FD957D2" w:rsidR="00013F88" w:rsidRPr="00381F61" w:rsidRDefault="00013F88" w:rsidP="00E71CEB">
      <w:pPr>
        <w:pStyle w:val="Footer"/>
        <w:jc w:val="both"/>
        <w:rPr>
          <w:rFonts w:ascii="Garamond" w:hAnsi="Garamond"/>
          <w:bCs/>
        </w:rPr>
      </w:pPr>
      <w:r w:rsidRPr="00381F61">
        <w:rPr>
          <w:rFonts w:ascii="Garamond" w:hAnsi="Garamond"/>
        </w:rPr>
        <w:t xml:space="preserve">Part of the national discussion that New Zealand now needs should be a review of the Retirement Commissioner’s role.  </w:t>
      </w:r>
      <w:r w:rsidR="000853D3" w:rsidRPr="00381F61">
        <w:rPr>
          <w:rFonts w:ascii="Garamond" w:hAnsi="Garamond"/>
        </w:rPr>
        <w:t xml:space="preserve">The Retirement Commissioner should contribute </w:t>
      </w:r>
      <w:r w:rsidR="00FB4107" w:rsidRPr="00381F61">
        <w:rPr>
          <w:rFonts w:ascii="Garamond" w:hAnsi="Garamond"/>
        </w:rPr>
        <w:t>to that discussion but cannot run it.</w:t>
      </w:r>
    </w:p>
    <w:p w14:paraId="0256D947" w14:textId="77777777" w:rsidR="00E03AB0" w:rsidRPr="00381F61" w:rsidRDefault="00E03AB0" w:rsidP="00E03AB0">
      <w:pPr>
        <w:jc w:val="both"/>
        <w:rPr>
          <w:rFonts w:ascii="Garamond" w:hAnsi="Garamond"/>
          <w:b/>
        </w:rPr>
      </w:pPr>
    </w:p>
    <w:p w14:paraId="58DA1989" w14:textId="77777777" w:rsidR="00E03AB0" w:rsidRPr="00381F61" w:rsidRDefault="00E03AB0" w:rsidP="00E03AB0">
      <w:pPr>
        <w:jc w:val="both"/>
        <w:rPr>
          <w:rFonts w:ascii="Garamond" w:hAnsi="Garamond"/>
        </w:rPr>
      </w:pPr>
      <w:r w:rsidRPr="00381F61">
        <w:rPr>
          <w:rFonts w:ascii="Garamond" w:hAnsi="Garamond"/>
          <w:b/>
        </w:rPr>
        <w:t>Terms of reference for 2019 Review</w:t>
      </w:r>
    </w:p>
    <w:p w14:paraId="42128512" w14:textId="77777777" w:rsidR="00E03AB0" w:rsidRPr="00381F61" w:rsidRDefault="00E03AB0" w:rsidP="00E03AB0">
      <w:pPr>
        <w:jc w:val="both"/>
        <w:rPr>
          <w:rFonts w:ascii="Garamond" w:hAnsi="Garamond"/>
        </w:rPr>
      </w:pPr>
    </w:p>
    <w:p w14:paraId="59910AA6" w14:textId="6C30B6CD" w:rsidR="00E03AB0" w:rsidRPr="00381F61" w:rsidRDefault="00E03AB0" w:rsidP="00E03AB0">
      <w:pPr>
        <w:jc w:val="both"/>
        <w:rPr>
          <w:rFonts w:ascii="Garamond" w:hAnsi="Garamond"/>
        </w:rPr>
      </w:pPr>
      <w:r w:rsidRPr="00381F61">
        <w:rPr>
          <w:rFonts w:ascii="Garamond" w:hAnsi="Garamond"/>
        </w:rPr>
        <w:t>There was no reference in the Terms of Reference for the Retirement Commissioner’s 2019 Review to issues associated with the operation and effectiveness of the Commission for Financial Capability itself</w:t>
      </w:r>
      <w:r w:rsidR="0078390F" w:rsidRPr="00381F61">
        <w:rPr>
          <w:rFonts w:ascii="Garamond" w:hAnsi="Garamond"/>
        </w:rPr>
        <w:t xml:space="preserve">.  We agree that the CFFC’s functions cannot be reviewed </w:t>
      </w:r>
      <w:r w:rsidR="00490266" w:rsidRPr="00381F61">
        <w:rPr>
          <w:rFonts w:ascii="Garamond" w:hAnsi="Garamond"/>
        </w:rPr>
        <w:t xml:space="preserve">directly </w:t>
      </w:r>
      <w:r w:rsidR="0078390F" w:rsidRPr="00381F61">
        <w:rPr>
          <w:rFonts w:ascii="Garamond" w:hAnsi="Garamond"/>
        </w:rPr>
        <w:t>by the Retirement Commissioner</w:t>
      </w:r>
      <w:r w:rsidR="00EE522D" w:rsidRPr="00381F61">
        <w:rPr>
          <w:rFonts w:ascii="Garamond" w:hAnsi="Garamond"/>
        </w:rPr>
        <w:t>,</w:t>
      </w:r>
      <w:r w:rsidR="0078390F" w:rsidRPr="00381F61">
        <w:rPr>
          <w:rFonts w:ascii="Garamond" w:hAnsi="Garamond"/>
        </w:rPr>
        <w:t xml:space="preserve"> </w:t>
      </w:r>
      <w:r w:rsidR="00490266" w:rsidRPr="00381F61">
        <w:rPr>
          <w:rFonts w:ascii="Garamond" w:hAnsi="Garamond"/>
        </w:rPr>
        <w:t>but they do need reviewing - t</w:t>
      </w:r>
      <w:r w:rsidR="0078390F" w:rsidRPr="00381F61">
        <w:rPr>
          <w:rFonts w:ascii="Garamond" w:hAnsi="Garamond"/>
        </w:rPr>
        <w:t>he following questions need addressing sooner rather than later.</w:t>
      </w:r>
    </w:p>
    <w:p w14:paraId="04998DA0" w14:textId="2615999C" w:rsidR="0012433D" w:rsidRPr="00381F61" w:rsidRDefault="0012433D" w:rsidP="00E71CEB">
      <w:pPr>
        <w:jc w:val="both"/>
        <w:rPr>
          <w:rFonts w:ascii="Garamond" w:hAnsi="Garamond"/>
        </w:rPr>
      </w:pPr>
    </w:p>
    <w:p w14:paraId="47FFD60A" w14:textId="2CCB7B6D" w:rsidR="008C686A" w:rsidRPr="00381F61" w:rsidRDefault="00964040" w:rsidP="00E71CEB">
      <w:pPr>
        <w:jc w:val="both"/>
        <w:rPr>
          <w:rFonts w:ascii="Garamond" w:hAnsi="Garamond"/>
          <w:b/>
        </w:rPr>
      </w:pPr>
      <w:r w:rsidRPr="00381F61">
        <w:rPr>
          <w:rFonts w:ascii="Garamond" w:hAnsi="Garamond"/>
          <w:b/>
        </w:rPr>
        <w:t>Questions New Zealand</w:t>
      </w:r>
      <w:r w:rsidR="00CC0BC7" w:rsidRPr="00381F61">
        <w:rPr>
          <w:rFonts w:ascii="Garamond" w:hAnsi="Garamond"/>
          <w:b/>
        </w:rPr>
        <w:t xml:space="preserve"> needs</w:t>
      </w:r>
      <w:r w:rsidRPr="00381F61">
        <w:rPr>
          <w:rFonts w:ascii="Garamond" w:hAnsi="Garamond"/>
          <w:b/>
        </w:rPr>
        <w:t xml:space="preserve"> to discuss</w:t>
      </w:r>
      <w:r w:rsidR="00CC0BC7" w:rsidRPr="00381F61">
        <w:rPr>
          <w:rFonts w:ascii="Garamond" w:hAnsi="Garamond"/>
          <w:b/>
        </w:rPr>
        <w:t xml:space="preserve"> on the retirement income review process</w:t>
      </w:r>
      <w:r w:rsidRPr="00381F61">
        <w:rPr>
          <w:rFonts w:ascii="Garamond" w:hAnsi="Garamond"/>
          <w:b/>
        </w:rPr>
        <w:t>:</w:t>
      </w:r>
    </w:p>
    <w:p w14:paraId="282DC09A" w14:textId="77777777" w:rsidR="00964040" w:rsidRPr="00381F61" w:rsidRDefault="00964040" w:rsidP="00E71CEB">
      <w:pPr>
        <w:jc w:val="both"/>
        <w:rPr>
          <w:rFonts w:ascii="Garamond" w:hAnsi="Garamond"/>
          <w:b/>
        </w:rPr>
      </w:pPr>
    </w:p>
    <w:p w14:paraId="3CA3AB2D" w14:textId="1F0CC89A" w:rsidR="00964040" w:rsidRPr="00381F61" w:rsidRDefault="00964040" w:rsidP="00E71CEB">
      <w:pPr>
        <w:pStyle w:val="ListParagraph"/>
        <w:numPr>
          <w:ilvl w:val="0"/>
          <w:numId w:val="42"/>
        </w:numPr>
        <w:jc w:val="both"/>
        <w:rPr>
          <w:rFonts w:ascii="Garamond" w:hAnsi="Garamond"/>
        </w:rPr>
      </w:pPr>
      <w:r w:rsidRPr="00381F61">
        <w:rPr>
          <w:rFonts w:ascii="Garamond" w:hAnsi="Garamond"/>
        </w:rPr>
        <w:t xml:space="preserve">What exactly have the </w:t>
      </w:r>
      <w:r w:rsidR="00FE4A21" w:rsidRPr="00381F61">
        <w:rPr>
          <w:rFonts w:ascii="Garamond" w:hAnsi="Garamond"/>
        </w:rPr>
        <w:t xml:space="preserve">six </w:t>
      </w:r>
      <w:r w:rsidRPr="00381F61">
        <w:rPr>
          <w:rFonts w:ascii="Garamond" w:hAnsi="Garamond"/>
        </w:rPr>
        <w:t>regular reviews of New Zealand’s retirement income policies</w:t>
      </w:r>
      <w:r w:rsidR="00E71CEB" w:rsidRPr="00381F61">
        <w:rPr>
          <w:rStyle w:val="FootnoteReference"/>
          <w:rFonts w:ascii="Garamond" w:hAnsi="Garamond"/>
        </w:rPr>
        <w:footnoteReference w:id="270"/>
      </w:r>
      <w:r w:rsidRPr="00381F61">
        <w:rPr>
          <w:rFonts w:ascii="Garamond" w:hAnsi="Garamond"/>
        </w:rPr>
        <w:t xml:space="preserve"> achieved (recommendations</w:t>
      </w:r>
      <w:r w:rsidR="00ED2CAE" w:rsidRPr="00381F61">
        <w:rPr>
          <w:rFonts w:ascii="Garamond" w:hAnsi="Garamond"/>
        </w:rPr>
        <w:t xml:space="preserve"> made vs. recommendations</w:t>
      </w:r>
      <w:r w:rsidRPr="00381F61">
        <w:rPr>
          <w:rFonts w:ascii="Garamond" w:hAnsi="Garamond"/>
        </w:rPr>
        <w:t xml:space="preserve"> implemented</w:t>
      </w:r>
      <w:r w:rsidR="00A0593F" w:rsidRPr="00381F61">
        <w:rPr>
          <w:rFonts w:ascii="Garamond" w:hAnsi="Garamond"/>
        </w:rPr>
        <w:t xml:space="preserve">; quality </w:t>
      </w:r>
      <w:r w:rsidR="00E03AB0" w:rsidRPr="00381F61">
        <w:rPr>
          <w:rFonts w:ascii="Garamond" w:hAnsi="Garamond"/>
        </w:rPr>
        <w:t xml:space="preserve">and significance </w:t>
      </w:r>
      <w:r w:rsidR="00A0593F" w:rsidRPr="00381F61">
        <w:rPr>
          <w:rFonts w:ascii="Garamond" w:hAnsi="Garamond"/>
        </w:rPr>
        <w:t>of recommendations and supporting data</w:t>
      </w:r>
      <w:r w:rsidRPr="00381F61">
        <w:rPr>
          <w:rFonts w:ascii="Garamond" w:hAnsi="Garamond"/>
        </w:rPr>
        <w:t>)?</w:t>
      </w:r>
      <w:r w:rsidR="00C937FE" w:rsidRPr="00381F61">
        <w:rPr>
          <w:rStyle w:val="FootnoteReference"/>
          <w:rFonts w:ascii="Garamond" w:hAnsi="Garamond"/>
        </w:rPr>
        <w:footnoteReference w:id="271"/>
      </w:r>
      <w:r w:rsidRPr="00381F61">
        <w:rPr>
          <w:rFonts w:ascii="Garamond" w:hAnsi="Garamond"/>
        </w:rPr>
        <w:t xml:space="preserve"> </w:t>
      </w:r>
    </w:p>
    <w:p w14:paraId="61F2656D" w14:textId="77777777" w:rsidR="009A5FF1" w:rsidRPr="00381F61" w:rsidRDefault="009A5FF1" w:rsidP="009A5FF1">
      <w:pPr>
        <w:pStyle w:val="ListParagraph"/>
        <w:jc w:val="both"/>
        <w:rPr>
          <w:rFonts w:ascii="Garamond" w:hAnsi="Garamond"/>
        </w:rPr>
      </w:pPr>
    </w:p>
    <w:p w14:paraId="6A505DDC" w14:textId="20760CCE" w:rsidR="00964040" w:rsidRPr="00381F61" w:rsidRDefault="00964040" w:rsidP="00E71CEB">
      <w:pPr>
        <w:pStyle w:val="ListParagraph"/>
        <w:numPr>
          <w:ilvl w:val="0"/>
          <w:numId w:val="42"/>
        </w:numPr>
        <w:jc w:val="both"/>
        <w:rPr>
          <w:rFonts w:ascii="Garamond" w:hAnsi="Garamond"/>
        </w:rPr>
      </w:pPr>
      <w:r w:rsidRPr="00381F61">
        <w:rPr>
          <w:rFonts w:ascii="Garamond" w:hAnsi="Garamond"/>
        </w:rPr>
        <w:t>Should the scope of the Retirement Commissioner’s work be returned to the recommendations of the 1992 Task Force?</w:t>
      </w:r>
    </w:p>
    <w:p w14:paraId="2B29EF33" w14:textId="77777777" w:rsidR="009A5FF1" w:rsidRPr="00381F61" w:rsidRDefault="009A5FF1" w:rsidP="009A5FF1">
      <w:pPr>
        <w:ind w:left="709"/>
        <w:jc w:val="both"/>
        <w:rPr>
          <w:rFonts w:ascii="Garamond" w:hAnsi="Garamond"/>
        </w:rPr>
      </w:pPr>
    </w:p>
    <w:p w14:paraId="348FA237" w14:textId="144D4FA4" w:rsidR="00ED2CAE" w:rsidRPr="00381F61" w:rsidRDefault="00ED2CAE" w:rsidP="00E71CEB">
      <w:pPr>
        <w:pStyle w:val="ListParagraph"/>
        <w:numPr>
          <w:ilvl w:val="0"/>
          <w:numId w:val="42"/>
        </w:numPr>
        <w:jc w:val="both"/>
        <w:rPr>
          <w:rFonts w:ascii="Garamond" w:hAnsi="Garamond"/>
        </w:rPr>
      </w:pPr>
      <w:r w:rsidRPr="00381F61">
        <w:rPr>
          <w:rFonts w:ascii="Garamond" w:hAnsi="Garamond"/>
        </w:rPr>
        <w:t>How can we increase the Retirement Commissioner’s influence in the debates on policy issues associated with financial preparation for retirement?  Limiting the scope of the Commission’s work may be part of the answer.</w:t>
      </w:r>
    </w:p>
    <w:p w14:paraId="1D75295C" w14:textId="77777777" w:rsidR="00FB4107" w:rsidRPr="00381F61" w:rsidRDefault="00FB4107" w:rsidP="003E03E0">
      <w:pPr>
        <w:ind w:left="709"/>
        <w:jc w:val="both"/>
        <w:rPr>
          <w:rFonts w:ascii="Garamond" w:hAnsi="Garamond"/>
        </w:rPr>
      </w:pPr>
    </w:p>
    <w:p w14:paraId="1B89A74D" w14:textId="282704FF" w:rsidR="004D3A3C" w:rsidRPr="00381F61" w:rsidRDefault="00FB4107" w:rsidP="00891E0F">
      <w:pPr>
        <w:pStyle w:val="ListParagraph"/>
        <w:numPr>
          <w:ilvl w:val="0"/>
          <w:numId w:val="42"/>
        </w:numPr>
        <w:jc w:val="both"/>
        <w:rPr>
          <w:rFonts w:ascii="Garamond" w:hAnsi="Garamond"/>
        </w:rPr>
      </w:pPr>
      <w:r w:rsidRPr="00381F61">
        <w:rPr>
          <w:rFonts w:ascii="Garamond" w:hAnsi="Garamond"/>
        </w:rPr>
        <w:t>What should be the format of the needed national discussion?</w:t>
      </w:r>
    </w:p>
    <w:p w14:paraId="247A07BA" w14:textId="6548B319" w:rsidR="0012433D" w:rsidRPr="00381F61" w:rsidRDefault="0012433D" w:rsidP="00E71CEB">
      <w:pPr>
        <w:jc w:val="both"/>
        <w:rPr>
          <w:rFonts w:ascii="Garamond" w:hAnsi="Garamond"/>
          <w:b/>
        </w:rPr>
      </w:pPr>
      <w:r w:rsidRPr="00381F61">
        <w:rPr>
          <w:rFonts w:ascii="Garamond" w:hAnsi="Garamond"/>
          <w:b/>
        </w:rPr>
        <w:t>2</w:t>
      </w:r>
      <w:r w:rsidR="00F519BC" w:rsidRPr="00381F61">
        <w:rPr>
          <w:rFonts w:ascii="Garamond" w:hAnsi="Garamond"/>
          <w:b/>
        </w:rPr>
        <w:t>2</w:t>
      </w:r>
      <w:r w:rsidRPr="00381F61">
        <w:rPr>
          <w:rFonts w:ascii="Garamond" w:hAnsi="Garamond"/>
          <w:b/>
        </w:rPr>
        <w:t>.</w:t>
      </w:r>
      <w:r w:rsidRPr="00381F61">
        <w:rPr>
          <w:rFonts w:ascii="Garamond" w:hAnsi="Garamond"/>
          <w:b/>
        </w:rPr>
        <w:tab/>
        <w:t>Policy nirvana</w:t>
      </w:r>
      <w:r w:rsidR="00BE2EF4" w:rsidRPr="00381F61">
        <w:rPr>
          <w:rFonts w:ascii="Garamond" w:hAnsi="Garamond"/>
          <w:b/>
        </w:rPr>
        <w:t xml:space="preserve"> – what a stable retirement income framework might look like</w:t>
      </w:r>
      <w:r w:rsidR="008870AF" w:rsidRPr="00381F61">
        <w:rPr>
          <w:rStyle w:val="FootnoteReference"/>
          <w:rFonts w:ascii="Garamond" w:hAnsi="Garamond"/>
          <w:b/>
        </w:rPr>
        <w:footnoteReference w:id="272"/>
      </w:r>
    </w:p>
    <w:p w14:paraId="75CE9F0B" w14:textId="77777777" w:rsidR="0012433D" w:rsidRPr="00381F61" w:rsidRDefault="0012433D" w:rsidP="00E71CEB">
      <w:pPr>
        <w:jc w:val="both"/>
        <w:rPr>
          <w:rFonts w:ascii="Garamond" w:hAnsi="Garamond"/>
          <w:b/>
        </w:rPr>
      </w:pPr>
    </w:p>
    <w:p w14:paraId="4F5AEF8A" w14:textId="2AB4BE98" w:rsidR="001129A0" w:rsidRPr="00381F61" w:rsidRDefault="0078390F" w:rsidP="00E71CEB">
      <w:pPr>
        <w:jc w:val="both"/>
        <w:rPr>
          <w:rFonts w:ascii="Garamond" w:hAnsi="Garamond"/>
        </w:rPr>
      </w:pPr>
      <w:r w:rsidRPr="00381F61">
        <w:rPr>
          <w:rFonts w:ascii="Garamond" w:hAnsi="Garamond"/>
        </w:rPr>
        <w:t>New Zealand has had a long tradition of dealing with superannuation and retirement-related issues through the political, rather than a</w:t>
      </w:r>
      <w:r w:rsidR="0050312C" w:rsidRPr="00381F61">
        <w:rPr>
          <w:rFonts w:ascii="Garamond" w:hAnsi="Garamond"/>
        </w:rPr>
        <w:t xml:space="preserve"> research</w:t>
      </w:r>
      <w:r w:rsidRPr="00381F61">
        <w:rPr>
          <w:rFonts w:ascii="Garamond" w:hAnsi="Garamond"/>
        </w:rPr>
        <w:t>-led, processes.</w:t>
      </w:r>
    </w:p>
    <w:p w14:paraId="31A79B1D" w14:textId="77777777" w:rsidR="001129A0" w:rsidRPr="00381F61" w:rsidRDefault="001129A0" w:rsidP="00E71CEB">
      <w:pPr>
        <w:jc w:val="both"/>
        <w:rPr>
          <w:rFonts w:ascii="Garamond" w:hAnsi="Garamond"/>
        </w:rPr>
      </w:pPr>
    </w:p>
    <w:p w14:paraId="4B9C5FFB" w14:textId="332CA850" w:rsidR="00BE2EF4" w:rsidRPr="00381F61" w:rsidRDefault="001129A0" w:rsidP="00E71CEB">
      <w:pPr>
        <w:jc w:val="both"/>
        <w:rPr>
          <w:rFonts w:ascii="Garamond" w:hAnsi="Garamond"/>
        </w:rPr>
      </w:pPr>
      <w:r w:rsidRPr="00381F61">
        <w:rPr>
          <w:rFonts w:ascii="Garamond" w:hAnsi="Garamond"/>
        </w:rPr>
        <w:t>Political</w:t>
      </w:r>
      <w:r w:rsidR="00BE2EF4" w:rsidRPr="00381F61">
        <w:rPr>
          <w:rFonts w:ascii="Garamond" w:hAnsi="Garamond"/>
        </w:rPr>
        <w:t xml:space="preserve"> parties seem to think that policy on NZS</w:t>
      </w:r>
      <w:r w:rsidR="00FD3174" w:rsidRPr="00381F61">
        <w:rPr>
          <w:rFonts w:ascii="Garamond" w:hAnsi="Garamond"/>
        </w:rPr>
        <w:t xml:space="preserve"> and retirement saving</w:t>
      </w:r>
      <w:r w:rsidR="00BE2EF4" w:rsidRPr="00381F61">
        <w:rPr>
          <w:rFonts w:ascii="Garamond" w:hAnsi="Garamond"/>
        </w:rPr>
        <w:t xml:space="preserve"> is ‘whatever it takes to get elected this year’. </w:t>
      </w:r>
      <w:r w:rsidR="00954846" w:rsidRPr="00381F61">
        <w:rPr>
          <w:rFonts w:ascii="Garamond" w:hAnsi="Garamond"/>
        </w:rPr>
        <w:t xml:space="preserve"> </w:t>
      </w:r>
      <w:r w:rsidR="00BE2EF4" w:rsidRPr="00381F61">
        <w:rPr>
          <w:rFonts w:ascii="Garamond" w:hAnsi="Garamond"/>
        </w:rPr>
        <w:t xml:space="preserve">The history of each </w:t>
      </w:r>
      <w:r w:rsidR="0078390F" w:rsidRPr="00381F61">
        <w:rPr>
          <w:rFonts w:ascii="Garamond" w:hAnsi="Garamond"/>
        </w:rPr>
        <w:t xml:space="preserve">of our main </w:t>
      </w:r>
      <w:r w:rsidR="00BE2EF4" w:rsidRPr="00381F61">
        <w:rPr>
          <w:rFonts w:ascii="Garamond" w:hAnsi="Garamond"/>
        </w:rPr>
        <w:t>part</w:t>
      </w:r>
      <w:r w:rsidR="0078390F" w:rsidRPr="00381F61">
        <w:rPr>
          <w:rFonts w:ascii="Garamond" w:hAnsi="Garamond"/>
        </w:rPr>
        <w:t>ies’</w:t>
      </w:r>
      <w:r w:rsidR="00BE2EF4" w:rsidRPr="00381F61">
        <w:rPr>
          <w:rFonts w:ascii="Garamond" w:hAnsi="Garamond"/>
        </w:rPr>
        <w:t xml:space="preserve"> retirement incomes’ policies (on both public and private provision) does not bear close examination</w:t>
      </w:r>
      <w:r w:rsidR="0078390F" w:rsidRPr="00381F61">
        <w:rPr>
          <w:rFonts w:ascii="Garamond" w:hAnsi="Garamond"/>
        </w:rPr>
        <w:t>.</w:t>
      </w:r>
      <w:r w:rsidR="00954846" w:rsidRPr="00381F61">
        <w:rPr>
          <w:rFonts w:ascii="Garamond" w:hAnsi="Garamond"/>
        </w:rPr>
        <w:t xml:space="preserve">  T</w:t>
      </w:r>
      <w:r w:rsidR="00BE2EF4" w:rsidRPr="00381F61">
        <w:rPr>
          <w:rFonts w:ascii="Garamond" w:hAnsi="Garamond"/>
        </w:rPr>
        <w:t>his is unsatisfactory</w:t>
      </w:r>
      <w:r w:rsidR="00970573" w:rsidRPr="00381F61">
        <w:rPr>
          <w:rFonts w:ascii="Garamond" w:hAnsi="Garamond"/>
        </w:rPr>
        <w:t>,</w:t>
      </w:r>
      <w:r w:rsidR="00BE2EF4" w:rsidRPr="00381F61">
        <w:rPr>
          <w:rFonts w:ascii="Garamond" w:hAnsi="Garamond"/>
        </w:rPr>
        <w:t xml:space="preserve"> and the process needs to change so the public can be assured that policy will be guided by principles rather than </w:t>
      </w:r>
      <w:r w:rsidR="009A5FF1" w:rsidRPr="00381F61">
        <w:rPr>
          <w:rFonts w:ascii="Garamond" w:hAnsi="Garamond"/>
        </w:rPr>
        <w:t xml:space="preserve">by </w:t>
      </w:r>
      <w:r w:rsidR="00BE2EF4" w:rsidRPr="00381F61">
        <w:rPr>
          <w:rFonts w:ascii="Garamond" w:hAnsi="Garamond"/>
        </w:rPr>
        <w:t>political expediency.</w:t>
      </w:r>
    </w:p>
    <w:p w14:paraId="491B09FB" w14:textId="77777777" w:rsidR="00BE2EF4" w:rsidRPr="00381F61" w:rsidRDefault="00BE2EF4" w:rsidP="00E71CEB">
      <w:pPr>
        <w:jc w:val="both"/>
        <w:rPr>
          <w:rFonts w:ascii="Garamond" w:hAnsi="Garamond"/>
        </w:rPr>
      </w:pPr>
    </w:p>
    <w:p w14:paraId="75DD8BBE" w14:textId="5E0B35E7" w:rsidR="001129A0" w:rsidRPr="00381F61" w:rsidRDefault="00DF0CC0" w:rsidP="00E71CEB">
      <w:pPr>
        <w:jc w:val="both"/>
        <w:rPr>
          <w:rFonts w:ascii="Garamond" w:hAnsi="Garamond"/>
        </w:rPr>
      </w:pPr>
      <w:r w:rsidRPr="00381F61">
        <w:rPr>
          <w:rFonts w:ascii="Garamond" w:hAnsi="Garamond"/>
        </w:rPr>
        <w:t xml:space="preserve">As described in section </w:t>
      </w:r>
      <w:r w:rsidR="00BF792C" w:rsidRPr="00381F61">
        <w:rPr>
          <w:rFonts w:ascii="Garamond" w:hAnsi="Garamond"/>
        </w:rPr>
        <w:t>4</w:t>
      </w:r>
      <w:r w:rsidRPr="00381F61">
        <w:rPr>
          <w:rFonts w:ascii="Garamond" w:hAnsi="Garamond"/>
        </w:rPr>
        <w:t xml:space="preserve"> (</w:t>
      </w:r>
      <w:r w:rsidR="007E0A26" w:rsidRPr="00381F61">
        <w:rPr>
          <w:rFonts w:ascii="Garamond" w:hAnsi="Garamond"/>
        </w:rPr>
        <w:t>How much will New Zealand Superannuation really cost?</w:t>
      </w:r>
      <w:r w:rsidR="00954846" w:rsidRPr="00381F61">
        <w:rPr>
          <w:rFonts w:ascii="Garamond" w:hAnsi="Garamond"/>
        </w:rPr>
        <w:t>), w</w:t>
      </w:r>
      <w:r w:rsidR="001129A0" w:rsidRPr="00381F61">
        <w:rPr>
          <w:rFonts w:ascii="Garamond" w:hAnsi="Garamond"/>
        </w:rPr>
        <w:t>hen governments set their spending priorities, they balance competing claims on economic output by everyone, including pensioners.  In theory, those decisions can change every year; in practice</w:t>
      </w:r>
      <w:r w:rsidR="00954846" w:rsidRPr="00381F61">
        <w:rPr>
          <w:rFonts w:ascii="Garamond" w:hAnsi="Garamond"/>
        </w:rPr>
        <w:t>,</w:t>
      </w:r>
      <w:r w:rsidR="001129A0" w:rsidRPr="00381F61">
        <w:rPr>
          <w:rFonts w:ascii="Garamond" w:hAnsi="Garamond"/>
        </w:rPr>
        <w:t xml:space="preserve"> they don’t because a stable policy environment allows everyone to make private decisions more ‘rationally’.  So, decisions about the way in which, for example, unemployment benefits are calculated and who is entitled to receive them do change but remain relatively stable despite being administered by different governments.  Similarly, businesses need stable economic policies that allow them to make long-term investment decisions.</w:t>
      </w:r>
    </w:p>
    <w:p w14:paraId="4F46E98A" w14:textId="77777777" w:rsidR="001129A0" w:rsidRPr="00381F61" w:rsidRDefault="001129A0" w:rsidP="00E71CEB">
      <w:pPr>
        <w:jc w:val="both"/>
        <w:rPr>
          <w:rFonts w:ascii="Garamond" w:hAnsi="Garamond"/>
        </w:rPr>
      </w:pPr>
    </w:p>
    <w:p w14:paraId="6E7A342A" w14:textId="5341D011" w:rsidR="001129A0" w:rsidRPr="00381F61" w:rsidRDefault="00954846" w:rsidP="00E71CEB">
      <w:pPr>
        <w:jc w:val="both"/>
        <w:rPr>
          <w:rFonts w:ascii="Garamond" w:hAnsi="Garamond"/>
        </w:rPr>
      </w:pPr>
      <w:r w:rsidRPr="00381F61">
        <w:rPr>
          <w:rFonts w:ascii="Garamond" w:hAnsi="Garamond"/>
        </w:rPr>
        <w:t>NZS</w:t>
      </w:r>
      <w:r w:rsidR="001129A0" w:rsidRPr="00381F61">
        <w:rPr>
          <w:rFonts w:ascii="Garamond" w:hAnsi="Garamond"/>
        </w:rPr>
        <w:t xml:space="preserve"> is different.  We know that </w:t>
      </w:r>
      <w:r w:rsidRPr="00381F61">
        <w:rPr>
          <w:rFonts w:ascii="Garamond" w:hAnsi="Garamond"/>
        </w:rPr>
        <w:t>“a very large proportion” of</w:t>
      </w:r>
      <w:r w:rsidR="001129A0" w:rsidRPr="00381F61">
        <w:rPr>
          <w:rFonts w:ascii="Garamond" w:hAnsi="Garamond"/>
        </w:rPr>
        <w:t xml:space="preserve"> retirees currently depend on NZS for most of their retirement income</w:t>
      </w:r>
      <w:r w:rsidRPr="00381F61">
        <w:rPr>
          <w:rStyle w:val="FootnoteReference"/>
          <w:rFonts w:ascii="Garamond" w:hAnsi="Garamond"/>
        </w:rPr>
        <w:footnoteReference w:id="273"/>
      </w:r>
      <w:r w:rsidR="00692BEE" w:rsidRPr="00381F61">
        <w:rPr>
          <w:rFonts w:ascii="Garamond" w:hAnsi="Garamond"/>
        </w:rPr>
        <w:t>.  T</w:t>
      </w:r>
      <w:r w:rsidR="001129A0" w:rsidRPr="00381F61">
        <w:rPr>
          <w:rFonts w:ascii="Garamond" w:hAnsi="Garamond"/>
        </w:rPr>
        <w:t xml:space="preserve">hat position </w:t>
      </w:r>
      <w:r w:rsidR="00692BEE" w:rsidRPr="00381F61">
        <w:rPr>
          <w:rFonts w:ascii="Garamond" w:hAnsi="Garamond"/>
        </w:rPr>
        <w:t xml:space="preserve">has not changed much since 1989 and </w:t>
      </w:r>
      <w:r w:rsidR="001129A0" w:rsidRPr="00381F61">
        <w:rPr>
          <w:rFonts w:ascii="Garamond" w:hAnsi="Garamond"/>
        </w:rPr>
        <w:t>is unlikely to change over coming decades.  We also know that financial preparation for retirement is a multi-decadal project.  That doesn’t mean, as some in the financial services industry suggest, that we should be putting money into saving products for 20-40 years</w:t>
      </w:r>
      <w:r w:rsidR="00970573" w:rsidRPr="00381F61">
        <w:rPr>
          <w:rFonts w:ascii="Garamond" w:hAnsi="Garamond"/>
        </w:rPr>
        <w:t>,</w:t>
      </w:r>
      <w:r w:rsidR="001129A0" w:rsidRPr="00381F61">
        <w:rPr>
          <w:rFonts w:ascii="Garamond" w:hAnsi="Garamond"/>
        </w:rPr>
        <w:t xml:space="preserve"> but it should mean taking a long-term view of what we want our own retirements to look like, financially.</w:t>
      </w:r>
    </w:p>
    <w:p w14:paraId="613011B6" w14:textId="77777777" w:rsidR="001129A0" w:rsidRPr="00381F61" w:rsidRDefault="001129A0" w:rsidP="00E71CEB">
      <w:pPr>
        <w:jc w:val="both"/>
        <w:rPr>
          <w:rFonts w:ascii="Garamond" w:hAnsi="Garamond"/>
        </w:rPr>
      </w:pPr>
    </w:p>
    <w:p w14:paraId="2FAFB1A6" w14:textId="18093EAB" w:rsidR="008436E3" w:rsidRPr="00381F61" w:rsidRDefault="002A35DC" w:rsidP="00E71CEB">
      <w:pPr>
        <w:jc w:val="both"/>
        <w:rPr>
          <w:rFonts w:ascii="Garamond" w:hAnsi="Garamond"/>
        </w:rPr>
      </w:pPr>
      <w:r w:rsidRPr="00381F61">
        <w:rPr>
          <w:rFonts w:ascii="Garamond" w:hAnsi="Garamond"/>
        </w:rPr>
        <w:t>It should also mean that discussions on policy changes should be research-led and that isn’t the case today.</w:t>
      </w:r>
    </w:p>
    <w:p w14:paraId="4244DEB0" w14:textId="77777777" w:rsidR="008436E3" w:rsidRPr="00381F61" w:rsidRDefault="008436E3" w:rsidP="00E71CEB">
      <w:pPr>
        <w:jc w:val="both"/>
        <w:rPr>
          <w:rFonts w:ascii="Garamond" w:hAnsi="Garamond"/>
        </w:rPr>
      </w:pPr>
    </w:p>
    <w:p w14:paraId="6488E2EC" w14:textId="18240D53" w:rsidR="009A0294" w:rsidRPr="00381F61" w:rsidRDefault="009A5FF1" w:rsidP="00E71CEB">
      <w:pPr>
        <w:jc w:val="both"/>
        <w:rPr>
          <w:rFonts w:ascii="Garamond" w:hAnsi="Garamond"/>
        </w:rPr>
      </w:pPr>
      <w:r w:rsidRPr="00381F61">
        <w:rPr>
          <w:rFonts w:ascii="Garamond" w:hAnsi="Garamond"/>
        </w:rPr>
        <w:t>Our suggested</w:t>
      </w:r>
      <w:r w:rsidR="00E71CEB" w:rsidRPr="00381F61">
        <w:rPr>
          <w:rFonts w:ascii="Garamond" w:hAnsi="Garamond"/>
        </w:rPr>
        <w:t xml:space="preserve"> review should begin now.</w:t>
      </w:r>
    </w:p>
    <w:p w14:paraId="3C0A722A" w14:textId="77777777" w:rsidR="00E71CEB" w:rsidRPr="00381F61" w:rsidRDefault="00E71CEB" w:rsidP="00E71CEB">
      <w:pPr>
        <w:jc w:val="both"/>
        <w:rPr>
          <w:rFonts w:ascii="Garamond" w:hAnsi="Garamond"/>
          <w:color w:val="000000"/>
        </w:rPr>
      </w:pPr>
    </w:p>
    <w:p w14:paraId="6274F5E6" w14:textId="3048344F" w:rsidR="00E71CEB" w:rsidRPr="00381F61" w:rsidRDefault="00E71CEB" w:rsidP="00E71CEB">
      <w:pPr>
        <w:jc w:val="both"/>
        <w:rPr>
          <w:rFonts w:ascii="Garamond" w:hAnsi="Garamond"/>
          <w:color w:val="000000"/>
        </w:rPr>
      </w:pPr>
      <w:r w:rsidRPr="00381F61">
        <w:rPr>
          <w:rFonts w:ascii="Garamond" w:hAnsi="Garamond"/>
          <w:color w:val="000000"/>
        </w:rPr>
        <w:t>Our experience tells us that the more we discover from decent data, solutions become more obvious</w:t>
      </w:r>
      <w:r w:rsidR="009A5FF1" w:rsidRPr="00381F61">
        <w:rPr>
          <w:rFonts w:ascii="Garamond" w:hAnsi="Garamond"/>
          <w:color w:val="000000"/>
        </w:rPr>
        <w:t xml:space="preserve">.  </w:t>
      </w:r>
      <w:r w:rsidRPr="00381F61">
        <w:rPr>
          <w:rFonts w:ascii="Garamond" w:hAnsi="Garamond"/>
          <w:color w:val="000000"/>
        </w:rPr>
        <w:t xml:space="preserve">The review should actively engage with the </w:t>
      </w:r>
      <w:r w:rsidR="00C46E3D" w:rsidRPr="00381F61">
        <w:rPr>
          <w:rFonts w:ascii="Garamond" w:hAnsi="Garamond"/>
          <w:color w:val="000000"/>
        </w:rPr>
        <w:t xml:space="preserve">political </w:t>
      </w:r>
      <w:r w:rsidRPr="00381F61">
        <w:rPr>
          <w:rFonts w:ascii="Garamond" w:hAnsi="Garamond"/>
          <w:color w:val="000000"/>
        </w:rPr>
        <w:t>parties to take them alo</w:t>
      </w:r>
      <w:r w:rsidR="009A5FF1" w:rsidRPr="00381F61">
        <w:rPr>
          <w:rFonts w:ascii="Garamond" w:hAnsi="Garamond"/>
          <w:color w:val="000000"/>
        </w:rPr>
        <w:t xml:space="preserve">ng with the public discussion.  </w:t>
      </w:r>
      <w:r w:rsidRPr="00381F61">
        <w:rPr>
          <w:rFonts w:ascii="Garamond" w:hAnsi="Garamond"/>
          <w:color w:val="000000"/>
        </w:rPr>
        <w:t>Super</w:t>
      </w:r>
      <w:r w:rsidR="00750A41" w:rsidRPr="00381F61">
        <w:rPr>
          <w:rFonts w:ascii="Garamond" w:hAnsi="Garamond"/>
          <w:color w:val="000000"/>
        </w:rPr>
        <w:t>annuation should not be a party-</w:t>
      </w:r>
      <w:r w:rsidR="009A5FF1" w:rsidRPr="00381F61">
        <w:rPr>
          <w:rFonts w:ascii="Garamond" w:hAnsi="Garamond"/>
          <w:color w:val="000000"/>
        </w:rPr>
        <w:t xml:space="preserve">political issue and </w:t>
      </w:r>
      <w:r w:rsidR="00C46E3D" w:rsidRPr="00381F61">
        <w:rPr>
          <w:rFonts w:ascii="Garamond" w:hAnsi="Garamond"/>
          <w:color w:val="000000"/>
        </w:rPr>
        <w:t>New Zealand</w:t>
      </w:r>
      <w:r w:rsidRPr="00381F61">
        <w:rPr>
          <w:rFonts w:ascii="Garamond" w:hAnsi="Garamond"/>
          <w:color w:val="000000"/>
        </w:rPr>
        <w:t xml:space="preserve"> </w:t>
      </w:r>
      <w:r w:rsidR="00C46E3D" w:rsidRPr="00381F61">
        <w:rPr>
          <w:rFonts w:ascii="Garamond" w:hAnsi="Garamond"/>
          <w:color w:val="000000"/>
        </w:rPr>
        <w:t xml:space="preserve">should </w:t>
      </w:r>
      <w:r w:rsidR="009A5FF1" w:rsidRPr="00381F61">
        <w:rPr>
          <w:rFonts w:ascii="Garamond" w:hAnsi="Garamond"/>
          <w:color w:val="000000"/>
        </w:rPr>
        <w:t>want</w:t>
      </w:r>
      <w:r w:rsidRPr="00381F61">
        <w:rPr>
          <w:rFonts w:ascii="Garamond" w:hAnsi="Garamond"/>
          <w:color w:val="000000"/>
        </w:rPr>
        <w:t xml:space="preserve"> to convince parties that it isn’t a vote-winner, particularly if we do</w:t>
      </w:r>
      <w:r w:rsidR="009A5FF1" w:rsidRPr="00381F61">
        <w:rPr>
          <w:rFonts w:ascii="Garamond" w:hAnsi="Garamond"/>
          <w:color w:val="000000"/>
        </w:rPr>
        <w:t>n’t actually face a crisis, as we</w:t>
      </w:r>
      <w:r w:rsidRPr="00381F61">
        <w:rPr>
          <w:rFonts w:ascii="Garamond" w:hAnsi="Garamond"/>
          <w:color w:val="000000"/>
        </w:rPr>
        <w:t xml:space="preserve"> think the Treasury’s </w:t>
      </w:r>
      <w:r w:rsidR="009A5FF1" w:rsidRPr="00381F61">
        <w:rPr>
          <w:rFonts w:ascii="Garamond" w:hAnsi="Garamond"/>
          <w:color w:val="000000"/>
        </w:rPr>
        <w:t>‘Long Term Fiscal Model’</w:t>
      </w:r>
      <w:r w:rsidRPr="00381F61">
        <w:rPr>
          <w:rFonts w:ascii="Garamond" w:hAnsi="Garamond"/>
          <w:color w:val="000000"/>
        </w:rPr>
        <w:t xml:space="preserve"> continues to indicate</w:t>
      </w:r>
      <w:r w:rsidR="009A5FF1" w:rsidRPr="00381F61">
        <w:rPr>
          <w:rFonts w:ascii="Garamond" w:hAnsi="Garamond"/>
          <w:color w:val="000000"/>
        </w:rPr>
        <w:t xml:space="preserve"> (see section </w:t>
      </w:r>
      <w:r w:rsidR="000856CF" w:rsidRPr="00381F61">
        <w:rPr>
          <w:rFonts w:ascii="Garamond" w:hAnsi="Garamond"/>
          <w:color w:val="000000"/>
        </w:rPr>
        <w:t>5</w:t>
      </w:r>
      <w:r w:rsidR="009A5FF1" w:rsidRPr="00381F61">
        <w:rPr>
          <w:rFonts w:ascii="Garamond" w:hAnsi="Garamond"/>
          <w:color w:val="000000"/>
        </w:rPr>
        <w:t xml:space="preserve"> </w:t>
      </w:r>
      <w:r w:rsidR="0074761E" w:rsidRPr="00381F61">
        <w:rPr>
          <w:rFonts w:ascii="Garamond" w:hAnsi="Garamond"/>
          <w:color w:val="000000"/>
        </w:rPr>
        <w:t xml:space="preserve">- </w:t>
      </w:r>
      <w:r w:rsidR="009A5FF1" w:rsidRPr="00381F61">
        <w:rPr>
          <w:rFonts w:ascii="Garamond" w:hAnsi="Garamond"/>
          <w:color w:val="000000"/>
        </w:rPr>
        <w:t>Is NZS ‘sustainable’?)</w:t>
      </w:r>
      <w:r w:rsidRPr="00381F61">
        <w:rPr>
          <w:rFonts w:ascii="Garamond" w:hAnsi="Garamond"/>
          <w:color w:val="000000"/>
        </w:rPr>
        <w:t>.</w:t>
      </w:r>
    </w:p>
    <w:p w14:paraId="165548EC" w14:textId="77777777" w:rsidR="002A35DC" w:rsidRPr="00381F61" w:rsidRDefault="002A35DC" w:rsidP="00E71CEB">
      <w:pPr>
        <w:jc w:val="both"/>
        <w:rPr>
          <w:rFonts w:ascii="Garamond" w:hAnsi="Garamond"/>
        </w:rPr>
      </w:pPr>
    </w:p>
    <w:p w14:paraId="547C664E" w14:textId="771C87DE" w:rsidR="002A35DC" w:rsidRPr="00381F61" w:rsidRDefault="002A35DC" w:rsidP="00E71CEB">
      <w:pPr>
        <w:jc w:val="both"/>
        <w:rPr>
          <w:rFonts w:ascii="Garamond" w:hAnsi="Garamond"/>
          <w:color w:val="000000"/>
        </w:rPr>
      </w:pPr>
      <w:r w:rsidRPr="00381F61">
        <w:rPr>
          <w:rFonts w:ascii="Garamond" w:hAnsi="Garamond"/>
        </w:rPr>
        <w:t>We think that a political consensus on a framework for both public and private provision for retirement is possible</w:t>
      </w:r>
      <w:r w:rsidR="005005BD" w:rsidRPr="00381F61">
        <w:rPr>
          <w:rFonts w:ascii="Garamond" w:hAnsi="Garamond"/>
        </w:rPr>
        <w:t xml:space="preserve">.  New Zealand surprisingly achieved </w:t>
      </w:r>
      <w:r w:rsidR="00E71CEB" w:rsidRPr="00381F61">
        <w:rPr>
          <w:rFonts w:ascii="Garamond" w:hAnsi="Garamond"/>
        </w:rPr>
        <w:t xml:space="preserve">a form of political consensus in more difficult circumstances in August 1993 with the </w:t>
      </w:r>
      <w:r w:rsidR="00E71CEB" w:rsidRPr="00381F61">
        <w:rPr>
          <w:rFonts w:ascii="Garamond" w:hAnsi="Garamond"/>
          <w:i/>
        </w:rPr>
        <w:t>Superannuation Accord</w:t>
      </w:r>
      <w:r w:rsidR="00D53A3C" w:rsidRPr="00381F61">
        <w:rPr>
          <w:rStyle w:val="FootnoteReference"/>
          <w:rFonts w:ascii="Garamond" w:hAnsi="Garamond"/>
        </w:rPr>
        <w:footnoteReference w:id="274"/>
      </w:r>
      <w:r w:rsidR="00E71CEB" w:rsidRPr="00381F61">
        <w:rPr>
          <w:rFonts w:ascii="Garamond" w:hAnsi="Garamond"/>
        </w:rPr>
        <w:t>.</w:t>
      </w:r>
      <w:r w:rsidR="00FD3174" w:rsidRPr="00381F61">
        <w:rPr>
          <w:rFonts w:ascii="Garamond" w:hAnsi="Garamond"/>
        </w:rPr>
        <w:t xml:space="preserve">  We suspect that most political parties would probably be relieved to see </w:t>
      </w:r>
      <w:r w:rsidR="00C46E3D" w:rsidRPr="00381F61">
        <w:rPr>
          <w:rFonts w:ascii="Garamond" w:hAnsi="Garamond"/>
        </w:rPr>
        <w:t>at least NZS</w:t>
      </w:r>
      <w:r w:rsidR="00FD3174" w:rsidRPr="00381F61">
        <w:rPr>
          <w:rFonts w:ascii="Garamond" w:hAnsi="Garamond"/>
        </w:rPr>
        <w:t xml:space="preserve"> taken out of the party-political contest</w:t>
      </w:r>
      <w:r w:rsidR="00C46E3D" w:rsidRPr="00381F61">
        <w:rPr>
          <w:rStyle w:val="FootnoteReference"/>
          <w:rFonts w:ascii="Garamond" w:hAnsi="Garamond"/>
        </w:rPr>
        <w:footnoteReference w:id="275"/>
      </w:r>
      <w:r w:rsidR="00FD3174" w:rsidRPr="00381F61">
        <w:rPr>
          <w:rFonts w:ascii="Garamond" w:hAnsi="Garamond"/>
        </w:rPr>
        <w:t>.</w:t>
      </w:r>
    </w:p>
    <w:p w14:paraId="4D3C7208" w14:textId="77777777" w:rsidR="002A35DC" w:rsidRPr="00381F61" w:rsidRDefault="002A35DC" w:rsidP="00E71CEB">
      <w:pPr>
        <w:jc w:val="both"/>
        <w:rPr>
          <w:rFonts w:ascii="Garamond" w:hAnsi="Garamond"/>
          <w:color w:val="000000"/>
        </w:rPr>
      </w:pPr>
    </w:p>
    <w:p w14:paraId="0DFF4D11" w14:textId="4B44575C" w:rsidR="009A5FF1" w:rsidRPr="00381F61" w:rsidRDefault="00E71CEB" w:rsidP="00E71CEB">
      <w:pPr>
        <w:jc w:val="both"/>
        <w:rPr>
          <w:rFonts w:ascii="Garamond" w:hAnsi="Garamond"/>
        </w:rPr>
      </w:pPr>
      <w:r w:rsidRPr="00381F61">
        <w:rPr>
          <w:rFonts w:ascii="Garamond" w:hAnsi="Garamond"/>
        </w:rPr>
        <w:t>The national debate should be open to all, including the political parties.  It will be founded on the best available information and its aim will no</w:t>
      </w:r>
      <w:r w:rsidR="009A5FF1" w:rsidRPr="00381F61">
        <w:rPr>
          <w:rFonts w:ascii="Garamond" w:hAnsi="Garamond"/>
        </w:rPr>
        <w:t>t be to cut costs but rather to:</w:t>
      </w:r>
    </w:p>
    <w:p w14:paraId="52001C73" w14:textId="77777777" w:rsidR="004A6FB7" w:rsidRPr="00381F61" w:rsidRDefault="004A6FB7" w:rsidP="00E71CEB">
      <w:pPr>
        <w:jc w:val="both"/>
        <w:rPr>
          <w:rFonts w:ascii="Garamond" w:hAnsi="Garamond"/>
          <w:sz w:val="8"/>
          <w:szCs w:val="8"/>
        </w:rPr>
      </w:pPr>
    </w:p>
    <w:p w14:paraId="075D8639" w14:textId="3E42BD35" w:rsidR="009A5FF1" w:rsidRPr="00381F61" w:rsidRDefault="00E71CEB" w:rsidP="009A5FF1">
      <w:pPr>
        <w:pStyle w:val="ListParagraph"/>
        <w:numPr>
          <w:ilvl w:val="0"/>
          <w:numId w:val="29"/>
        </w:numPr>
        <w:jc w:val="both"/>
        <w:rPr>
          <w:rFonts w:ascii="Garamond" w:hAnsi="Garamond"/>
        </w:rPr>
      </w:pPr>
      <w:r w:rsidRPr="00381F61">
        <w:rPr>
          <w:rFonts w:ascii="Garamond" w:hAnsi="Garamond"/>
        </w:rPr>
        <w:t>test</w:t>
      </w:r>
      <w:r w:rsidR="009A5FF1" w:rsidRPr="00381F61">
        <w:rPr>
          <w:rFonts w:ascii="Garamond" w:hAnsi="Garamond"/>
        </w:rPr>
        <w:t xml:space="preserve"> each aspect of the design of NZS (see section </w:t>
      </w:r>
      <w:r w:rsidR="000856CF" w:rsidRPr="00381F61">
        <w:rPr>
          <w:rFonts w:ascii="Garamond" w:hAnsi="Garamond"/>
        </w:rPr>
        <w:t>6</w:t>
      </w:r>
      <w:r w:rsidR="009A5FF1" w:rsidRPr="00381F61">
        <w:rPr>
          <w:rFonts w:ascii="Garamond" w:hAnsi="Garamond"/>
        </w:rPr>
        <w:t>);</w:t>
      </w:r>
    </w:p>
    <w:p w14:paraId="695040A4" w14:textId="77777777" w:rsidR="004A6FB7" w:rsidRPr="00381F61" w:rsidRDefault="004A6FB7" w:rsidP="004A6FB7">
      <w:pPr>
        <w:pStyle w:val="ListParagraph"/>
        <w:jc w:val="both"/>
        <w:rPr>
          <w:rFonts w:ascii="Garamond" w:hAnsi="Garamond"/>
          <w:sz w:val="8"/>
          <w:szCs w:val="8"/>
        </w:rPr>
      </w:pPr>
    </w:p>
    <w:p w14:paraId="46B44864" w14:textId="79355149" w:rsidR="009A5FF1" w:rsidRPr="00381F61" w:rsidRDefault="009A5FF1" w:rsidP="009A5FF1">
      <w:pPr>
        <w:pStyle w:val="ListParagraph"/>
        <w:numPr>
          <w:ilvl w:val="0"/>
          <w:numId w:val="29"/>
        </w:numPr>
        <w:jc w:val="both"/>
        <w:rPr>
          <w:rFonts w:ascii="Garamond" w:hAnsi="Garamond"/>
        </w:rPr>
      </w:pPr>
      <w:r w:rsidRPr="00381F61">
        <w:rPr>
          <w:rFonts w:ascii="Garamond" w:hAnsi="Garamond"/>
        </w:rPr>
        <w:t xml:space="preserve">test </w:t>
      </w:r>
      <w:r w:rsidR="00E71CEB" w:rsidRPr="00381F61">
        <w:rPr>
          <w:rFonts w:ascii="Garamond" w:hAnsi="Garamond"/>
        </w:rPr>
        <w:t xml:space="preserve">the resilience of NZS to changing demographic conditions and to investigate all possible reform </w:t>
      </w:r>
      <w:r w:rsidRPr="00381F61">
        <w:rPr>
          <w:rFonts w:ascii="Garamond" w:hAnsi="Garamond"/>
        </w:rPr>
        <w:t>options</w:t>
      </w:r>
      <w:r w:rsidR="00B8008A" w:rsidRPr="00381F61">
        <w:rPr>
          <w:rFonts w:ascii="Garamond" w:hAnsi="Garamond"/>
        </w:rPr>
        <w:t>, including ‘no change’ or just minor reforms</w:t>
      </w:r>
      <w:r w:rsidRPr="00381F61">
        <w:rPr>
          <w:rFonts w:ascii="Garamond" w:hAnsi="Garamond"/>
        </w:rPr>
        <w:t>.</w:t>
      </w:r>
    </w:p>
    <w:p w14:paraId="3E980769" w14:textId="77777777" w:rsidR="009A5FF1" w:rsidRPr="00381F61" w:rsidRDefault="009A5FF1" w:rsidP="009A5FF1">
      <w:pPr>
        <w:jc w:val="both"/>
        <w:rPr>
          <w:rFonts w:ascii="Garamond" w:hAnsi="Garamond"/>
        </w:rPr>
      </w:pPr>
    </w:p>
    <w:p w14:paraId="2348E4EF" w14:textId="1226F582" w:rsidR="00E71CEB" w:rsidRPr="00381F61" w:rsidRDefault="00E71CEB" w:rsidP="009A5FF1">
      <w:pPr>
        <w:jc w:val="both"/>
        <w:rPr>
          <w:rFonts w:ascii="Garamond" w:hAnsi="Garamond"/>
        </w:rPr>
      </w:pPr>
      <w:r w:rsidRPr="00381F61">
        <w:rPr>
          <w:rFonts w:ascii="Garamond" w:hAnsi="Garamond"/>
        </w:rPr>
        <w:t>The review’s objective should be nothing short of a consensus on all the key design components of NZS for the 21</w:t>
      </w:r>
      <w:r w:rsidRPr="00381F61">
        <w:rPr>
          <w:rFonts w:ascii="Garamond" w:hAnsi="Garamond"/>
          <w:vertAlign w:val="superscript"/>
        </w:rPr>
        <w:t>st</w:t>
      </w:r>
      <w:r w:rsidRPr="00381F61">
        <w:rPr>
          <w:rFonts w:ascii="Garamond" w:hAnsi="Garamond"/>
        </w:rPr>
        <w:t xml:space="preserve"> Century.</w:t>
      </w:r>
      <w:r w:rsidR="009A5FF1" w:rsidRPr="00381F61">
        <w:rPr>
          <w:rFonts w:ascii="Garamond" w:hAnsi="Garamond"/>
        </w:rPr>
        <w:t xml:space="preserve">  If everyone (who wants to) is part of the process, the chance for consensus improves.</w:t>
      </w:r>
    </w:p>
    <w:p w14:paraId="3E8360EB" w14:textId="77777777" w:rsidR="00E71CEB" w:rsidRPr="00381F61" w:rsidRDefault="00E71CEB" w:rsidP="00E71CEB">
      <w:pPr>
        <w:jc w:val="both"/>
        <w:rPr>
          <w:rFonts w:ascii="Garamond" w:hAnsi="Garamond" w:cs="Consolas"/>
          <w:b/>
          <w:szCs w:val="21"/>
        </w:rPr>
      </w:pPr>
    </w:p>
    <w:p w14:paraId="2FF3491F" w14:textId="13EAB5CE" w:rsidR="00E71CEB" w:rsidRPr="00381F61" w:rsidRDefault="00E71CEB" w:rsidP="00E71CEB">
      <w:pPr>
        <w:jc w:val="both"/>
        <w:rPr>
          <w:rFonts w:ascii="Garamond" w:hAnsi="Garamond"/>
        </w:rPr>
      </w:pPr>
      <w:r w:rsidRPr="00381F61">
        <w:rPr>
          <w:rFonts w:ascii="Garamond" w:hAnsi="Garamond"/>
        </w:rPr>
        <w:t>There is usually an assumption in calls for a review of NZS benefits that they will have to be cut.  That may be required but the review we propose might be needed just to restore New Zealanders’ faith in the future sustainability of the simplest, most effective state pension arrangement in the developed world.</w:t>
      </w:r>
    </w:p>
    <w:p w14:paraId="75C7591E" w14:textId="77777777" w:rsidR="002A6762" w:rsidRPr="00381F61" w:rsidRDefault="002A6762" w:rsidP="00E71CEB">
      <w:pPr>
        <w:jc w:val="both"/>
        <w:rPr>
          <w:rFonts w:ascii="Garamond" w:hAnsi="Garamond"/>
        </w:rPr>
      </w:pPr>
    </w:p>
    <w:p w14:paraId="7BB2D2AC" w14:textId="7BA52549" w:rsidR="002A6762" w:rsidRPr="00381F61" w:rsidRDefault="002A6762" w:rsidP="00E71CEB">
      <w:pPr>
        <w:jc w:val="both"/>
        <w:rPr>
          <w:rFonts w:ascii="Garamond" w:hAnsi="Garamond"/>
        </w:rPr>
      </w:pPr>
      <w:r w:rsidRPr="00381F61">
        <w:rPr>
          <w:rFonts w:ascii="Garamond" w:hAnsi="Garamond"/>
        </w:rPr>
        <w:t xml:space="preserve">We should apply a similar rigorous approach to public policy </w:t>
      </w:r>
      <w:r w:rsidR="00B8008A" w:rsidRPr="00381F61">
        <w:rPr>
          <w:rFonts w:ascii="Garamond" w:hAnsi="Garamond"/>
        </w:rPr>
        <w:t>issues associated with</w:t>
      </w:r>
      <w:r w:rsidRPr="00381F61">
        <w:rPr>
          <w:rFonts w:ascii="Garamond" w:hAnsi="Garamond"/>
        </w:rPr>
        <w:t xml:space="preserve"> private provision for retirement.</w:t>
      </w:r>
      <w:r w:rsidR="00107795" w:rsidRPr="00381F61">
        <w:rPr>
          <w:rFonts w:ascii="Garamond" w:hAnsi="Garamond"/>
        </w:rPr>
        <w:t xml:space="preserve">  Currently, those are inconsistent</w:t>
      </w:r>
      <w:r w:rsidR="00C76028" w:rsidRPr="00381F61">
        <w:rPr>
          <w:rFonts w:ascii="Garamond" w:hAnsi="Garamond"/>
        </w:rPr>
        <w:t>,</w:t>
      </w:r>
      <w:r w:rsidR="00107795" w:rsidRPr="00381F61">
        <w:rPr>
          <w:rFonts w:ascii="Garamond" w:hAnsi="Garamond"/>
        </w:rPr>
        <w:t xml:space="preserve"> directionless</w:t>
      </w:r>
      <w:r w:rsidR="00C76028" w:rsidRPr="00381F61">
        <w:rPr>
          <w:rFonts w:ascii="Garamond" w:hAnsi="Garamond"/>
        </w:rPr>
        <w:t xml:space="preserve"> and not founded on any defensible research</w:t>
      </w:r>
      <w:r w:rsidR="00107795" w:rsidRPr="00381F61">
        <w:rPr>
          <w:rFonts w:ascii="Garamond" w:hAnsi="Garamond"/>
        </w:rPr>
        <w:t>.</w:t>
      </w:r>
    </w:p>
    <w:p w14:paraId="19464BFF" w14:textId="77777777" w:rsidR="00BA6EE6" w:rsidRPr="00381F61" w:rsidRDefault="00BA6EE6" w:rsidP="00E71CEB">
      <w:pPr>
        <w:jc w:val="both"/>
        <w:rPr>
          <w:rFonts w:ascii="Garamond" w:hAnsi="Garamond"/>
        </w:rPr>
      </w:pPr>
    </w:p>
    <w:p w14:paraId="1070A3CF" w14:textId="3A1FE552" w:rsidR="002A6762" w:rsidRPr="00381F61" w:rsidRDefault="00BA6EE6" w:rsidP="00E71CEB">
      <w:pPr>
        <w:jc w:val="both"/>
        <w:rPr>
          <w:rFonts w:ascii="Garamond" w:hAnsi="Garamond"/>
        </w:rPr>
      </w:pPr>
      <w:r w:rsidRPr="00381F61">
        <w:rPr>
          <w:rFonts w:ascii="Garamond" w:hAnsi="Garamond"/>
        </w:rPr>
        <w:t xml:space="preserve">Part of the review should also be to establish a basis for ongoing research and engagement with both the public and political parties.  </w:t>
      </w:r>
      <w:r w:rsidR="002A6762" w:rsidRPr="00381F61">
        <w:rPr>
          <w:rFonts w:ascii="Garamond" w:hAnsi="Garamond"/>
        </w:rPr>
        <w:t>Within the 1992 Task Force, we discussed whether the Retirement Commissioner should be an Officer of Parliament</w:t>
      </w:r>
      <w:r w:rsidR="002957E6" w:rsidRPr="00381F61">
        <w:rPr>
          <w:rStyle w:val="FootnoteReference"/>
          <w:rFonts w:ascii="Garamond" w:hAnsi="Garamond"/>
        </w:rPr>
        <w:footnoteReference w:id="276"/>
      </w:r>
      <w:r w:rsidR="002A6762" w:rsidRPr="00381F61">
        <w:rPr>
          <w:rFonts w:ascii="Garamond" w:hAnsi="Garamond"/>
        </w:rPr>
        <w:t xml:space="preserve"> but were persuaded by officials that the office should report to the most appropriate </w:t>
      </w:r>
      <w:r w:rsidR="00F363D1" w:rsidRPr="00381F61">
        <w:rPr>
          <w:rFonts w:ascii="Garamond" w:hAnsi="Garamond"/>
        </w:rPr>
        <w:t xml:space="preserve">government department </w:t>
      </w:r>
      <w:r w:rsidR="002A6762" w:rsidRPr="00381F61">
        <w:rPr>
          <w:rFonts w:ascii="Garamond" w:hAnsi="Garamond"/>
        </w:rPr>
        <w:t>concerned</w:t>
      </w:r>
      <w:r w:rsidR="00F363D1" w:rsidRPr="00381F61">
        <w:rPr>
          <w:rFonts w:ascii="Garamond" w:hAnsi="Garamond"/>
        </w:rPr>
        <w:t xml:space="preserve"> – the Department for Social Welfare</w:t>
      </w:r>
      <w:r w:rsidR="00F363D1" w:rsidRPr="00381F61">
        <w:rPr>
          <w:rStyle w:val="FootnoteReference"/>
          <w:rFonts w:ascii="Garamond" w:hAnsi="Garamond"/>
        </w:rPr>
        <w:footnoteReference w:id="277"/>
      </w:r>
      <w:r w:rsidR="002A6762" w:rsidRPr="00381F61">
        <w:rPr>
          <w:rFonts w:ascii="Garamond" w:hAnsi="Garamond"/>
        </w:rPr>
        <w:t>.  In the light of the experience of the last 2</w:t>
      </w:r>
      <w:r w:rsidR="0050312C" w:rsidRPr="00381F61">
        <w:rPr>
          <w:rFonts w:ascii="Garamond" w:hAnsi="Garamond"/>
        </w:rPr>
        <w:t>6</w:t>
      </w:r>
      <w:r w:rsidR="002A6762" w:rsidRPr="00381F61">
        <w:rPr>
          <w:rFonts w:ascii="Garamond" w:hAnsi="Garamond"/>
        </w:rPr>
        <w:t xml:space="preserve"> yea</w:t>
      </w:r>
      <w:r w:rsidR="00F363D1" w:rsidRPr="00381F61">
        <w:rPr>
          <w:rFonts w:ascii="Garamond" w:hAnsi="Garamond"/>
        </w:rPr>
        <w:t xml:space="preserve">rs, that was probably a mistake.  </w:t>
      </w:r>
    </w:p>
    <w:p w14:paraId="26DD1D7A" w14:textId="77777777" w:rsidR="002A6762" w:rsidRPr="00381F61" w:rsidRDefault="002A6762" w:rsidP="00E71CEB">
      <w:pPr>
        <w:jc w:val="both"/>
        <w:rPr>
          <w:rFonts w:ascii="Garamond" w:hAnsi="Garamond"/>
        </w:rPr>
      </w:pPr>
    </w:p>
    <w:p w14:paraId="106D245D" w14:textId="3BCD562D" w:rsidR="002A6762" w:rsidRPr="00381F61" w:rsidRDefault="002A6762" w:rsidP="00E71CEB">
      <w:pPr>
        <w:jc w:val="both"/>
        <w:rPr>
          <w:rFonts w:ascii="Garamond" w:hAnsi="Garamond"/>
        </w:rPr>
      </w:pPr>
      <w:r w:rsidRPr="00381F61">
        <w:rPr>
          <w:rFonts w:ascii="Garamond" w:hAnsi="Garamond"/>
        </w:rPr>
        <w:t xml:space="preserve">If we want proper engagement by the political parties in the ongoing, needed consensus, we think that Parliament as a whole should </w:t>
      </w:r>
      <w:r w:rsidR="00F363D1" w:rsidRPr="00381F61">
        <w:rPr>
          <w:rFonts w:ascii="Garamond" w:hAnsi="Garamond"/>
        </w:rPr>
        <w:t>agree</w:t>
      </w:r>
      <w:r w:rsidRPr="00381F61">
        <w:rPr>
          <w:rFonts w:ascii="Garamond" w:hAnsi="Garamond"/>
        </w:rPr>
        <w:t xml:space="preserve"> the research and review agendas</w:t>
      </w:r>
      <w:r w:rsidR="00F363D1" w:rsidRPr="00381F61">
        <w:rPr>
          <w:rFonts w:ascii="Garamond" w:hAnsi="Garamond"/>
        </w:rPr>
        <w:t xml:space="preserve"> proposed by the new review team</w:t>
      </w:r>
      <w:r w:rsidRPr="00381F61">
        <w:rPr>
          <w:rFonts w:ascii="Garamond" w:hAnsi="Garamond"/>
        </w:rPr>
        <w:t>.  In the end, governments do the governing but decisions about public and private provision are likely to be more obvious</w:t>
      </w:r>
      <w:r w:rsidR="003F7282" w:rsidRPr="00381F61">
        <w:rPr>
          <w:rFonts w:ascii="Garamond" w:hAnsi="Garamond"/>
        </w:rPr>
        <w:t xml:space="preserve"> and less controversial</w:t>
      </w:r>
      <w:r w:rsidRPr="00381F61">
        <w:rPr>
          <w:rFonts w:ascii="Garamond" w:hAnsi="Garamond"/>
        </w:rPr>
        <w:t xml:space="preserve"> in the presence of the data-gathering and public discussion that we envisage.</w:t>
      </w:r>
    </w:p>
    <w:p w14:paraId="3FB3BA8F" w14:textId="77777777" w:rsidR="002A6762" w:rsidRPr="00381F61" w:rsidRDefault="002A6762" w:rsidP="00E71CEB">
      <w:pPr>
        <w:jc w:val="both"/>
        <w:rPr>
          <w:rFonts w:ascii="Garamond" w:hAnsi="Garamond"/>
        </w:rPr>
      </w:pPr>
    </w:p>
    <w:p w14:paraId="38DE2BBC" w14:textId="26996072" w:rsidR="00BA6EE6" w:rsidRPr="00381F61" w:rsidRDefault="003F7282" w:rsidP="00E71CEB">
      <w:pPr>
        <w:jc w:val="both"/>
        <w:rPr>
          <w:rFonts w:ascii="Garamond" w:hAnsi="Garamond"/>
        </w:rPr>
      </w:pPr>
      <w:r w:rsidRPr="00381F61">
        <w:rPr>
          <w:rFonts w:ascii="Garamond" w:hAnsi="Garamond"/>
        </w:rPr>
        <w:t>We see the</w:t>
      </w:r>
      <w:r w:rsidR="00BA6EE6" w:rsidRPr="00381F61">
        <w:rPr>
          <w:rFonts w:ascii="Garamond" w:hAnsi="Garamond"/>
        </w:rPr>
        <w:t xml:space="preserve"> </w:t>
      </w:r>
      <w:r w:rsidR="009A5FF1" w:rsidRPr="00381F61">
        <w:rPr>
          <w:rFonts w:ascii="Garamond" w:hAnsi="Garamond"/>
        </w:rPr>
        <w:t xml:space="preserve">review team </w:t>
      </w:r>
      <w:r w:rsidR="00BA6EE6" w:rsidRPr="00381F61">
        <w:rPr>
          <w:rFonts w:ascii="Garamond" w:hAnsi="Garamond"/>
        </w:rPr>
        <w:t>as becoming a world-class research centre, perhaps based at a university but certainly standing outside the political processes</w:t>
      </w:r>
      <w:r w:rsidR="001F784E" w:rsidRPr="00381F61">
        <w:rPr>
          <w:rFonts w:ascii="Garamond" w:hAnsi="Garamond"/>
        </w:rPr>
        <w:t xml:space="preserve"> and departmental bureaucracy</w:t>
      </w:r>
      <w:r w:rsidR="00BA6EE6" w:rsidRPr="00381F61">
        <w:rPr>
          <w:rFonts w:ascii="Garamond" w:hAnsi="Garamond"/>
        </w:rPr>
        <w:t>.  Political parties should be able to request research on policies that are of concern to their members</w:t>
      </w:r>
      <w:r w:rsidR="00107795" w:rsidRPr="00381F61">
        <w:rPr>
          <w:rFonts w:ascii="Garamond" w:hAnsi="Garamond"/>
        </w:rPr>
        <w:t xml:space="preserve"> and those who vote for them</w:t>
      </w:r>
      <w:r w:rsidR="00BA6EE6" w:rsidRPr="00381F61">
        <w:rPr>
          <w:rFonts w:ascii="Garamond" w:hAnsi="Garamond"/>
        </w:rPr>
        <w:t xml:space="preserve"> and the centre itself should be free to initiate research projects.</w:t>
      </w:r>
    </w:p>
    <w:p w14:paraId="2C5E4336" w14:textId="77777777" w:rsidR="00F8027A" w:rsidRPr="00381F61" w:rsidRDefault="00F8027A" w:rsidP="00E71CEB">
      <w:pPr>
        <w:jc w:val="both"/>
        <w:rPr>
          <w:rFonts w:ascii="Garamond" w:hAnsi="Garamond"/>
        </w:rPr>
      </w:pPr>
    </w:p>
    <w:p w14:paraId="37453055" w14:textId="4DA6A71D" w:rsidR="00F8027A" w:rsidRPr="00381F61" w:rsidRDefault="00F8027A" w:rsidP="00E71CEB">
      <w:pPr>
        <w:jc w:val="both"/>
        <w:rPr>
          <w:rFonts w:ascii="Garamond" w:hAnsi="Garamond"/>
        </w:rPr>
      </w:pPr>
      <w:r w:rsidRPr="00381F61">
        <w:rPr>
          <w:rFonts w:ascii="Garamond" w:hAnsi="Garamond"/>
        </w:rPr>
        <w:t xml:space="preserve">New Zealand’s taxpayers spend more than </w:t>
      </w:r>
      <w:r w:rsidR="009A5280" w:rsidRPr="00381F61">
        <w:rPr>
          <w:rFonts w:ascii="Garamond" w:hAnsi="Garamond"/>
        </w:rPr>
        <w:t xml:space="preserve">a net </w:t>
      </w:r>
      <w:r w:rsidRPr="00381F61">
        <w:rPr>
          <w:rFonts w:ascii="Garamond" w:hAnsi="Garamond"/>
        </w:rPr>
        <w:t>$1</w:t>
      </w:r>
      <w:r w:rsidR="0050312C" w:rsidRPr="00381F61">
        <w:rPr>
          <w:rFonts w:ascii="Garamond" w:hAnsi="Garamond"/>
        </w:rPr>
        <w:t>2</w:t>
      </w:r>
      <w:r w:rsidRPr="00381F61">
        <w:rPr>
          <w:rFonts w:ascii="Garamond" w:hAnsi="Garamond"/>
        </w:rPr>
        <w:t xml:space="preserve"> billion</w:t>
      </w:r>
      <w:r w:rsidR="009A5280" w:rsidRPr="00381F61">
        <w:rPr>
          <w:rFonts w:ascii="Garamond" w:hAnsi="Garamond"/>
        </w:rPr>
        <w:t xml:space="preserve"> a year</w:t>
      </w:r>
      <w:r w:rsidRPr="00381F61">
        <w:rPr>
          <w:rFonts w:ascii="Garamond" w:hAnsi="Garamond"/>
        </w:rPr>
        <w:t xml:space="preserve"> on NZS and </w:t>
      </w:r>
      <w:r w:rsidR="0050312C" w:rsidRPr="00381F61">
        <w:rPr>
          <w:rFonts w:ascii="Garamond" w:hAnsi="Garamond"/>
        </w:rPr>
        <w:t xml:space="preserve">at least </w:t>
      </w:r>
      <w:r w:rsidRPr="00381F61">
        <w:rPr>
          <w:rFonts w:ascii="Garamond" w:hAnsi="Garamond"/>
        </w:rPr>
        <w:t xml:space="preserve">another $800 million </w:t>
      </w:r>
      <w:r w:rsidR="00EB0AE7" w:rsidRPr="00381F61">
        <w:rPr>
          <w:rFonts w:ascii="Garamond" w:hAnsi="Garamond"/>
        </w:rPr>
        <w:t xml:space="preserve">a year </w:t>
      </w:r>
      <w:r w:rsidRPr="00381F61">
        <w:rPr>
          <w:rFonts w:ascii="Garamond" w:hAnsi="Garamond"/>
        </w:rPr>
        <w:t>on KiwiSaver</w:t>
      </w:r>
      <w:r w:rsidR="00B613DC" w:rsidRPr="00381F61">
        <w:rPr>
          <w:rFonts w:ascii="Garamond" w:hAnsi="Garamond"/>
        </w:rPr>
        <w:t>-specific</w:t>
      </w:r>
      <w:r w:rsidRPr="00381F61">
        <w:rPr>
          <w:rFonts w:ascii="Garamond" w:hAnsi="Garamond"/>
        </w:rPr>
        <w:t xml:space="preserve"> tax breaks.  We should surely be at least curious to understand whether we are getting good value for those very large sums</w:t>
      </w:r>
      <w:r w:rsidR="00A0593F" w:rsidRPr="00381F61">
        <w:rPr>
          <w:rFonts w:ascii="Garamond" w:hAnsi="Garamond"/>
        </w:rPr>
        <w:t xml:space="preserve"> or whether New Zealand’s interests would be better served by spending some or all of that elsewhere</w:t>
      </w:r>
      <w:r w:rsidR="00366ACE" w:rsidRPr="00381F61">
        <w:rPr>
          <w:rFonts w:ascii="Garamond" w:hAnsi="Garamond"/>
        </w:rPr>
        <w:t>.</w:t>
      </w:r>
    </w:p>
    <w:p w14:paraId="7E538EFF" w14:textId="77777777" w:rsidR="009A5FF1" w:rsidRPr="00381F61" w:rsidRDefault="009A5FF1" w:rsidP="00E71CEB">
      <w:pPr>
        <w:jc w:val="both"/>
        <w:rPr>
          <w:rFonts w:ascii="Garamond" w:hAnsi="Garamond"/>
        </w:rPr>
      </w:pPr>
    </w:p>
    <w:p w14:paraId="66A1D814" w14:textId="7BF7817A" w:rsidR="009A5FF1" w:rsidRPr="00381F61" w:rsidRDefault="00652ED3" w:rsidP="00E71CEB">
      <w:pPr>
        <w:jc w:val="both"/>
        <w:rPr>
          <w:rFonts w:ascii="Garamond" w:hAnsi="Garamond"/>
        </w:rPr>
      </w:pPr>
      <w:r w:rsidRPr="00381F61">
        <w:rPr>
          <w:rFonts w:ascii="Garamond" w:hAnsi="Garamond"/>
        </w:rPr>
        <w:t xml:space="preserve">We know that </w:t>
      </w:r>
      <w:r w:rsidR="009A5FF1" w:rsidRPr="00381F61">
        <w:rPr>
          <w:rFonts w:ascii="Garamond" w:hAnsi="Garamond"/>
        </w:rPr>
        <w:t>NZS can be made better</w:t>
      </w:r>
      <w:r w:rsidRPr="00381F61">
        <w:rPr>
          <w:rFonts w:ascii="Garamond" w:hAnsi="Garamond"/>
        </w:rPr>
        <w:t xml:space="preserve"> now</w:t>
      </w:r>
      <w:r w:rsidR="009A5FF1" w:rsidRPr="00381F61">
        <w:rPr>
          <w:rFonts w:ascii="Garamond" w:hAnsi="Garamond"/>
        </w:rPr>
        <w:t xml:space="preserve">; our tax and regulatory framework can certainly be improved.  It seems difficult to understand why </w:t>
      </w:r>
      <w:r w:rsidRPr="00381F61">
        <w:rPr>
          <w:rFonts w:ascii="Garamond" w:hAnsi="Garamond"/>
        </w:rPr>
        <w:t>anyone should be reluctant to engage in at least developing a process to make those things happen.</w:t>
      </w:r>
      <w:r w:rsidR="008870AF" w:rsidRPr="00381F61">
        <w:rPr>
          <w:rFonts w:ascii="Garamond" w:hAnsi="Garamond"/>
        </w:rPr>
        <w:t xml:space="preserve">  At least agreeing to start that process might prevent superannuation from, again, becoming a political football</w:t>
      </w:r>
      <w:r w:rsidR="00A94FCA" w:rsidRPr="00381F61">
        <w:rPr>
          <w:rFonts w:ascii="Garamond" w:hAnsi="Garamond"/>
        </w:rPr>
        <w:t xml:space="preserve"> </w:t>
      </w:r>
      <w:r w:rsidR="0050312C" w:rsidRPr="00381F61">
        <w:rPr>
          <w:rFonts w:ascii="Garamond" w:hAnsi="Garamond"/>
        </w:rPr>
        <w:t>as was the case, so memorably, in the 1970s to 1990s.</w:t>
      </w:r>
    </w:p>
    <w:p w14:paraId="0B5E736F" w14:textId="77777777" w:rsidR="0050312C" w:rsidRPr="00381F61" w:rsidRDefault="0050312C" w:rsidP="0050312C">
      <w:pPr>
        <w:jc w:val="both"/>
        <w:rPr>
          <w:rFonts w:ascii="Garamond" w:hAnsi="Garamond"/>
          <w:b/>
        </w:rPr>
      </w:pPr>
    </w:p>
    <w:p w14:paraId="4B00249B" w14:textId="44910AF7" w:rsidR="0050312C" w:rsidRPr="00381F61" w:rsidRDefault="0050312C" w:rsidP="0050312C">
      <w:pPr>
        <w:jc w:val="both"/>
        <w:rPr>
          <w:rFonts w:ascii="Garamond" w:hAnsi="Garamond"/>
        </w:rPr>
      </w:pPr>
      <w:r w:rsidRPr="00381F61">
        <w:rPr>
          <w:rFonts w:ascii="Garamond" w:hAnsi="Garamond"/>
          <w:b/>
        </w:rPr>
        <w:t>Terms of reference for 2019 Review</w:t>
      </w:r>
    </w:p>
    <w:p w14:paraId="5F893329" w14:textId="77777777" w:rsidR="0050312C" w:rsidRPr="00381F61" w:rsidRDefault="0050312C" w:rsidP="0050312C">
      <w:pPr>
        <w:jc w:val="both"/>
        <w:rPr>
          <w:rFonts w:ascii="Garamond" w:hAnsi="Garamond"/>
        </w:rPr>
      </w:pPr>
    </w:p>
    <w:p w14:paraId="2D7C9878" w14:textId="3A99EF93" w:rsidR="0050312C" w:rsidRPr="00381F61" w:rsidRDefault="0050312C" w:rsidP="0050312C">
      <w:pPr>
        <w:jc w:val="both"/>
        <w:rPr>
          <w:rFonts w:ascii="Garamond" w:hAnsi="Garamond"/>
          <w:color w:val="1A1A1A"/>
          <w:sz w:val="22"/>
          <w:szCs w:val="22"/>
        </w:rPr>
      </w:pPr>
      <w:r w:rsidRPr="00381F61">
        <w:rPr>
          <w:rFonts w:ascii="Garamond" w:hAnsi="Garamond"/>
        </w:rPr>
        <w:t xml:space="preserve">There was no reference in the Terms of Reference for the Retirement Commissioner’s 2019 Review to issues associated with the review process itself.  </w:t>
      </w:r>
    </w:p>
    <w:p w14:paraId="1FF1EEA4" w14:textId="77777777" w:rsidR="0050312C" w:rsidRPr="00381F61" w:rsidRDefault="0050312C" w:rsidP="0050312C">
      <w:pPr>
        <w:jc w:val="both"/>
        <w:rPr>
          <w:rFonts w:ascii="Garamond" w:hAnsi="Garamond"/>
        </w:rPr>
      </w:pPr>
    </w:p>
    <w:p w14:paraId="1F5CC227" w14:textId="218E5902" w:rsidR="0050312C" w:rsidRPr="00381F61" w:rsidRDefault="0050312C" w:rsidP="0050312C">
      <w:pPr>
        <w:jc w:val="both"/>
        <w:rPr>
          <w:rFonts w:ascii="Garamond" w:hAnsi="Garamond"/>
        </w:rPr>
      </w:pPr>
      <w:r w:rsidRPr="00381F61">
        <w:rPr>
          <w:rFonts w:ascii="Garamond" w:hAnsi="Garamond"/>
        </w:rPr>
        <w:t>However, we strongly urge a consideration of the following questions</w:t>
      </w:r>
      <w:r w:rsidR="00A05160" w:rsidRPr="00381F61">
        <w:rPr>
          <w:rFonts w:ascii="Garamond" w:hAnsi="Garamond"/>
        </w:rPr>
        <w:t>.</w:t>
      </w:r>
    </w:p>
    <w:p w14:paraId="2E4D5975" w14:textId="77777777" w:rsidR="00E71CEB" w:rsidRPr="00381F61" w:rsidRDefault="00E71CEB" w:rsidP="00E71CEB">
      <w:pPr>
        <w:jc w:val="both"/>
        <w:rPr>
          <w:rFonts w:ascii="Garamond" w:hAnsi="Garamond"/>
        </w:rPr>
      </w:pPr>
    </w:p>
    <w:p w14:paraId="686DAB21" w14:textId="20280CCB" w:rsidR="00E71CEB" w:rsidRPr="00381F61" w:rsidRDefault="00E71CEB" w:rsidP="00E71CEB">
      <w:pPr>
        <w:jc w:val="both"/>
        <w:rPr>
          <w:rFonts w:ascii="Garamond" w:hAnsi="Garamond"/>
          <w:b/>
        </w:rPr>
      </w:pPr>
      <w:r w:rsidRPr="00381F61">
        <w:rPr>
          <w:rFonts w:ascii="Garamond" w:hAnsi="Garamond"/>
          <w:b/>
        </w:rPr>
        <w:t>Questions for New Zealand to discuss</w:t>
      </w:r>
    </w:p>
    <w:p w14:paraId="13F6D4B6" w14:textId="77777777" w:rsidR="00BA6EE6" w:rsidRPr="00381F61" w:rsidRDefault="00BA6EE6" w:rsidP="00E71CEB">
      <w:pPr>
        <w:jc w:val="both"/>
        <w:rPr>
          <w:rFonts w:ascii="Garamond" w:hAnsi="Garamond"/>
          <w:b/>
        </w:rPr>
      </w:pPr>
    </w:p>
    <w:p w14:paraId="524AF1B8" w14:textId="101F594F" w:rsidR="00E71CEB" w:rsidRPr="00381F61" w:rsidRDefault="00BA6EE6" w:rsidP="00652ED3">
      <w:pPr>
        <w:pStyle w:val="ListParagraph"/>
        <w:numPr>
          <w:ilvl w:val="0"/>
          <w:numId w:val="44"/>
        </w:numPr>
        <w:ind w:left="709" w:hanging="349"/>
        <w:jc w:val="both"/>
        <w:rPr>
          <w:rFonts w:ascii="Garamond" w:hAnsi="Garamond"/>
        </w:rPr>
      </w:pPr>
      <w:r w:rsidRPr="00381F61">
        <w:rPr>
          <w:rFonts w:ascii="Garamond" w:hAnsi="Garamond"/>
        </w:rPr>
        <w:t xml:space="preserve">Do New Zealanders want the political parties to </w:t>
      </w:r>
      <w:r w:rsidR="00366ACE" w:rsidRPr="00381F61">
        <w:rPr>
          <w:rFonts w:ascii="Garamond" w:hAnsi="Garamond"/>
        </w:rPr>
        <w:t xml:space="preserve">debate and </w:t>
      </w:r>
      <w:r w:rsidRPr="00381F61">
        <w:rPr>
          <w:rFonts w:ascii="Garamond" w:hAnsi="Garamond"/>
        </w:rPr>
        <w:t>agree on policies associated with public and private provision for retirement?</w:t>
      </w:r>
      <w:r w:rsidR="00BE03B4" w:rsidRPr="00381F61">
        <w:rPr>
          <w:rFonts w:ascii="Garamond" w:hAnsi="Garamond"/>
        </w:rPr>
        <w:t xml:space="preserve">  That debate cannot really start until many of the data gaps we have identified in this report have been filled.</w:t>
      </w:r>
    </w:p>
    <w:p w14:paraId="4BD158BE" w14:textId="77777777" w:rsidR="00946E8D" w:rsidRPr="00381F61" w:rsidRDefault="00946E8D" w:rsidP="00946E8D">
      <w:pPr>
        <w:pStyle w:val="ListParagraph"/>
        <w:ind w:left="709"/>
        <w:jc w:val="both"/>
        <w:rPr>
          <w:rFonts w:ascii="Garamond" w:hAnsi="Garamond"/>
        </w:rPr>
      </w:pPr>
    </w:p>
    <w:p w14:paraId="5F96AEA2" w14:textId="2942AB83" w:rsidR="00946E8D" w:rsidRPr="00381F61" w:rsidRDefault="00946E8D" w:rsidP="00652ED3">
      <w:pPr>
        <w:pStyle w:val="ListParagraph"/>
        <w:numPr>
          <w:ilvl w:val="0"/>
          <w:numId w:val="44"/>
        </w:numPr>
        <w:ind w:left="709" w:hanging="349"/>
        <w:jc w:val="both"/>
        <w:rPr>
          <w:rFonts w:ascii="Garamond" w:hAnsi="Garamond"/>
        </w:rPr>
      </w:pPr>
      <w:r w:rsidRPr="00381F61">
        <w:rPr>
          <w:rFonts w:ascii="Garamond" w:hAnsi="Garamond"/>
        </w:rPr>
        <w:t xml:space="preserve">Might the political parties themselves welcome that possibility (we should not expect that </w:t>
      </w:r>
      <w:r w:rsidR="00A94FCA" w:rsidRPr="00381F61">
        <w:rPr>
          <w:rFonts w:ascii="Garamond" w:hAnsi="Garamond"/>
        </w:rPr>
        <w:t xml:space="preserve">support </w:t>
      </w:r>
      <w:r w:rsidRPr="00381F61">
        <w:rPr>
          <w:rFonts w:ascii="Garamond" w:hAnsi="Garamond"/>
        </w:rPr>
        <w:t>to be expressed publicly)?</w:t>
      </w:r>
    </w:p>
    <w:p w14:paraId="1779043E" w14:textId="77777777" w:rsidR="00652ED3" w:rsidRPr="00381F61" w:rsidRDefault="00652ED3" w:rsidP="003E03E0">
      <w:pPr>
        <w:pStyle w:val="ListParagraph"/>
        <w:ind w:left="709"/>
        <w:jc w:val="both"/>
        <w:rPr>
          <w:rFonts w:ascii="Garamond" w:hAnsi="Garamond"/>
        </w:rPr>
      </w:pPr>
    </w:p>
    <w:p w14:paraId="7F4B03F5" w14:textId="6EB809FF" w:rsidR="00BA6EE6" w:rsidRPr="00381F61" w:rsidRDefault="00BA6EE6" w:rsidP="00652ED3">
      <w:pPr>
        <w:pStyle w:val="ListParagraph"/>
        <w:numPr>
          <w:ilvl w:val="0"/>
          <w:numId w:val="44"/>
        </w:numPr>
        <w:ind w:left="709" w:hanging="349"/>
        <w:jc w:val="both"/>
        <w:rPr>
          <w:rFonts w:ascii="Garamond" w:hAnsi="Garamond"/>
        </w:rPr>
      </w:pPr>
      <w:r w:rsidRPr="00381F61">
        <w:rPr>
          <w:rFonts w:ascii="Garamond" w:hAnsi="Garamond"/>
        </w:rPr>
        <w:t>What is the appropriate framework for the needed debate on these issues?</w:t>
      </w:r>
    </w:p>
    <w:p w14:paraId="18A4711A" w14:textId="77777777" w:rsidR="00652ED3" w:rsidRPr="00381F61" w:rsidRDefault="00652ED3" w:rsidP="003E03E0">
      <w:pPr>
        <w:ind w:left="709"/>
        <w:jc w:val="both"/>
        <w:rPr>
          <w:rFonts w:ascii="Garamond" w:hAnsi="Garamond"/>
        </w:rPr>
      </w:pPr>
    </w:p>
    <w:p w14:paraId="7BE3D6E5" w14:textId="1105D9F3" w:rsidR="00BA6EE6" w:rsidRPr="00381F61" w:rsidRDefault="00BA6EE6" w:rsidP="00652ED3">
      <w:pPr>
        <w:pStyle w:val="ListParagraph"/>
        <w:numPr>
          <w:ilvl w:val="0"/>
          <w:numId w:val="44"/>
        </w:numPr>
        <w:ind w:left="709" w:hanging="349"/>
        <w:jc w:val="both"/>
        <w:rPr>
          <w:rFonts w:ascii="Garamond" w:hAnsi="Garamond"/>
        </w:rPr>
      </w:pPr>
      <w:r w:rsidRPr="00381F61">
        <w:rPr>
          <w:rFonts w:ascii="Garamond" w:hAnsi="Garamond"/>
        </w:rPr>
        <w:t>Who should lead that debate and what resources might be needed over what period?</w:t>
      </w:r>
    </w:p>
    <w:p w14:paraId="2CEC7B34" w14:textId="77777777" w:rsidR="00652ED3" w:rsidRPr="00381F61" w:rsidRDefault="00652ED3" w:rsidP="003E03E0">
      <w:pPr>
        <w:ind w:left="709"/>
        <w:jc w:val="both"/>
        <w:rPr>
          <w:rFonts w:ascii="Garamond" w:hAnsi="Garamond"/>
        </w:rPr>
      </w:pPr>
    </w:p>
    <w:p w14:paraId="2886F9A6" w14:textId="4F523E4B" w:rsidR="00BA6EE6" w:rsidRPr="00381F61" w:rsidRDefault="00BA6EE6" w:rsidP="00652ED3">
      <w:pPr>
        <w:pStyle w:val="ListParagraph"/>
        <w:numPr>
          <w:ilvl w:val="0"/>
          <w:numId w:val="44"/>
        </w:numPr>
        <w:ind w:left="709" w:hanging="349"/>
        <w:jc w:val="both"/>
        <w:rPr>
          <w:rFonts w:ascii="Garamond" w:hAnsi="Garamond"/>
        </w:rPr>
      </w:pPr>
      <w:r w:rsidRPr="00381F61">
        <w:rPr>
          <w:rFonts w:ascii="Garamond" w:hAnsi="Garamond"/>
        </w:rPr>
        <w:t>How should the research momentum be maintained over decades?</w:t>
      </w:r>
      <w:r w:rsidR="00B14CFB" w:rsidRPr="00381F61">
        <w:rPr>
          <w:rFonts w:ascii="Garamond" w:hAnsi="Garamond"/>
        </w:rPr>
        <w:t xml:space="preserve">  Where should the ‘stewardship’ of the debate and the data rest?</w:t>
      </w:r>
    </w:p>
    <w:sectPr w:rsidR="00BA6EE6" w:rsidRPr="00381F61" w:rsidSect="00F3350F">
      <w:footerReference w:type="even" r:id="rId89"/>
      <w:footerReference w:type="default" r:id="rId9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B506D" w14:textId="77777777" w:rsidR="00C34B58" w:rsidRDefault="00C34B58" w:rsidP="008B3088">
      <w:r>
        <w:separator/>
      </w:r>
    </w:p>
  </w:endnote>
  <w:endnote w:type="continuationSeparator" w:id="0">
    <w:p w14:paraId="2279DA97" w14:textId="77777777" w:rsidR="00C34B58" w:rsidRDefault="00C34B58" w:rsidP="008B3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 w:name="Verdana,Italic">
    <w:altName w:val="Garamond"/>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etaPlusBold-Roman">
    <w:altName w:val="Garamond"/>
    <w:panose1 w:val="020B0604020202020204"/>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111AF" w14:textId="77777777" w:rsidR="00CD6F06" w:rsidRDefault="00CD6F06" w:rsidP="00B92C8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3D1239" w14:textId="77777777" w:rsidR="00CD6F06" w:rsidRDefault="00CD6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2336F" w14:textId="61804DB0" w:rsidR="00CD6F06" w:rsidRPr="009E078B" w:rsidRDefault="00CD6F06" w:rsidP="00B92C8D">
    <w:pPr>
      <w:pStyle w:val="Footer"/>
      <w:framePr w:wrap="none" w:vAnchor="text" w:hAnchor="margin" w:xAlign="center" w:y="1"/>
      <w:rPr>
        <w:rStyle w:val="PageNumber"/>
        <w:sz w:val="22"/>
      </w:rPr>
    </w:pPr>
    <w:r w:rsidRPr="009E078B">
      <w:rPr>
        <w:rStyle w:val="PageNumber"/>
        <w:sz w:val="22"/>
      </w:rPr>
      <w:fldChar w:fldCharType="begin"/>
    </w:r>
    <w:r w:rsidRPr="009E078B">
      <w:rPr>
        <w:rStyle w:val="PageNumber"/>
        <w:sz w:val="22"/>
      </w:rPr>
      <w:instrText xml:space="preserve">PAGE  </w:instrText>
    </w:r>
    <w:r w:rsidRPr="009E078B">
      <w:rPr>
        <w:rStyle w:val="PageNumber"/>
        <w:sz w:val="22"/>
      </w:rPr>
      <w:fldChar w:fldCharType="separate"/>
    </w:r>
    <w:r>
      <w:rPr>
        <w:rStyle w:val="PageNumber"/>
        <w:noProof/>
        <w:sz w:val="22"/>
      </w:rPr>
      <w:t>95</w:t>
    </w:r>
    <w:r w:rsidRPr="009E078B">
      <w:rPr>
        <w:rStyle w:val="PageNumber"/>
        <w:sz w:val="22"/>
      </w:rPr>
      <w:fldChar w:fldCharType="end"/>
    </w:r>
  </w:p>
  <w:p w14:paraId="34913385" w14:textId="77777777" w:rsidR="00CD6F06" w:rsidRDefault="00CD6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BE8F1" w14:textId="77777777" w:rsidR="00C34B58" w:rsidRDefault="00C34B58" w:rsidP="008B3088">
      <w:r>
        <w:separator/>
      </w:r>
    </w:p>
  </w:footnote>
  <w:footnote w:type="continuationSeparator" w:id="0">
    <w:p w14:paraId="45DAA064" w14:textId="77777777" w:rsidR="00C34B58" w:rsidRDefault="00C34B58" w:rsidP="008B3088">
      <w:r>
        <w:continuationSeparator/>
      </w:r>
    </w:p>
  </w:footnote>
  <w:footnote w:id="1">
    <w:p w14:paraId="72093A5A" w14:textId="05E04B23" w:rsidR="00CD6F06" w:rsidRPr="00043E1D" w:rsidRDefault="00CD6F06" w:rsidP="00663714">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A written version of the report (to “satisfy the requirements of the New Zealand Superannuation and Retirement Income Act (amended 2005))” is </w:t>
      </w:r>
      <w:hyperlink r:id="rId1"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2">
    <w:p w14:paraId="3812AD13" w14:textId="45D90DA5"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Section 84 of the Act, accessible </w:t>
      </w:r>
      <w:hyperlink r:id="rId2" w:history="1">
        <w:r w:rsidRPr="001271AE">
          <w:rPr>
            <w:rStyle w:val="Hyperlink"/>
            <w:rFonts w:ascii="Garamond" w:hAnsi="Garamond"/>
            <w:sz w:val="20"/>
            <w:szCs w:val="20"/>
          </w:rPr>
          <w:t>here</w:t>
        </w:r>
      </w:hyperlink>
      <w:r>
        <w:rPr>
          <w:rFonts w:ascii="Garamond" w:hAnsi="Garamond"/>
          <w:sz w:val="20"/>
          <w:szCs w:val="20"/>
        </w:rPr>
        <w:t>.</w:t>
      </w:r>
    </w:p>
  </w:footnote>
  <w:footnote w:id="3">
    <w:p w14:paraId="3B31A22B" w14:textId="1DB0D16B" w:rsidR="00CD6F06" w:rsidRPr="00891E0F" w:rsidRDefault="00CD6F06">
      <w:pPr>
        <w:pStyle w:val="FootnoteText"/>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Pr>
          <w:rFonts w:ascii="Garamond" w:hAnsi="Garamond"/>
          <w:i/>
          <w:sz w:val="20"/>
          <w:szCs w:val="20"/>
        </w:rPr>
        <w:t>The Terms of Reference for the 2016 Review of Retirement Income Policies</w:t>
      </w:r>
      <w:r>
        <w:rPr>
          <w:rFonts w:ascii="Garamond" w:hAnsi="Garamond"/>
          <w:sz w:val="20"/>
          <w:szCs w:val="20"/>
        </w:rPr>
        <w:t xml:space="preserve"> are accessible </w:t>
      </w:r>
      <w:hyperlink r:id="rId3" w:history="1">
        <w:r w:rsidRPr="00696DB4">
          <w:rPr>
            <w:rStyle w:val="Hyperlink"/>
            <w:rFonts w:ascii="Garamond" w:hAnsi="Garamond"/>
            <w:sz w:val="20"/>
            <w:szCs w:val="20"/>
          </w:rPr>
          <w:t>here</w:t>
        </w:r>
      </w:hyperlink>
      <w:r>
        <w:rPr>
          <w:rFonts w:ascii="Garamond" w:hAnsi="Garamond"/>
          <w:sz w:val="20"/>
          <w:szCs w:val="20"/>
        </w:rPr>
        <w:t>.</w:t>
      </w:r>
    </w:p>
  </w:footnote>
  <w:footnote w:id="4">
    <w:p w14:paraId="09562FAE" w14:textId="6F7224B9" w:rsidR="00CD6F06" w:rsidRPr="00891E0F" w:rsidRDefault="00CD6F06" w:rsidP="00891E0F">
      <w:pPr>
        <w:pStyle w:val="FootnoteText"/>
        <w:jc w:val="both"/>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Pr>
          <w:rFonts w:ascii="Garamond" w:hAnsi="Garamond"/>
          <w:i/>
          <w:sz w:val="20"/>
          <w:szCs w:val="20"/>
        </w:rPr>
        <w:t>Making responsible investment the new standard in KiwiSaver</w:t>
      </w:r>
      <w:r>
        <w:rPr>
          <w:rFonts w:ascii="Garamond" w:hAnsi="Garamond"/>
          <w:sz w:val="20"/>
          <w:szCs w:val="20"/>
        </w:rPr>
        <w:t>, Matheson Russell, Retirement Policy and Research Centre, 2015.</w:t>
      </w:r>
    </w:p>
  </w:footnote>
  <w:footnote w:id="5">
    <w:p w14:paraId="4FAAC70B" w14:textId="526C6AEF" w:rsidR="00CD6F06" w:rsidRPr="00891E0F" w:rsidRDefault="00CD6F06" w:rsidP="00891E0F">
      <w:pPr>
        <w:pStyle w:val="FootnoteText"/>
        <w:jc w:val="both"/>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Pr>
          <w:rFonts w:ascii="Garamond" w:hAnsi="Garamond"/>
          <w:i/>
          <w:sz w:val="20"/>
          <w:szCs w:val="20"/>
        </w:rPr>
        <w:t>Default ‘socially responsible investment’ for KiwiSaver? An alternative view</w:t>
      </w:r>
      <w:r>
        <w:rPr>
          <w:rFonts w:ascii="Garamond" w:hAnsi="Garamond"/>
          <w:sz w:val="20"/>
          <w:szCs w:val="20"/>
        </w:rPr>
        <w:t>, Michael Littlewood, Retirement Policy and Research Centre, 2015.</w:t>
      </w:r>
    </w:p>
  </w:footnote>
  <w:footnote w:id="6">
    <w:p w14:paraId="4984D5AC" w14:textId="25EC2D1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w:t>
      </w:r>
      <w:r>
        <w:rPr>
          <w:rFonts w:ascii="Garamond" w:hAnsi="Garamond"/>
          <w:sz w:val="20"/>
          <w:szCs w:val="20"/>
        </w:rPr>
        <w:t xml:space="preserve">last </w:t>
      </w:r>
      <w:r w:rsidRPr="00043E1D">
        <w:rPr>
          <w:rFonts w:ascii="Garamond" w:hAnsi="Garamond"/>
          <w:sz w:val="20"/>
          <w:szCs w:val="20"/>
        </w:rPr>
        <w:t xml:space="preserve">government responded to the 2016 Review.  In a letter to the Retirement Commissioner of 7 June 2017 (accessible </w:t>
      </w:r>
      <w:hyperlink r:id="rId4" w:history="1">
        <w:r w:rsidRPr="00043E1D">
          <w:rPr>
            <w:rStyle w:val="Hyperlink"/>
            <w:rFonts w:ascii="Garamond" w:hAnsi="Garamond"/>
            <w:sz w:val="20"/>
            <w:szCs w:val="20"/>
          </w:rPr>
          <w:t>here</w:t>
        </w:r>
      </w:hyperlink>
      <w:r w:rsidRPr="00043E1D">
        <w:rPr>
          <w:rFonts w:ascii="Garamond" w:hAnsi="Garamond"/>
          <w:sz w:val="20"/>
          <w:szCs w:val="20"/>
        </w:rPr>
        <w:t>), it rejected many of the Review’s recommendations in an evidence-free kind of a way.  We will comment on those at the appropriate points later in this report.</w:t>
      </w:r>
    </w:p>
  </w:footnote>
  <w:footnote w:id="7">
    <w:p w14:paraId="1D639913" w14:textId="0AE1620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eastAsia="Times New Roman" w:hAnsi="Garamond"/>
          <w:sz w:val="20"/>
          <w:szCs w:val="20"/>
          <w:lang w:eastAsia="en-GB"/>
        </w:rPr>
        <w:t xml:space="preserve">This section is based on a submission by Michael Littlewood for the Retirement Commissioner’s 2016 Review: </w:t>
      </w:r>
      <w:r w:rsidRPr="00043E1D">
        <w:rPr>
          <w:rFonts w:ascii="Garamond" w:eastAsia="Times New Roman" w:hAnsi="Garamond"/>
          <w:i/>
          <w:sz w:val="20"/>
          <w:szCs w:val="20"/>
          <w:lang w:eastAsia="en-GB"/>
        </w:rPr>
        <w:t>Ageing populations, retirement incomes and public policy: the four ‘first principles’ of policy-making - A submission to the Commission for Financial Capability</w:t>
      </w:r>
      <w:r w:rsidRPr="00043E1D">
        <w:rPr>
          <w:rFonts w:ascii="Garamond" w:eastAsia="Times New Roman" w:hAnsi="Garamond"/>
          <w:sz w:val="20"/>
          <w:szCs w:val="20"/>
          <w:lang w:eastAsia="en-GB"/>
        </w:rPr>
        <w:t xml:space="preserve"> (accessible </w:t>
      </w:r>
      <w:hyperlink r:id="rId5" w:history="1">
        <w:r w:rsidRPr="00043E1D">
          <w:rPr>
            <w:rStyle w:val="Hyperlink"/>
            <w:rFonts w:ascii="Garamond" w:eastAsia="Times New Roman" w:hAnsi="Garamond"/>
            <w:sz w:val="20"/>
            <w:szCs w:val="20"/>
            <w:lang w:eastAsia="en-GB"/>
          </w:rPr>
          <w:t>here</w:t>
        </w:r>
      </w:hyperlink>
      <w:r w:rsidRPr="00043E1D">
        <w:rPr>
          <w:rFonts w:ascii="Garamond" w:eastAsia="Times New Roman" w:hAnsi="Garamond"/>
          <w:sz w:val="20"/>
          <w:szCs w:val="20"/>
          <w:lang w:eastAsia="en-GB"/>
        </w:rPr>
        <w:t>).</w:t>
      </w:r>
    </w:p>
  </w:footnote>
  <w:footnote w:id="8">
    <w:p w14:paraId="462DAEBA" w14:textId="16DE2811" w:rsidR="00CD6F06" w:rsidRPr="008873D9" w:rsidRDefault="00CD6F06">
      <w:pPr>
        <w:jc w:val="both"/>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Does New Zealand have a household saving crisis?</w:t>
      </w:r>
      <w:r w:rsidRPr="00043E1D">
        <w:rPr>
          <w:rFonts w:ascii="Garamond" w:hAnsi="Garamond"/>
          <w:sz w:val="20"/>
          <w:szCs w:val="20"/>
        </w:rPr>
        <w:t xml:space="preserve"> (2007) by Trinh Le (New Zealand Institute of Economic Research, accessible </w:t>
      </w:r>
      <w:hyperlink r:id="rId6" w:history="1">
        <w:r w:rsidRPr="00043E1D">
          <w:rPr>
            <w:rStyle w:val="Hyperlink"/>
            <w:rFonts w:ascii="Garamond" w:hAnsi="Garamond"/>
            <w:sz w:val="20"/>
            <w:szCs w:val="20"/>
          </w:rPr>
          <w:t>here</w:t>
        </w:r>
      </w:hyperlink>
      <w:r w:rsidRPr="00043E1D">
        <w:rPr>
          <w:rFonts w:ascii="Garamond" w:hAnsi="Garamond"/>
          <w:sz w:val="20"/>
          <w:szCs w:val="20"/>
        </w:rPr>
        <w:t xml:space="preserve">) suggests that both the New Zealand Superannuation Fund (see section 6 below) and KiwiSaver (section 13 below) were unnecessary public policy interventions to, as claimed at the time, help fix an apparent savings ‘problem’.  “Overall, the reasons that have been used to justify pro-saving policies lack economic underpinnings.  If there is a policy that New Zealand needs, it must be one that promotes growth.  Pro-saving policies are more likely to be regrettable than not” (page 16).  The “regrettable” reference related to the Treasury’s </w:t>
      </w:r>
      <w:r w:rsidRPr="00043E1D">
        <w:rPr>
          <w:rFonts w:ascii="Garamond" w:hAnsi="Garamond"/>
          <w:i/>
          <w:sz w:val="20"/>
          <w:szCs w:val="20"/>
        </w:rPr>
        <w:t>ex post</w:t>
      </w:r>
      <w:r w:rsidRPr="00043E1D">
        <w:rPr>
          <w:rFonts w:ascii="Garamond" w:hAnsi="Garamond"/>
          <w:sz w:val="20"/>
          <w:szCs w:val="20"/>
        </w:rPr>
        <w:t xml:space="preserve"> justification of the large tax breaks delivered to KiwiSaver in the 2007 Budget in </w:t>
      </w:r>
      <w:r w:rsidRPr="00043E1D">
        <w:rPr>
          <w:rFonts w:ascii="Garamond" w:hAnsi="Garamond"/>
          <w:i/>
          <w:sz w:val="20"/>
          <w:szCs w:val="20"/>
        </w:rPr>
        <w:t xml:space="preserve">A Synopsis of Theory, Evidence and Recent Treasury Analysis on Saving </w:t>
      </w:r>
      <w:r w:rsidRPr="00043E1D">
        <w:rPr>
          <w:rFonts w:ascii="Garamond" w:hAnsi="Garamond"/>
          <w:sz w:val="20"/>
          <w:szCs w:val="20"/>
        </w:rPr>
        <w:t xml:space="preserve">(2007 – accessible </w:t>
      </w:r>
      <w:hyperlink r:id="rId7" w:history="1">
        <w:r w:rsidRPr="00043E1D">
          <w:rPr>
            <w:rStyle w:val="Hyperlink"/>
            <w:rFonts w:ascii="Garamond" w:hAnsi="Garamond"/>
            <w:sz w:val="20"/>
            <w:szCs w:val="20"/>
          </w:rPr>
          <w:t>here</w:t>
        </w:r>
      </w:hyperlink>
      <w:r w:rsidRPr="00043E1D">
        <w:rPr>
          <w:rFonts w:ascii="Garamond" w:hAnsi="Garamond"/>
          <w:sz w:val="20"/>
          <w:szCs w:val="20"/>
        </w:rPr>
        <w:t xml:space="preserve">).  The specific reference is that report’s conclusion: “However, in the light of the recent data, evidence and analysis mentioned above, on balance we think that further or stronger pro-saving action is now justified…..This judgement for further or stronger action rests on a </w:t>
      </w:r>
      <w:r w:rsidRPr="00043E1D">
        <w:rPr>
          <w:rFonts w:ascii="Garamond" w:hAnsi="Garamond"/>
          <w:sz w:val="20"/>
          <w:szCs w:val="20"/>
          <w:u w:val="single"/>
        </w:rPr>
        <w:t>least-regrets</w:t>
      </w:r>
      <w:r w:rsidRPr="00043E1D">
        <w:rPr>
          <w:rFonts w:ascii="Garamond" w:hAnsi="Garamond"/>
          <w:sz w:val="20"/>
          <w:szCs w:val="20"/>
        </w:rPr>
        <w:t xml:space="preserve"> approach in the light of data uncertainties, persistent macroeconomic imbalances and the possibility that individuals are basing saving decisions on long-run expectations that could turn out to be mistaken” (from page 4 - our emphasis).</w:t>
      </w:r>
    </w:p>
  </w:footnote>
  <w:footnote w:id="9">
    <w:p w14:paraId="678888EB" w14:textId="496291A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For example, an analysis of US data from the U.S. Bureau of Economic Analysis between 1948 and 2015 used by Steve Roth </w:t>
      </w:r>
      <w:hyperlink r:id="rId8" w:history="1">
        <w:r w:rsidRPr="00043E1D">
          <w:rPr>
            <w:rStyle w:val="Hyperlink"/>
            <w:rFonts w:ascii="Garamond" w:hAnsi="Garamond"/>
            <w:sz w:val="20"/>
            <w:szCs w:val="20"/>
          </w:rPr>
          <w:t>here</w:t>
        </w:r>
      </w:hyperlink>
      <w:r w:rsidRPr="00043E1D">
        <w:rPr>
          <w:rFonts w:ascii="Garamond" w:hAnsi="Garamond"/>
          <w:sz w:val="20"/>
          <w:szCs w:val="20"/>
        </w:rPr>
        <w:t xml:space="preserve"> concludes, among other things, that personal saving and private investment are “very weakly correlated and what correlation there is is mostly negative.”  Also “Personal saving has a significant and quite consistently </w:t>
      </w:r>
      <w:r w:rsidRPr="00043E1D">
        <w:rPr>
          <w:rFonts w:ascii="Garamond" w:hAnsi="Garamond"/>
          <w:i/>
          <w:sz w:val="20"/>
          <w:szCs w:val="20"/>
        </w:rPr>
        <w:t xml:space="preserve">negative </w:t>
      </w:r>
      <w:r w:rsidRPr="00043E1D">
        <w:rPr>
          <w:rFonts w:ascii="Garamond" w:hAnsi="Garamond"/>
          <w:sz w:val="20"/>
          <w:szCs w:val="20"/>
        </w:rPr>
        <w:t>correlation with business investment.  Again: more saving, less investment.”  These are actual data observed, not forward-looking models of what ‘should’ happen.</w:t>
      </w:r>
    </w:p>
  </w:footnote>
  <w:footnote w:id="10">
    <w:p w14:paraId="7C143BAC" w14:textId="77777777"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Increasing the size of private claims on the economy, in the absence of growth, may actually worsen affordability issues associated with ageing populations.</w:t>
      </w:r>
    </w:p>
  </w:footnote>
  <w:footnote w:id="11">
    <w:p w14:paraId="2E1C167B" w14:textId="5920FEB0"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Achieving New Zealand’s Productivity Potential</w:t>
      </w:r>
      <w:r w:rsidRPr="00043E1D">
        <w:rPr>
          <w:rFonts w:ascii="Garamond" w:hAnsi="Garamond"/>
          <w:sz w:val="20"/>
          <w:szCs w:val="20"/>
        </w:rPr>
        <w:t xml:space="preserve">, The New Zealand Productivity Commission, November 2016 – accessible </w:t>
      </w:r>
      <w:hyperlink r:id="rId9" w:history="1">
        <w:r w:rsidRPr="00043E1D">
          <w:rPr>
            <w:rStyle w:val="Hyperlink"/>
            <w:rFonts w:ascii="Garamond" w:hAnsi="Garamond"/>
            <w:sz w:val="20"/>
            <w:szCs w:val="20"/>
          </w:rPr>
          <w:t>here</w:t>
        </w:r>
      </w:hyperlink>
      <w:r w:rsidRPr="00043E1D">
        <w:rPr>
          <w:rFonts w:ascii="Garamond" w:hAnsi="Garamond"/>
          <w:sz w:val="20"/>
          <w:szCs w:val="20"/>
        </w:rPr>
        <w:t>.</w:t>
      </w:r>
    </w:p>
  </w:footnote>
  <w:footnote w:id="12">
    <w:p w14:paraId="1DAD2D0B" w14:textId="63B3C13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Affording Our Future – Statement on New Zealand’s Long-term Fiscal Position</w:t>
      </w:r>
      <w:r w:rsidRPr="00043E1D">
        <w:rPr>
          <w:rFonts w:ascii="Garamond" w:hAnsi="Garamond"/>
          <w:sz w:val="20"/>
          <w:szCs w:val="20"/>
        </w:rPr>
        <w:t xml:space="preserve">, The Treasury, Wellington (available </w:t>
      </w:r>
      <w:hyperlink r:id="rId10" w:history="1">
        <w:r w:rsidRPr="00043E1D">
          <w:rPr>
            <w:rStyle w:val="Hyperlink"/>
            <w:rFonts w:ascii="Garamond" w:hAnsi="Garamond"/>
            <w:sz w:val="20"/>
            <w:szCs w:val="20"/>
          </w:rPr>
          <w:t>here</w:t>
        </w:r>
      </w:hyperlink>
      <w:r>
        <w:rPr>
          <w:rStyle w:val="Hyperlink"/>
          <w:rFonts w:ascii="Garamond" w:hAnsi="Garamond"/>
          <w:sz w:val="20"/>
          <w:szCs w:val="20"/>
        </w:rPr>
        <w:t>)</w:t>
      </w:r>
    </w:p>
  </w:footnote>
  <w:footnote w:id="13">
    <w:p w14:paraId="01499CFC" w14:textId="280FE90A"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Treasury’s</w:t>
      </w:r>
      <w:r w:rsidRPr="00043E1D">
        <w:rPr>
          <w:rFonts w:ascii="Garamond" w:hAnsi="Garamond"/>
          <w:b/>
          <w:sz w:val="20"/>
          <w:szCs w:val="20"/>
        </w:rPr>
        <w:t xml:space="preserve"> </w:t>
      </w:r>
      <w:r w:rsidRPr="00043E1D">
        <w:rPr>
          <w:rFonts w:ascii="Garamond" w:hAnsi="Garamond"/>
          <w:i/>
          <w:sz w:val="20"/>
          <w:szCs w:val="20"/>
        </w:rPr>
        <w:t>2016 Statement on the Long-term Fiscal Position</w:t>
      </w:r>
      <w:r w:rsidRPr="00043E1D">
        <w:rPr>
          <w:rFonts w:ascii="Garamond" w:hAnsi="Garamond"/>
          <w:sz w:val="20"/>
          <w:szCs w:val="20"/>
        </w:rPr>
        <w:t xml:space="preserve"> (available </w:t>
      </w:r>
      <w:hyperlink r:id="rId11" w:history="1">
        <w:r w:rsidRPr="00043E1D">
          <w:rPr>
            <w:rStyle w:val="Hyperlink"/>
            <w:rFonts w:ascii="Garamond" w:hAnsi="Garamond"/>
            <w:sz w:val="20"/>
            <w:szCs w:val="20"/>
          </w:rPr>
          <w:t>here</w:t>
        </w:r>
      </w:hyperlink>
      <w:r w:rsidRPr="00043E1D">
        <w:rPr>
          <w:rFonts w:ascii="Garamond" w:hAnsi="Garamond"/>
          <w:sz w:val="20"/>
          <w:szCs w:val="20"/>
        </w:rPr>
        <w:t>)</w:t>
      </w:r>
      <w:r>
        <w:rPr>
          <w:rFonts w:ascii="Garamond" w:hAnsi="Garamond"/>
          <w:sz w:val="20"/>
          <w:szCs w:val="20"/>
        </w:rPr>
        <w:t>.  This is the most recent version of the Model.</w:t>
      </w:r>
    </w:p>
  </w:footnote>
  <w:footnote w:id="14">
    <w:p w14:paraId="6CCA327C" w14:textId="30E49234" w:rsidR="00CD6F06" w:rsidRPr="00891E0F" w:rsidRDefault="00CD6F06" w:rsidP="00891E0F">
      <w:pPr>
        <w:pStyle w:val="FootnoteText"/>
        <w:jc w:val="both"/>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sidRPr="00F66CFF">
        <w:rPr>
          <w:rFonts w:ascii="Garamond" w:hAnsi="Garamond"/>
          <w:sz w:val="20"/>
          <w:szCs w:val="20"/>
        </w:rPr>
        <w:t xml:space="preserve">In </w:t>
      </w:r>
      <w:r w:rsidRPr="00F66CFF">
        <w:rPr>
          <w:rFonts w:ascii="Garamond" w:hAnsi="Garamond"/>
          <w:i/>
          <w:sz w:val="20"/>
          <w:szCs w:val="20"/>
        </w:rPr>
        <w:t>‘Wellbeing’ Budget might need more, not less focus on GDP</w:t>
      </w:r>
      <w:r w:rsidRPr="00F66CFF">
        <w:rPr>
          <w:rFonts w:ascii="Garamond" w:hAnsi="Garamond"/>
          <w:sz w:val="20"/>
          <w:szCs w:val="20"/>
        </w:rPr>
        <w:t xml:space="preserve">, Justin Stevenson (in </w:t>
      </w:r>
      <w:r w:rsidRPr="00F66CFF">
        <w:rPr>
          <w:rFonts w:ascii="Garamond" w:hAnsi="Garamond"/>
          <w:i/>
          <w:sz w:val="20"/>
          <w:szCs w:val="20"/>
        </w:rPr>
        <w:t>Stuff</w:t>
      </w:r>
      <w:r w:rsidRPr="00F66CFF">
        <w:rPr>
          <w:rFonts w:ascii="Garamond" w:hAnsi="Garamond"/>
          <w:sz w:val="20"/>
          <w:szCs w:val="20"/>
        </w:rPr>
        <w:t xml:space="preserve">, 1 May 2019 – accessible </w:t>
      </w:r>
      <w:hyperlink r:id="rId12" w:history="1">
        <w:r w:rsidRPr="00F66CFF">
          <w:rPr>
            <w:rStyle w:val="Hyperlink"/>
            <w:rFonts w:ascii="Garamond" w:hAnsi="Garamond"/>
            <w:sz w:val="20"/>
            <w:szCs w:val="20"/>
          </w:rPr>
          <w:t>here</w:t>
        </w:r>
      </w:hyperlink>
      <w:r w:rsidRPr="00F66CFF">
        <w:rPr>
          <w:rFonts w:ascii="Garamond" w:hAnsi="Garamond"/>
          <w:sz w:val="20"/>
          <w:szCs w:val="20"/>
        </w:rPr>
        <w:t xml:space="preserve">) suggests that measuring GDP </w:t>
      </w:r>
      <w:r w:rsidRPr="00F66CFF">
        <w:rPr>
          <w:rFonts w:ascii="Garamond" w:hAnsi="Garamond"/>
          <w:i/>
          <w:sz w:val="20"/>
          <w:szCs w:val="20"/>
        </w:rPr>
        <w:t xml:space="preserve">per capita </w:t>
      </w:r>
      <w:r w:rsidRPr="00F66CFF">
        <w:rPr>
          <w:rFonts w:ascii="Garamond" w:hAnsi="Garamond"/>
          <w:sz w:val="20"/>
          <w:szCs w:val="20"/>
        </w:rPr>
        <w:t xml:space="preserve">changes against the international ‘Social Policy Index’ </w:t>
      </w:r>
      <w:r w:rsidRPr="00891E0F">
        <w:rPr>
          <w:rFonts w:ascii="Garamond" w:hAnsi="Garamond"/>
          <w:sz w:val="20"/>
          <w:szCs w:val="20"/>
        </w:rPr>
        <w:t xml:space="preserve">[see </w:t>
      </w:r>
      <w:hyperlink r:id="rId13" w:history="1">
        <w:r w:rsidRPr="00891E0F">
          <w:rPr>
            <w:rStyle w:val="Hyperlink"/>
            <w:rFonts w:ascii="Garamond" w:hAnsi="Garamond"/>
            <w:sz w:val="20"/>
            <w:szCs w:val="20"/>
          </w:rPr>
          <w:t>here</w:t>
        </w:r>
      </w:hyperlink>
      <w:r w:rsidRPr="00891E0F">
        <w:rPr>
          <w:rFonts w:ascii="Garamond" w:hAnsi="Garamond"/>
          <w:sz w:val="20"/>
          <w:szCs w:val="20"/>
        </w:rPr>
        <w:t xml:space="preserve"> for more] </w:t>
      </w:r>
      <w:r w:rsidRPr="00F66CFF">
        <w:rPr>
          <w:rFonts w:ascii="Garamond" w:hAnsi="Garamond"/>
          <w:sz w:val="20"/>
          <w:szCs w:val="20"/>
        </w:rPr>
        <w:t>shows a “clear positive relationship between SPI and GDP, particularly when compared on a logarithmic scale.  “Overall, New Zealand is ranked 10</w:t>
      </w:r>
      <w:r w:rsidRPr="00891E0F">
        <w:rPr>
          <w:rFonts w:ascii="Garamond" w:hAnsi="Garamond"/>
          <w:sz w:val="20"/>
          <w:szCs w:val="20"/>
          <w:vertAlign w:val="superscript"/>
        </w:rPr>
        <w:t>th</w:t>
      </w:r>
      <w:r w:rsidRPr="00F66CFF">
        <w:rPr>
          <w:rFonts w:ascii="Garamond" w:hAnsi="Garamond"/>
          <w:sz w:val="20"/>
          <w:szCs w:val="20"/>
        </w:rPr>
        <w:t xml:space="preserve"> on the SPI index, behind the usual Scandinavian suspects.  However, in terms of bang per buck (SPI per logarithmic scale…) New Zealand is first.  What New Zealand seems to need is more bucks.”</w:t>
      </w:r>
    </w:p>
  </w:footnote>
  <w:footnote w:id="15">
    <w:p w14:paraId="5841B164" w14:textId="65AA0C40" w:rsidR="00CD6F06" w:rsidRPr="00043E1D" w:rsidRDefault="00CD6F06">
      <w:pPr>
        <w:jc w:val="both"/>
        <w:rPr>
          <w:rFonts w:ascii="Garamond" w:hAnsi="Garamond"/>
          <w:sz w:val="20"/>
          <w:szCs w:val="20"/>
        </w:rPr>
      </w:pPr>
      <w:r w:rsidRPr="00043E1D">
        <w:rPr>
          <w:rStyle w:val="FootnoteReference"/>
          <w:rFonts w:ascii="Garamond" w:hAnsi="Garamond"/>
        </w:rPr>
        <w:footnoteRef/>
      </w:r>
      <w:r w:rsidRPr="00043E1D">
        <w:rPr>
          <w:rFonts w:ascii="Garamond" w:hAnsi="Garamond"/>
        </w:rPr>
        <w:t xml:space="preserve"> </w:t>
      </w:r>
      <w:r w:rsidRPr="00043E1D">
        <w:rPr>
          <w:rFonts w:ascii="Garamond" w:hAnsi="Garamond"/>
          <w:sz w:val="20"/>
          <w:szCs w:val="20"/>
        </w:rPr>
        <w:t xml:space="preserve">This section is based on a submission by Michael Littlewood for the Retirement Commissioner’s 2016 Review: </w:t>
      </w:r>
      <w:r w:rsidRPr="00043E1D">
        <w:rPr>
          <w:rFonts w:ascii="Garamond" w:hAnsi="Garamond"/>
          <w:i/>
          <w:sz w:val="20"/>
          <w:szCs w:val="20"/>
        </w:rPr>
        <w:t>Ageing populations, retirement incomes and public policy: the four ‘first principles’ of policy-making - A submission to the Commission for Financial Capability</w:t>
      </w:r>
      <w:r w:rsidRPr="00043E1D">
        <w:rPr>
          <w:rFonts w:ascii="Garamond" w:hAnsi="Garamond"/>
          <w:sz w:val="20"/>
          <w:szCs w:val="20"/>
        </w:rPr>
        <w:t xml:space="preserve"> (accessible </w:t>
      </w:r>
      <w:hyperlink r:id="rId14" w:history="1">
        <w:r w:rsidRPr="00043E1D">
          <w:rPr>
            <w:rStyle w:val="Hyperlink"/>
            <w:rFonts w:ascii="Garamond" w:hAnsi="Garamond"/>
            <w:sz w:val="20"/>
            <w:szCs w:val="20"/>
          </w:rPr>
          <w:t>here</w:t>
        </w:r>
      </w:hyperlink>
      <w:r w:rsidRPr="00043E1D">
        <w:rPr>
          <w:rFonts w:ascii="Garamond" w:hAnsi="Garamond"/>
          <w:sz w:val="20"/>
          <w:szCs w:val="20"/>
        </w:rPr>
        <w:t>).</w:t>
      </w:r>
    </w:p>
  </w:footnote>
  <w:footnote w:id="16">
    <w:p w14:paraId="42AB4FCC" w14:textId="77777777"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 concept proposed by Nicholas Barr in </w:t>
      </w:r>
      <w:r w:rsidRPr="00043E1D">
        <w:rPr>
          <w:rFonts w:ascii="Garamond" w:hAnsi="Garamond"/>
          <w:i/>
          <w:sz w:val="20"/>
          <w:szCs w:val="20"/>
        </w:rPr>
        <w:t>The Economics of the Welfare State</w:t>
      </w:r>
      <w:r w:rsidRPr="00043E1D">
        <w:rPr>
          <w:rFonts w:ascii="Garamond" w:hAnsi="Garamond"/>
          <w:sz w:val="20"/>
          <w:szCs w:val="20"/>
        </w:rPr>
        <w:t>, Stanford University Press, 1987.</w:t>
      </w:r>
    </w:p>
  </w:footnote>
  <w:footnote w:id="17">
    <w:p w14:paraId="4F6E6FE4" w14:textId="4497762D" w:rsidR="00CD6F06" w:rsidRPr="00563816" w:rsidRDefault="00CD6F06">
      <w:pPr>
        <w:pStyle w:val="FootnoteText"/>
        <w:jc w:val="both"/>
        <w:rPr>
          <w:rFonts w:ascii="Garamond" w:hAnsi="Garamond"/>
          <w:sz w:val="20"/>
          <w:szCs w:val="20"/>
          <w:lang w:val="en-US"/>
        </w:rPr>
      </w:pPr>
      <w:r w:rsidRPr="00563816">
        <w:rPr>
          <w:rStyle w:val="FootnoteReference"/>
          <w:rFonts w:ascii="Garamond" w:hAnsi="Garamond"/>
          <w:sz w:val="20"/>
          <w:szCs w:val="20"/>
        </w:rPr>
        <w:footnoteRef/>
      </w:r>
      <w:r w:rsidRPr="00563816">
        <w:rPr>
          <w:rFonts w:ascii="Garamond" w:hAnsi="Garamond"/>
          <w:sz w:val="20"/>
          <w:szCs w:val="20"/>
        </w:rPr>
        <w:t xml:space="preserve"> </w:t>
      </w:r>
      <w:r>
        <w:rPr>
          <w:rFonts w:ascii="Garamond" w:hAnsi="Garamond"/>
          <w:sz w:val="20"/>
          <w:szCs w:val="20"/>
        </w:rPr>
        <w:t xml:space="preserve">The case of Japan is interesting – Japan’s total population is falling with a 330,786 (0.3%) net loss of births over deaths in 2016.  The pace of reduction over the previous eight years was increasing.  The government estimates that Japan’s population will fall from 127.1 million in 2015 to 88.1 million in 2065 (see </w:t>
      </w:r>
      <w:hyperlink r:id="rId15" w:history="1">
        <w:r w:rsidRPr="00693F50">
          <w:rPr>
            <w:rStyle w:val="Hyperlink"/>
            <w:rFonts w:ascii="Garamond" w:hAnsi="Garamond"/>
            <w:sz w:val="20"/>
            <w:szCs w:val="20"/>
          </w:rPr>
          <w:t>here</w:t>
        </w:r>
      </w:hyperlink>
      <w:r>
        <w:rPr>
          <w:rFonts w:ascii="Garamond" w:hAnsi="Garamond"/>
          <w:sz w:val="20"/>
          <w:szCs w:val="20"/>
        </w:rPr>
        <w:t xml:space="preserve">).  We should understand the economic implications for Japan of future pension claims (public and private).  New Zealand, on the other hand, expects the current (2016) 4.69 million population to grow to 6.52 million by 2068 – StatsNZ </w:t>
      </w:r>
      <w:r>
        <w:rPr>
          <w:rFonts w:ascii="Garamond" w:hAnsi="Garamond"/>
          <w:i/>
          <w:sz w:val="20"/>
          <w:szCs w:val="20"/>
        </w:rPr>
        <w:t>National Population Projections 2016-2068</w:t>
      </w:r>
      <w:r>
        <w:rPr>
          <w:rFonts w:ascii="Garamond" w:hAnsi="Garamond"/>
          <w:sz w:val="20"/>
          <w:szCs w:val="20"/>
        </w:rPr>
        <w:t xml:space="preserve">, median estimate (accessible </w:t>
      </w:r>
      <w:hyperlink r:id="rId16" w:history="1">
        <w:r w:rsidRPr="000D5137">
          <w:rPr>
            <w:rStyle w:val="Hyperlink"/>
            <w:rFonts w:ascii="Garamond" w:hAnsi="Garamond"/>
            <w:sz w:val="20"/>
            <w:szCs w:val="20"/>
          </w:rPr>
          <w:t>here</w:t>
        </w:r>
      </w:hyperlink>
      <w:r>
        <w:rPr>
          <w:rFonts w:ascii="Garamond" w:hAnsi="Garamond"/>
          <w:sz w:val="20"/>
          <w:szCs w:val="20"/>
        </w:rPr>
        <w:t>).  For retirement incomes, the population’s age mix is the significant issue.</w:t>
      </w:r>
    </w:p>
  </w:footnote>
  <w:footnote w:id="18">
    <w:p w14:paraId="149BD112" w14:textId="428B593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 xml:space="preserve">New Zealand Superannuation’s real costs – looking to 2060 </w:t>
      </w:r>
      <w:r w:rsidRPr="00043E1D">
        <w:rPr>
          <w:rFonts w:ascii="Garamond" w:hAnsi="Garamond"/>
          <w:sz w:val="20"/>
          <w:szCs w:val="20"/>
        </w:rPr>
        <w:t xml:space="preserve">(accessible </w:t>
      </w:r>
      <w:hyperlink r:id="rId17" w:history="1">
        <w:r w:rsidRPr="00043E1D">
          <w:rPr>
            <w:rStyle w:val="Hyperlink"/>
            <w:rFonts w:ascii="Garamond" w:hAnsi="Garamond"/>
            <w:sz w:val="20"/>
            <w:szCs w:val="20"/>
          </w:rPr>
          <w:t>here</w:t>
        </w:r>
      </w:hyperlink>
      <w:r w:rsidRPr="00043E1D">
        <w:rPr>
          <w:rFonts w:ascii="Garamond" w:hAnsi="Garamond"/>
          <w:sz w:val="20"/>
          <w:szCs w:val="20"/>
        </w:rPr>
        <w:t>).</w:t>
      </w:r>
    </w:p>
  </w:footnote>
  <w:footnote w:id="19">
    <w:p w14:paraId="6C0FD1F7" w14:textId="17286404" w:rsidR="00CD6F06" w:rsidRPr="00C979C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More recently</w:t>
      </w:r>
      <w:r>
        <w:rPr>
          <w:rFonts w:ascii="Garamond" w:hAnsi="Garamond"/>
          <w:sz w:val="20"/>
          <w:szCs w:val="20"/>
        </w:rPr>
        <w:t xml:space="preserve"> (2018)</w:t>
      </w:r>
      <w:r w:rsidRPr="00043E1D">
        <w:rPr>
          <w:rFonts w:ascii="Garamond" w:hAnsi="Garamond"/>
          <w:sz w:val="20"/>
          <w:szCs w:val="20"/>
        </w:rPr>
        <w:t xml:space="preserve">, the Treasury has estimated the 2060 net cost of NZS at </w:t>
      </w:r>
      <w:r>
        <w:rPr>
          <w:rFonts w:ascii="Garamond" w:hAnsi="Garamond"/>
          <w:sz w:val="20"/>
          <w:szCs w:val="20"/>
        </w:rPr>
        <w:t>6.75</w:t>
      </w:r>
      <w:r w:rsidRPr="00043E1D">
        <w:rPr>
          <w:rFonts w:ascii="Garamond" w:hAnsi="Garamond"/>
          <w:sz w:val="20"/>
          <w:szCs w:val="20"/>
        </w:rPr>
        <w:t>% of GDP, based on the 201</w:t>
      </w:r>
      <w:r>
        <w:rPr>
          <w:rFonts w:ascii="Garamond" w:hAnsi="Garamond"/>
          <w:sz w:val="20"/>
          <w:szCs w:val="20"/>
        </w:rPr>
        <w:t>8</w:t>
      </w:r>
      <w:r w:rsidRPr="00043E1D">
        <w:rPr>
          <w:rFonts w:ascii="Garamond" w:hAnsi="Garamond"/>
          <w:sz w:val="20"/>
          <w:szCs w:val="20"/>
        </w:rPr>
        <w:t xml:space="preserve"> LTFM (</w:t>
      </w:r>
      <w:r w:rsidRPr="00043E1D">
        <w:rPr>
          <w:rFonts w:ascii="Garamond" w:hAnsi="Garamond"/>
          <w:i/>
          <w:sz w:val="20"/>
          <w:szCs w:val="20"/>
        </w:rPr>
        <w:t xml:space="preserve">New Zealand Superannuation Contribution Rate Model –  </w:t>
      </w:r>
      <w:r>
        <w:rPr>
          <w:rFonts w:ascii="Garamond" w:hAnsi="Garamond"/>
          <w:i/>
          <w:sz w:val="20"/>
          <w:szCs w:val="20"/>
        </w:rPr>
        <w:t xml:space="preserve">HEFU 2018 </w:t>
      </w:r>
      <w:r w:rsidRPr="00043E1D">
        <w:rPr>
          <w:rFonts w:ascii="Garamond" w:hAnsi="Garamond"/>
          <w:sz w:val="20"/>
          <w:szCs w:val="20"/>
        </w:rPr>
        <w:t xml:space="preserve">New Zealand Treasury, </w:t>
      </w:r>
      <w:r>
        <w:rPr>
          <w:rFonts w:ascii="Garamond" w:hAnsi="Garamond"/>
          <w:sz w:val="20"/>
          <w:szCs w:val="20"/>
        </w:rPr>
        <w:t>December</w:t>
      </w:r>
      <w:r w:rsidRPr="00043E1D">
        <w:rPr>
          <w:rFonts w:ascii="Garamond" w:hAnsi="Garamond"/>
          <w:sz w:val="20"/>
          <w:szCs w:val="20"/>
        </w:rPr>
        <w:t xml:space="preserve"> 201</w:t>
      </w:r>
      <w:r>
        <w:rPr>
          <w:rFonts w:ascii="Garamond" w:hAnsi="Garamond"/>
          <w:sz w:val="20"/>
          <w:szCs w:val="20"/>
        </w:rPr>
        <w:t>7</w:t>
      </w:r>
      <w:r w:rsidRPr="00043E1D">
        <w:rPr>
          <w:rFonts w:ascii="Garamond" w:hAnsi="Garamond"/>
          <w:sz w:val="20"/>
          <w:szCs w:val="20"/>
        </w:rPr>
        <w:t xml:space="preserve"> – accessible </w:t>
      </w:r>
      <w:hyperlink r:id="rId18" w:history="1">
        <w:r w:rsidRPr="00043E1D">
          <w:rPr>
            <w:rStyle w:val="Hyperlink"/>
            <w:rFonts w:ascii="Garamond" w:hAnsi="Garamond"/>
            <w:sz w:val="20"/>
            <w:szCs w:val="20"/>
          </w:rPr>
          <w:t>here</w:t>
        </w:r>
      </w:hyperlink>
      <w:r w:rsidRPr="00043E1D">
        <w:rPr>
          <w:rFonts w:ascii="Garamond" w:hAnsi="Garamond"/>
          <w:sz w:val="20"/>
          <w:szCs w:val="20"/>
        </w:rPr>
        <w:t xml:space="preserve">).  After 14 versions of the LTFM that saw steady declines in the expected net cost of NZS, the </w:t>
      </w:r>
      <w:r w:rsidRPr="00701CA1">
        <w:rPr>
          <w:rFonts w:ascii="Garamond" w:hAnsi="Garamond"/>
          <w:sz w:val="20"/>
          <w:szCs w:val="20"/>
          <w:u w:val="single"/>
        </w:rPr>
        <w:t>2016 model</w:t>
      </w:r>
      <w:r w:rsidRPr="00043E1D">
        <w:rPr>
          <w:rFonts w:ascii="Garamond" w:hAnsi="Garamond"/>
          <w:sz w:val="20"/>
          <w:szCs w:val="20"/>
        </w:rPr>
        <w:t xml:space="preserve"> show</w:t>
      </w:r>
      <w:r>
        <w:rPr>
          <w:rFonts w:ascii="Garamond" w:hAnsi="Garamond"/>
          <w:sz w:val="20"/>
          <w:szCs w:val="20"/>
        </w:rPr>
        <w:t>ed</w:t>
      </w:r>
      <w:r w:rsidRPr="00043E1D">
        <w:rPr>
          <w:rFonts w:ascii="Garamond" w:hAnsi="Garamond"/>
          <w:sz w:val="20"/>
          <w:szCs w:val="20"/>
        </w:rPr>
        <w:t xml:space="preserve"> a relatively significant increase from a net 6.6% in </w:t>
      </w:r>
      <w:r>
        <w:rPr>
          <w:rFonts w:ascii="Garamond" w:hAnsi="Garamond"/>
          <w:sz w:val="20"/>
          <w:szCs w:val="20"/>
        </w:rPr>
        <w:t xml:space="preserve">the </w:t>
      </w:r>
      <w:r w:rsidRPr="00043E1D">
        <w:rPr>
          <w:rFonts w:ascii="Garamond" w:hAnsi="Garamond"/>
          <w:sz w:val="20"/>
          <w:szCs w:val="20"/>
        </w:rPr>
        <w:t>2013</w:t>
      </w:r>
      <w:r>
        <w:rPr>
          <w:rFonts w:ascii="Garamond" w:hAnsi="Garamond"/>
          <w:sz w:val="20"/>
          <w:szCs w:val="20"/>
        </w:rPr>
        <w:t xml:space="preserve"> model</w:t>
      </w:r>
      <w:r w:rsidRPr="00043E1D">
        <w:rPr>
          <w:rFonts w:ascii="Garamond" w:hAnsi="Garamond"/>
          <w:sz w:val="20"/>
          <w:szCs w:val="20"/>
        </w:rPr>
        <w:t xml:space="preserve"> to 7.1% in 2016.  The principal driver of this change </w:t>
      </w:r>
      <w:r>
        <w:rPr>
          <w:rFonts w:ascii="Garamond" w:hAnsi="Garamond"/>
          <w:sz w:val="20"/>
          <w:szCs w:val="20"/>
        </w:rPr>
        <w:t>was</w:t>
      </w:r>
      <w:r w:rsidRPr="00043E1D">
        <w:rPr>
          <w:rFonts w:ascii="Garamond" w:hAnsi="Garamond"/>
          <w:sz w:val="20"/>
          <w:szCs w:val="20"/>
        </w:rPr>
        <w:t xml:space="preserve"> new estimates from Statistics New Zealand o</w:t>
      </w:r>
      <w:r>
        <w:rPr>
          <w:rFonts w:ascii="Garamond" w:hAnsi="Garamond"/>
          <w:sz w:val="20"/>
          <w:szCs w:val="20"/>
        </w:rPr>
        <w:t>f</w:t>
      </w:r>
      <w:r w:rsidRPr="00043E1D">
        <w:rPr>
          <w:rFonts w:ascii="Garamond" w:hAnsi="Garamond"/>
          <w:sz w:val="20"/>
          <w:szCs w:val="20"/>
        </w:rPr>
        <w:t xml:space="preserve"> the growing numbers of over 65s.  Previously, the growth in this group was set at an average 1.65% a year.  That has been revised upwards to 1.85% a year.  </w:t>
      </w:r>
      <w:r>
        <w:rPr>
          <w:rFonts w:ascii="Garamond" w:hAnsi="Garamond"/>
          <w:sz w:val="20"/>
          <w:szCs w:val="20"/>
        </w:rPr>
        <w:t xml:space="preserve">However, the previous pattern of reductions resumed in the </w:t>
      </w:r>
      <w:r w:rsidRPr="00701CA1">
        <w:rPr>
          <w:rFonts w:ascii="Garamond" w:hAnsi="Garamond"/>
          <w:i/>
          <w:sz w:val="20"/>
          <w:szCs w:val="20"/>
        </w:rPr>
        <w:t xml:space="preserve">2018 </w:t>
      </w:r>
      <w:r>
        <w:rPr>
          <w:rFonts w:ascii="Garamond" w:hAnsi="Garamond"/>
          <w:i/>
          <w:sz w:val="20"/>
          <w:szCs w:val="20"/>
        </w:rPr>
        <w:t>HY</w:t>
      </w:r>
      <w:r w:rsidRPr="00701CA1">
        <w:rPr>
          <w:rFonts w:ascii="Garamond" w:hAnsi="Garamond"/>
          <w:i/>
          <w:sz w:val="20"/>
          <w:szCs w:val="20"/>
        </w:rPr>
        <w:t>EFU Update</w:t>
      </w:r>
      <w:r>
        <w:rPr>
          <w:rFonts w:ascii="Garamond" w:hAnsi="Garamond"/>
          <w:sz w:val="20"/>
          <w:szCs w:val="20"/>
        </w:rPr>
        <w:t xml:space="preserve"> – from 2016’s net 7.1% to 2018’s 6.75%.</w:t>
      </w:r>
    </w:p>
  </w:footnote>
  <w:footnote w:id="20">
    <w:p w14:paraId="0083FDCC" w14:textId="2E70029E"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Section </w:t>
      </w:r>
      <w:r>
        <w:rPr>
          <w:rFonts w:ascii="Garamond" w:hAnsi="Garamond"/>
          <w:sz w:val="20"/>
          <w:szCs w:val="20"/>
        </w:rPr>
        <w:t>7</w:t>
      </w:r>
      <w:r w:rsidRPr="00043E1D">
        <w:rPr>
          <w:rFonts w:ascii="Garamond" w:hAnsi="Garamond"/>
          <w:sz w:val="20"/>
          <w:szCs w:val="20"/>
        </w:rPr>
        <w:t xml:space="preserve"> below for more on the NZSF.</w:t>
      </w:r>
    </w:p>
  </w:footnote>
  <w:footnote w:id="21">
    <w:p w14:paraId="4FDE1F6A" w14:textId="091BEAFE"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See </w:t>
      </w:r>
      <w:r w:rsidRPr="00043E1D">
        <w:rPr>
          <w:rFonts w:ascii="Garamond" w:hAnsi="Garamond"/>
          <w:i/>
          <w:sz w:val="20"/>
          <w:szCs w:val="20"/>
          <w:lang w:val="en-US"/>
        </w:rPr>
        <w:t>A condensed history of public and private provision for retirement income in New Zealand – 1975-2008</w:t>
      </w:r>
      <w:r w:rsidRPr="00043E1D">
        <w:rPr>
          <w:rFonts w:ascii="Garamond" w:hAnsi="Garamond"/>
          <w:sz w:val="20"/>
          <w:szCs w:val="20"/>
          <w:lang w:val="en-US"/>
        </w:rPr>
        <w:t xml:space="preserve">, an RPRC </w:t>
      </w:r>
      <w:r w:rsidRPr="00043E1D">
        <w:rPr>
          <w:rFonts w:ascii="Garamond" w:hAnsi="Garamond"/>
          <w:i/>
          <w:sz w:val="20"/>
          <w:szCs w:val="20"/>
          <w:lang w:val="en-US"/>
        </w:rPr>
        <w:t>PensionBriefing</w:t>
      </w:r>
      <w:r w:rsidRPr="00043E1D">
        <w:rPr>
          <w:rFonts w:ascii="Garamond" w:hAnsi="Garamond"/>
          <w:sz w:val="20"/>
          <w:szCs w:val="20"/>
          <w:lang w:val="en-US"/>
        </w:rPr>
        <w:t xml:space="preserve"> (accessible </w:t>
      </w:r>
      <w:hyperlink r:id="rId19" w:history="1">
        <w:r w:rsidRPr="00043E1D">
          <w:rPr>
            <w:rStyle w:val="Hyperlink"/>
            <w:rFonts w:ascii="Garamond" w:hAnsi="Garamond"/>
            <w:sz w:val="20"/>
            <w:szCs w:val="20"/>
            <w:lang w:val="en-US"/>
          </w:rPr>
          <w:t>here</w:t>
        </w:r>
      </w:hyperlink>
      <w:r w:rsidRPr="00043E1D">
        <w:rPr>
          <w:rFonts w:ascii="Garamond" w:hAnsi="Garamond"/>
          <w:sz w:val="20"/>
          <w:szCs w:val="20"/>
          <w:lang w:val="en-US"/>
        </w:rPr>
        <w:t>) for a summary of the sorry history of changes during those difficult 30 years.</w:t>
      </w:r>
    </w:p>
  </w:footnote>
  <w:footnote w:id="22">
    <w:p w14:paraId="28709DA1" w14:textId="2A17548E" w:rsidR="00CD6F06" w:rsidRPr="0041203F" w:rsidRDefault="00CD6F06" w:rsidP="0041203F">
      <w:pPr>
        <w:pStyle w:val="FootnoteText"/>
        <w:jc w:val="both"/>
        <w:rPr>
          <w:rFonts w:ascii="Garamond" w:hAnsi="Garamond"/>
          <w:sz w:val="20"/>
          <w:szCs w:val="20"/>
          <w:lang w:val="en-US"/>
        </w:rPr>
      </w:pPr>
      <w:r w:rsidRPr="0041203F">
        <w:rPr>
          <w:rStyle w:val="FootnoteReference"/>
          <w:rFonts w:ascii="Garamond" w:hAnsi="Garamond"/>
          <w:sz w:val="20"/>
          <w:szCs w:val="20"/>
        </w:rPr>
        <w:footnoteRef/>
      </w:r>
      <w:r w:rsidRPr="0041203F">
        <w:rPr>
          <w:rFonts w:ascii="Garamond" w:hAnsi="Garamond"/>
          <w:sz w:val="20"/>
          <w:szCs w:val="20"/>
        </w:rPr>
        <w:t xml:space="preserve"> </w:t>
      </w:r>
      <w:r>
        <w:rPr>
          <w:rFonts w:ascii="Garamond" w:hAnsi="Garamond"/>
          <w:sz w:val="20"/>
          <w:szCs w:val="20"/>
        </w:rPr>
        <w:t xml:space="preserve">A constrained version of such a model was developed for the Superannuation 2000 Taskforce.  It was called the </w:t>
      </w:r>
      <w:r w:rsidRPr="00891E0F">
        <w:rPr>
          <w:rFonts w:ascii="Garamond" w:hAnsi="Garamond"/>
          <w:sz w:val="20"/>
          <w:szCs w:val="20"/>
          <w:lang w:val="en-GB"/>
        </w:rPr>
        <w:t>Policy and Retirement Income Stability Model or “PRISM”</w:t>
      </w:r>
      <w:r>
        <w:rPr>
          <w:rFonts w:ascii="Garamond" w:hAnsi="Garamond"/>
          <w:sz w:val="20"/>
          <w:szCs w:val="20"/>
          <w:lang w:val="en-GB"/>
        </w:rPr>
        <w:t xml:space="preserve"> and allowed users to change some of the design parameters of NZS.</w:t>
      </w:r>
    </w:p>
  </w:footnote>
  <w:footnote w:id="23">
    <w:p w14:paraId="42641969" w14:textId="4E405A2E" w:rsidR="00CD6F06" w:rsidRPr="00701CA1" w:rsidRDefault="00CD6F06" w:rsidP="00701CA1">
      <w:pPr>
        <w:jc w:val="both"/>
        <w:rPr>
          <w:rFonts w:ascii="Garamond" w:hAnsi="Garamond"/>
          <w:sz w:val="20"/>
          <w:szCs w:val="20"/>
        </w:rPr>
      </w:pPr>
      <w:r w:rsidRPr="00701CA1">
        <w:rPr>
          <w:rStyle w:val="FootnoteReference"/>
          <w:rFonts w:ascii="Garamond" w:hAnsi="Garamond"/>
          <w:sz w:val="20"/>
          <w:szCs w:val="20"/>
        </w:rPr>
        <w:footnoteRef/>
      </w:r>
      <w:r w:rsidRPr="00701CA1">
        <w:rPr>
          <w:rFonts w:ascii="Garamond" w:hAnsi="Garamond"/>
          <w:sz w:val="20"/>
          <w:szCs w:val="20"/>
        </w:rPr>
        <w:t xml:space="preserve"> The last government proposed that the 10-year minimum period would become 20 years with full effect from 2037.  All immigrants after 2017 would have had to complete 20 years’ residence or have qualifying residence from one of the countries with which New Zealand has a social security agreement.  No legislation had been passed before the 2017 election.  The current government said it would not proceed with that proposed change.  However, a bill has been introduced by New Zealand First (the coalition government’s minority partner) that would have the effect of the last government’s proposed change – see </w:t>
      </w:r>
      <w:hyperlink r:id="rId20" w:history="1">
        <w:r w:rsidRPr="00701CA1">
          <w:rPr>
            <w:rStyle w:val="Hyperlink"/>
            <w:rFonts w:ascii="Garamond" w:hAnsi="Garamond"/>
            <w:sz w:val="20"/>
            <w:szCs w:val="20"/>
          </w:rPr>
          <w:t>here</w:t>
        </w:r>
      </w:hyperlink>
      <w:r w:rsidRPr="00701CA1">
        <w:rPr>
          <w:rFonts w:ascii="Garamond" w:hAnsi="Garamond"/>
          <w:sz w:val="20"/>
          <w:szCs w:val="20"/>
        </w:rPr>
        <w:t>..</w:t>
      </w:r>
    </w:p>
  </w:footnote>
  <w:footnote w:id="24">
    <w:p w14:paraId="354A5899" w14:textId="374A7AD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Those over age 65 and with equivalent overseas’ pensions will receive lower amounts of NZS - see section 8 (‘Overseas’ pensions </w:t>
      </w:r>
      <w:r w:rsidRPr="00043E1D">
        <w:rPr>
          <w:rFonts w:ascii="Garamond" w:hAnsi="Garamond"/>
          <w:bCs/>
          <w:sz w:val="20"/>
          <w:szCs w:val="20"/>
        </w:rPr>
        <w:t>and section 70 deductions).</w:t>
      </w:r>
    </w:p>
  </w:footnote>
  <w:footnote w:id="25">
    <w:p w14:paraId="65F30455" w14:textId="20AA970E"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2016 Review of Retirement Income Policies</w:t>
      </w:r>
      <w:r w:rsidRPr="00043E1D">
        <w:rPr>
          <w:rFonts w:ascii="Garamond" w:hAnsi="Garamond"/>
          <w:sz w:val="20"/>
          <w:szCs w:val="20"/>
        </w:rPr>
        <w:t xml:space="preserve">, Diane Maxwell, accessible </w:t>
      </w:r>
      <w:hyperlink r:id="rId21" w:history="1">
        <w:r w:rsidRPr="00043E1D">
          <w:rPr>
            <w:rStyle w:val="Hyperlink"/>
            <w:rFonts w:ascii="Garamond" w:hAnsi="Garamond"/>
            <w:sz w:val="20"/>
            <w:szCs w:val="20"/>
          </w:rPr>
          <w:t>here</w:t>
        </w:r>
      </w:hyperlink>
      <w:r w:rsidRPr="00043E1D">
        <w:rPr>
          <w:rFonts w:ascii="Garamond" w:hAnsi="Garamond"/>
          <w:sz w:val="20"/>
          <w:szCs w:val="20"/>
        </w:rPr>
        <w:t xml:space="preserve"> at page 3.</w:t>
      </w:r>
    </w:p>
  </w:footnote>
  <w:footnote w:id="26">
    <w:p w14:paraId="7D721375" w14:textId="78C4A9C1" w:rsidR="00CD6F06" w:rsidRPr="00043E1D" w:rsidRDefault="00CD6F06">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At the time of the 2016 Review, t</w:t>
      </w:r>
      <w:r w:rsidRPr="00043E1D">
        <w:rPr>
          <w:rFonts w:ascii="Garamond" w:hAnsi="Garamond"/>
          <w:sz w:val="20"/>
          <w:szCs w:val="20"/>
        </w:rPr>
        <w:t>here were 6</w:t>
      </w:r>
      <w:r>
        <w:rPr>
          <w:rFonts w:ascii="Garamond" w:hAnsi="Garamond"/>
          <w:sz w:val="20"/>
          <w:szCs w:val="20"/>
        </w:rPr>
        <w:t>98</w:t>
      </w:r>
      <w:r w:rsidRPr="00043E1D">
        <w:rPr>
          <w:rFonts w:ascii="Garamond" w:hAnsi="Garamond"/>
          <w:sz w:val="20"/>
          <w:szCs w:val="20"/>
        </w:rPr>
        <w:t>,000 over age 65.  The number in 206</w:t>
      </w:r>
      <w:r>
        <w:rPr>
          <w:rFonts w:ascii="Garamond" w:hAnsi="Garamond"/>
          <w:sz w:val="20"/>
          <w:szCs w:val="20"/>
        </w:rPr>
        <w:t>8</w:t>
      </w:r>
      <w:r w:rsidRPr="00043E1D">
        <w:rPr>
          <w:rFonts w:ascii="Garamond" w:hAnsi="Garamond"/>
          <w:sz w:val="20"/>
          <w:szCs w:val="20"/>
        </w:rPr>
        <w:t xml:space="preserve"> is expected to be between 1.</w:t>
      </w:r>
      <w:r>
        <w:rPr>
          <w:rFonts w:ascii="Garamond" w:hAnsi="Garamond"/>
          <w:sz w:val="20"/>
          <w:szCs w:val="20"/>
        </w:rPr>
        <w:t>6</w:t>
      </w:r>
      <w:r w:rsidRPr="00043E1D">
        <w:rPr>
          <w:rFonts w:ascii="Garamond" w:hAnsi="Garamond"/>
          <w:sz w:val="20"/>
          <w:szCs w:val="20"/>
        </w:rPr>
        <w:t xml:space="preserve"> and </w:t>
      </w:r>
      <w:r>
        <w:rPr>
          <w:rFonts w:ascii="Garamond" w:hAnsi="Garamond"/>
          <w:sz w:val="20"/>
          <w:szCs w:val="20"/>
        </w:rPr>
        <w:t>2.1</w:t>
      </w:r>
      <w:r w:rsidRPr="00043E1D">
        <w:rPr>
          <w:rFonts w:ascii="Garamond" w:hAnsi="Garamond"/>
          <w:sz w:val="20"/>
          <w:szCs w:val="20"/>
        </w:rPr>
        <w:t xml:space="preserve"> million (depending on assumptions</w:t>
      </w:r>
      <w:r>
        <w:rPr>
          <w:rFonts w:ascii="Garamond" w:hAnsi="Garamond"/>
          <w:sz w:val="20"/>
          <w:szCs w:val="20"/>
        </w:rPr>
        <w:t xml:space="preserve"> – the median estimate is 1.8 million</w:t>
      </w:r>
      <w:r w:rsidRPr="00043E1D">
        <w:rPr>
          <w:rFonts w:ascii="Garamond" w:hAnsi="Garamond"/>
          <w:sz w:val="20"/>
          <w:szCs w:val="20"/>
        </w:rPr>
        <w:t xml:space="preserve">).  The increase as a proportion of the population is likely to be lower: at present, </w:t>
      </w:r>
      <w:r>
        <w:rPr>
          <w:rFonts w:ascii="Garamond" w:hAnsi="Garamond"/>
          <w:sz w:val="20"/>
          <w:szCs w:val="20"/>
        </w:rPr>
        <w:t>14.9</w:t>
      </w:r>
      <w:r w:rsidRPr="00043E1D">
        <w:rPr>
          <w:rFonts w:ascii="Garamond" w:hAnsi="Garamond"/>
          <w:sz w:val="20"/>
          <w:szCs w:val="20"/>
        </w:rPr>
        <w:t>% of the total population is over age 65; by 206</w:t>
      </w:r>
      <w:r>
        <w:rPr>
          <w:rFonts w:ascii="Garamond" w:hAnsi="Garamond"/>
          <w:sz w:val="20"/>
          <w:szCs w:val="20"/>
        </w:rPr>
        <w:t>8</w:t>
      </w:r>
      <w:r w:rsidRPr="00043E1D">
        <w:rPr>
          <w:rFonts w:ascii="Garamond" w:hAnsi="Garamond"/>
          <w:sz w:val="20"/>
          <w:szCs w:val="20"/>
        </w:rPr>
        <w:t>, that is expected to be between 2</w:t>
      </w:r>
      <w:r>
        <w:rPr>
          <w:rFonts w:ascii="Garamond" w:hAnsi="Garamond"/>
          <w:sz w:val="20"/>
          <w:szCs w:val="20"/>
        </w:rPr>
        <w:t>4</w:t>
      </w:r>
      <w:r w:rsidRPr="00043E1D">
        <w:rPr>
          <w:rFonts w:ascii="Garamond" w:hAnsi="Garamond"/>
          <w:sz w:val="20"/>
          <w:szCs w:val="20"/>
        </w:rPr>
        <w:t>-3</w:t>
      </w:r>
      <w:r>
        <w:rPr>
          <w:rFonts w:ascii="Garamond" w:hAnsi="Garamond"/>
          <w:sz w:val="20"/>
          <w:szCs w:val="20"/>
        </w:rPr>
        <w:t>3</w:t>
      </w:r>
      <w:r w:rsidRPr="00043E1D">
        <w:rPr>
          <w:rFonts w:ascii="Garamond" w:hAnsi="Garamond"/>
          <w:sz w:val="20"/>
          <w:szCs w:val="20"/>
        </w:rPr>
        <w:t xml:space="preserve">%, again depending on assumptions - </w:t>
      </w:r>
      <w:r>
        <w:rPr>
          <w:rFonts w:ascii="Garamond" w:hAnsi="Garamond"/>
          <w:sz w:val="20"/>
          <w:szCs w:val="20"/>
        </w:rPr>
        <w:t xml:space="preserve">StatsNZ </w:t>
      </w:r>
      <w:r>
        <w:rPr>
          <w:rFonts w:ascii="Garamond" w:hAnsi="Garamond"/>
          <w:i/>
          <w:sz w:val="20"/>
          <w:szCs w:val="20"/>
        </w:rPr>
        <w:t>National Population Projections 2016-2068</w:t>
      </w:r>
      <w:r>
        <w:rPr>
          <w:rFonts w:ascii="Garamond" w:hAnsi="Garamond"/>
          <w:sz w:val="20"/>
          <w:szCs w:val="20"/>
        </w:rPr>
        <w:t xml:space="preserve"> (accessible </w:t>
      </w:r>
      <w:hyperlink r:id="rId22" w:history="1">
        <w:r w:rsidRPr="000D5137">
          <w:rPr>
            <w:rStyle w:val="Hyperlink"/>
            <w:rFonts w:ascii="Garamond" w:hAnsi="Garamond"/>
            <w:sz w:val="20"/>
            <w:szCs w:val="20"/>
          </w:rPr>
          <w:t>here</w:t>
        </w:r>
      </w:hyperlink>
      <w:r>
        <w:rPr>
          <w:rFonts w:ascii="Garamond" w:hAnsi="Garamond"/>
          <w:sz w:val="20"/>
          <w:szCs w:val="20"/>
        </w:rPr>
        <w:t>).  StatsNZ also</w:t>
      </w:r>
      <w:r w:rsidRPr="00043E1D">
        <w:rPr>
          <w:rFonts w:ascii="Garamond" w:hAnsi="Garamond"/>
          <w:sz w:val="20"/>
          <w:szCs w:val="20"/>
        </w:rPr>
        <w:t xml:space="preserve"> expects the number of over-65s to grow by 1.85% p.a. (up from the previous estimate of 1.65% p.a.).  That means the number will double in 38 years (by 2054) rather than 43 years (by 2059).</w:t>
      </w:r>
    </w:p>
  </w:footnote>
  <w:footnote w:id="27">
    <w:p w14:paraId="60DF064F" w14:textId="6EA854EF"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Treasury’s</w:t>
      </w:r>
      <w:r w:rsidRPr="00043E1D">
        <w:rPr>
          <w:rFonts w:ascii="Garamond" w:hAnsi="Garamond"/>
          <w:b/>
          <w:sz w:val="20"/>
          <w:szCs w:val="20"/>
        </w:rPr>
        <w:t xml:space="preserve"> </w:t>
      </w:r>
      <w:r w:rsidRPr="00043E1D">
        <w:rPr>
          <w:rFonts w:ascii="Garamond" w:hAnsi="Garamond"/>
          <w:i/>
          <w:sz w:val="20"/>
          <w:szCs w:val="20"/>
        </w:rPr>
        <w:t>2016 Statement on the Long-term Fiscal Position</w:t>
      </w:r>
      <w:r w:rsidRPr="00043E1D">
        <w:rPr>
          <w:rFonts w:ascii="Garamond" w:hAnsi="Garamond"/>
          <w:sz w:val="20"/>
          <w:szCs w:val="20"/>
        </w:rPr>
        <w:t xml:space="preserve">, Government report, Wellington (accessible </w:t>
      </w:r>
      <w:hyperlink r:id="rId23" w:history="1">
        <w:r w:rsidRPr="00043E1D">
          <w:rPr>
            <w:rStyle w:val="Hyperlink"/>
            <w:rFonts w:ascii="Garamond" w:hAnsi="Garamond"/>
            <w:sz w:val="20"/>
            <w:szCs w:val="20"/>
          </w:rPr>
          <w:t>here</w:t>
        </w:r>
      </w:hyperlink>
      <w:r w:rsidRPr="00043E1D">
        <w:rPr>
          <w:rFonts w:ascii="Garamond" w:hAnsi="Garamond"/>
          <w:sz w:val="20"/>
          <w:szCs w:val="20"/>
        </w:rPr>
        <w:t>)</w:t>
      </w:r>
    </w:p>
  </w:footnote>
  <w:footnote w:id="28">
    <w:p w14:paraId="3FB0DF5D" w14:textId="4ACF540D" w:rsidR="00CD6F06" w:rsidRPr="00275D03" w:rsidRDefault="00CD6F06">
      <w:pPr>
        <w:pStyle w:val="FootnoteText"/>
        <w:jc w:val="both"/>
        <w:rPr>
          <w:rFonts w:ascii="Garamond" w:hAnsi="Garamond"/>
          <w:sz w:val="20"/>
          <w:szCs w:val="20"/>
          <w:lang w:val="en-US"/>
        </w:rPr>
      </w:pPr>
      <w:r w:rsidRPr="00275D03">
        <w:rPr>
          <w:rStyle w:val="FootnoteReference"/>
          <w:rFonts w:ascii="Garamond" w:hAnsi="Garamond"/>
          <w:sz w:val="20"/>
          <w:szCs w:val="20"/>
        </w:rPr>
        <w:footnoteRef/>
      </w:r>
      <w:r w:rsidRPr="00275D03">
        <w:rPr>
          <w:rFonts w:ascii="Garamond" w:hAnsi="Garamond"/>
          <w:sz w:val="20"/>
          <w:szCs w:val="20"/>
        </w:rPr>
        <w:t xml:space="preserve"> The equivalent number in the 2013 analysis as of 2010 was 32.2% of GDP (</w:t>
      </w:r>
      <w:r w:rsidRPr="00701CA1">
        <w:rPr>
          <w:rFonts w:ascii="Garamond" w:hAnsi="Garamond"/>
          <w:i/>
          <w:sz w:val="20"/>
          <w:szCs w:val="20"/>
        </w:rPr>
        <w:t>Affording Our Future – Statement on New Zealand’s Long-term Fiscal Position</w:t>
      </w:r>
      <w:r w:rsidRPr="00701CA1">
        <w:rPr>
          <w:rFonts w:ascii="Garamond" w:hAnsi="Garamond"/>
          <w:sz w:val="20"/>
          <w:szCs w:val="20"/>
        </w:rPr>
        <w:t xml:space="preserve">, The Treasury, Wellington (available </w:t>
      </w:r>
      <w:hyperlink r:id="rId24" w:history="1">
        <w:r w:rsidRPr="00701CA1">
          <w:rPr>
            <w:rStyle w:val="Hyperlink"/>
            <w:rFonts w:ascii="Garamond" w:hAnsi="Garamond"/>
            <w:sz w:val="20"/>
            <w:szCs w:val="20"/>
          </w:rPr>
          <w:t>here</w:t>
        </w:r>
      </w:hyperlink>
      <w:r w:rsidRPr="00701CA1">
        <w:rPr>
          <w:rStyle w:val="Hyperlink"/>
          <w:rFonts w:ascii="Garamond" w:hAnsi="Garamond"/>
          <w:color w:val="000000" w:themeColor="text1"/>
          <w:sz w:val="20"/>
          <w:szCs w:val="20"/>
          <w:u w:val="none"/>
        </w:rPr>
        <w:t>).  In the space of just five years (2010 to 2015), that starting figure has fallen by 3.8 percentage points to 28.4% or by about one-ninth.</w:t>
      </w:r>
    </w:p>
  </w:footnote>
  <w:footnote w:id="29">
    <w:p w14:paraId="6701F863" w14:textId="02C57487"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says that government expenditure will follow historical growth rates, allowing for demographic changes.  The base case also assumes that tax collections stay at about 29% of GDP and that deficits will be financed from borrowing so that government debt is unconstrained and will reach 205.8% of GDP by 2060.  We know that this scenario is theoretical because a future government would change policies to ensure it did not happen.  That has already happened: the government has a fiscal surplus and is focussed on, among other things, reducing debt.</w:t>
      </w:r>
    </w:p>
  </w:footnote>
  <w:footnote w:id="30">
    <w:p w14:paraId="1C76D5D8" w14:textId="5EED9427"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2060 estimated GDP in 2060 from the LTFM is $1,487 bn.  Discounting that back to 2015 at 2% p.a. (to take inflation out) brings it back to $610 bn.  The actual GDP in 2015 was $241.6 bn.</w:t>
      </w:r>
    </w:p>
  </w:footnote>
  <w:footnote w:id="31">
    <w:p w14:paraId="6F72DD80" w14:textId="442C863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From 4.</w:t>
      </w:r>
      <w:r>
        <w:rPr>
          <w:rFonts w:ascii="Garamond" w:hAnsi="Garamond"/>
          <w:sz w:val="20"/>
          <w:szCs w:val="20"/>
          <w:lang w:val="en-US"/>
        </w:rPr>
        <w:t>69</w:t>
      </w:r>
      <w:r w:rsidRPr="00043E1D">
        <w:rPr>
          <w:rFonts w:ascii="Garamond" w:hAnsi="Garamond"/>
          <w:sz w:val="20"/>
          <w:szCs w:val="20"/>
          <w:lang w:val="en-US"/>
        </w:rPr>
        <w:t xml:space="preserve"> million in 201</w:t>
      </w:r>
      <w:r>
        <w:rPr>
          <w:rFonts w:ascii="Garamond" w:hAnsi="Garamond"/>
          <w:sz w:val="20"/>
          <w:szCs w:val="20"/>
          <w:lang w:val="en-US"/>
        </w:rPr>
        <w:t>6</w:t>
      </w:r>
      <w:r w:rsidRPr="00043E1D">
        <w:rPr>
          <w:rFonts w:ascii="Garamond" w:hAnsi="Garamond"/>
          <w:sz w:val="20"/>
          <w:szCs w:val="20"/>
          <w:lang w:val="en-US"/>
        </w:rPr>
        <w:t xml:space="preserve"> to 6.</w:t>
      </w:r>
      <w:r>
        <w:rPr>
          <w:rFonts w:ascii="Garamond" w:hAnsi="Garamond"/>
          <w:sz w:val="20"/>
          <w:szCs w:val="20"/>
          <w:lang w:val="en-US"/>
        </w:rPr>
        <w:t>52</w:t>
      </w:r>
      <w:r w:rsidRPr="00043E1D">
        <w:rPr>
          <w:rFonts w:ascii="Garamond" w:hAnsi="Garamond"/>
          <w:sz w:val="20"/>
          <w:szCs w:val="20"/>
          <w:lang w:val="en-US"/>
        </w:rPr>
        <w:t xml:space="preserve"> million in 206</w:t>
      </w:r>
      <w:r>
        <w:rPr>
          <w:rFonts w:ascii="Garamond" w:hAnsi="Garamond"/>
          <w:sz w:val="20"/>
          <w:szCs w:val="20"/>
          <w:lang w:val="en-US"/>
        </w:rPr>
        <w:t xml:space="preserve">8- </w:t>
      </w:r>
      <w:r>
        <w:rPr>
          <w:rFonts w:ascii="Garamond" w:hAnsi="Garamond"/>
          <w:sz w:val="20"/>
          <w:szCs w:val="20"/>
        </w:rPr>
        <w:t xml:space="preserve">StatsNZ </w:t>
      </w:r>
      <w:r>
        <w:rPr>
          <w:rFonts w:ascii="Garamond" w:hAnsi="Garamond"/>
          <w:i/>
          <w:sz w:val="20"/>
          <w:szCs w:val="20"/>
        </w:rPr>
        <w:t>National Population Projections 2016-2068</w:t>
      </w:r>
      <w:r>
        <w:rPr>
          <w:rFonts w:ascii="Garamond" w:hAnsi="Garamond"/>
          <w:sz w:val="20"/>
          <w:szCs w:val="20"/>
        </w:rPr>
        <w:t xml:space="preserve">, median estimate (accessible </w:t>
      </w:r>
      <w:hyperlink r:id="rId25" w:history="1">
        <w:r w:rsidRPr="000D5137">
          <w:rPr>
            <w:rStyle w:val="Hyperlink"/>
            <w:rFonts w:ascii="Garamond" w:hAnsi="Garamond"/>
            <w:sz w:val="20"/>
            <w:szCs w:val="20"/>
          </w:rPr>
          <w:t>here</w:t>
        </w:r>
      </w:hyperlink>
      <w:r>
        <w:rPr>
          <w:rFonts w:ascii="Garamond" w:hAnsi="Garamond"/>
          <w:sz w:val="20"/>
          <w:szCs w:val="20"/>
        </w:rPr>
        <w:t>).</w:t>
      </w:r>
    </w:p>
  </w:footnote>
  <w:footnote w:id="32">
    <w:p w14:paraId="6E66C1BD" w14:textId="0ED8610D" w:rsidR="00CD6F06" w:rsidRPr="00043E1D" w:rsidRDefault="00CD6F06">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As explained in the RPRC’s </w:t>
      </w:r>
      <w:r w:rsidRPr="00043E1D">
        <w:rPr>
          <w:rFonts w:ascii="Garamond" w:hAnsi="Garamond"/>
          <w:i/>
          <w:sz w:val="20"/>
          <w:szCs w:val="20"/>
        </w:rPr>
        <w:t>PensionBriefing 2012-3 We all have to talk about New Zealand Superannuation</w:t>
      </w:r>
      <w:r w:rsidRPr="00043E1D">
        <w:rPr>
          <w:rFonts w:ascii="Garamond" w:hAnsi="Garamond"/>
          <w:sz w:val="20"/>
          <w:szCs w:val="20"/>
        </w:rPr>
        <w:t xml:space="preserve"> (accessible </w:t>
      </w:r>
      <w:hyperlink r:id="rId26" w:history="1">
        <w:r w:rsidRPr="00043E1D">
          <w:rPr>
            <w:rStyle w:val="Hyperlink"/>
            <w:rFonts w:ascii="Garamond" w:hAnsi="Garamond"/>
            <w:sz w:val="20"/>
            <w:szCs w:val="20"/>
          </w:rPr>
          <w:t>here</w:t>
        </w:r>
      </w:hyperlink>
      <w:r w:rsidRPr="00043E1D">
        <w:rPr>
          <w:rFonts w:ascii="Garamond" w:hAnsi="Garamond"/>
          <w:sz w:val="20"/>
          <w:szCs w:val="20"/>
        </w:rPr>
        <w:t xml:space="preserve">), of 31 OECD countries that reported pension costs in 2010 and expected costs in 2060, only six countries presently spent less than New Zealand, ignoring the amount those other countries spent on tax subsidies for private provision.  That number is very low in New Zealand whereas in Australia, for example, the cost of tax subsidies is </w:t>
      </w:r>
      <w:r>
        <w:rPr>
          <w:rFonts w:ascii="Garamond" w:hAnsi="Garamond"/>
          <w:sz w:val="20"/>
          <w:szCs w:val="20"/>
        </w:rPr>
        <w:t>nearly</w:t>
      </w:r>
      <w:r w:rsidRPr="00043E1D">
        <w:rPr>
          <w:rFonts w:ascii="Garamond" w:hAnsi="Garamond"/>
          <w:sz w:val="20"/>
          <w:szCs w:val="20"/>
        </w:rPr>
        <w:t xml:space="preserve"> the same as the amount spent on the Age Pension - see </w:t>
      </w:r>
      <w:r w:rsidRPr="00043E1D">
        <w:rPr>
          <w:rFonts w:ascii="Garamond" w:hAnsi="Garamond"/>
          <w:i/>
          <w:sz w:val="20"/>
          <w:szCs w:val="20"/>
        </w:rPr>
        <w:t>Building super on a fair foundation: Reform of the taxation of superannuation contributions</w:t>
      </w:r>
      <w:r w:rsidRPr="00043E1D">
        <w:rPr>
          <w:rFonts w:ascii="Garamond" w:hAnsi="Garamond"/>
          <w:sz w:val="20"/>
          <w:szCs w:val="20"/>
        </w:rPr>
        <w:t xml:space="preserve">, Peter Davidson (2012), Australian Council of Social Service (accessible </w:t>
      </w:r>
      <w:hyperlink r:id="rId27" w:history="1">
        <w:r w:rsidRPr="00043E1D">
          <w:rPr>
            <w:rStyle w:val="Hyperlink"/>
            <w:rFonts w:ascii="Garamond" w:hAnsi="Garamond"/>
            <w:sz w:val="20"/>
            <w:szCs w:val="20"/>
          </w:rPr>
          <w:t>here</w:t>
        </w:r>
      </w:hyperlink>
      <w:r w:rsidRPr="00043E1D">
        <w:rPr>
          <w:rFonts w:ascii="Garamond" w:hAnsi="Garamond"/>
          <w:sz w:val="20"/>
          <w:szCs w:val="20"/>
        </w:rPr>
        <w:t>).</w:t>
      </w:r>
    </w:p>
  </w:footnote>
  <w:footnote w:id="33">
    <w:p w14:paraId="365F61B1" w14:textId="20B545C2"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Source: the Treasury’s </w:t>
      </w:r>
      <w:r>
        <w:rPr>
          <w:rFonts w:ascii="Garamond" w:hAnsi="Garamond"/>
          <w:i/>
          <w:sz w:val="20"/>
          <w:szCs w:val="20"/>
        </w:rPr>
        <w:t>New Zealand Superannuation Fund Contribution Rate Model – 2018 Half Year Economic and Fiscal Update (BEFU 2018)</w:t>
      </w:r>
      <w:r>
        <w:rPr>
          <w:rFonts w:ascii="Garamond" w:hAnsi="Garamond"/>
          <w:sz w:val="20"/>
          <w:szCs w:val="20"/>
        </w:rPr>
        <w:t xml:space="preserve">, accessible </w:t>
      </w:r>
      <w:hyperlink r:id="rId28" w:history="1">
        <w:r w:rsidRPr="0075103B">
          <w:rPr>
            <w:rStyle w:val="Hyperlink"/>
            <w:rFonts w:ascii="Garamond" w:hAnsi="Garamond"/>
            <w:sz w:val="20"/>
            <w:szCs w:val="20"/>
          </w:rPr>
          <w:t>here</w:t>
        </w:r>
      </w:hyperlink>
      <w:r>
        <w:rPr>
          <w:rFonts w:ascii="Garamond" w:hAnsi="Garamond"/>
          <w:sz w:val="20"/>
          <w:szCs w:val="20"/>
        </w:rPr>
        <w:t>.</w:t>
      </w:r>
    </w:p>
  </w:footnote>
  <w:footnote w:id="34">
    <w:p w14:paraId="699C4F33" w14:textId="4756471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Pensions at a Glance 2015</w:t>
      </w:r>
      <w:r w:rsidRPr="00043E1D">
        <w:rPr>
          <w:rFonts w:ascii="Garamond" w:hAnsi="Garamond"/>
          <w:sz w:val="20"/>
          <w:szCs w:val="20"/>
        </w:rPr>
        <w:t xml:space="preserve">, OECD at page 181 (accessible </w:t>
      </w:r>
      <w:hyperlink r:id="rId29" w:history="1">
        <w:r w:rsidRPr="00043E1D">
          <w:rPr>
            <w:rStyle w:val="Hyperlink"/>
            <w:rFonts w:ascii="Garamond" w:hAnsi="Garamond"/>
            <w:sz w:val="20"/>
            <w:szCs w:val="20"/>
          </w:rPr>
          <w:t>here</w:t>
        </w:r>
      </w:hyperlink>
      <w:r w:rsidRPr="00043E1D">
        <w:rPr>
          <w:rFonts w:ascii="Garamond" w:hAnsi="Garamond"/>
          <w:sz w:val="20"/>
          <w:szCs w:val="20"/>
        </w:rPr>
        <w:t>).</w:t>
      </w:r>
    </w:p>
  </w:footnote>
  <w:footnote w:id="35">
    <w:p w14:paraId="63FE4F46" w14:textId="1BB7138F"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Health costs based on the ‘historical spending patterns’ scenario – accessible </w:t>
      </w:r>
      <w:hyperlink r:id="rId30" w:history="1">
        <w:r w:rsidRPr="00043E1D">
          <w:rPr>
            <w:rStyle w:val="Hyperlink"/>
            <w:rFonts w:ascii="Garamond" w:hAnsi="Garamond"/>
            <w:sz w:val="20"/>
            <w:szCs w:val="20"/>
            <w:lang w:val="en-US"/>
          </w:rPr>
          <w:t>here</w:t>
        </w:r>
      </w:hyperlink>
      <w:r w:rsidRPr="00043E1D">
        <w:rPr>
          <w:rFonts w:ascii="Garamond" w:hAnsi="Garamond"/>
          <w:sz w:val="20"/>
          <w:szCs w:val="20"/>
          <w:lang w:val="en-US"/>
        </w:rPr>
        <w:t>, at page 60.</w:t>
      </w:r>
    </w:p>
  </w:footnote>
  <w:footnote w:id="36">
    <w:p w14:paraId="4F08709F" w14:textId="1E0FD98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As the Treasury’s ‘NZSF Model </w:t>
      </w:r>
      <w:r>
        <w:rPr>
          <w:rFonts w:ascii="Garamond" w:hAnsi="Garamond"/>
          <w:sz w:val="20"/>
          <w:szCs w:val="20"/>
          <w:lang w:val="en-US"/>
        </w:rPr>
        <w:t>HYEFU18</w:t>
      </w:r>
      <w:r w:rsidRPr="00043E1D">
        <w:rPr>
          <w:rFonts w:ascii="Garamond" w:hAnsi="Garamond"/>
          <w:sz w:val="20"/>
          <w:szCs w:val="20"/>
          <w:lang w:val="en-US"/>
        </w:rPr>
        <w:t xml:space="preserve">’ anticipates – see </w:t>
      </w:r>
      <w:hyperlink r:id="rId31" w:history="1">
        <w:r w:rsidRPr="00FB7E9E">
          <w:rPr>
            <w:rStyle w:val="Hyperlink"/>
            <w:rFonts w:ascii="Garamond" w:hAnsi="Garamond"/>
            <w:sz w:val="20"/>
            <w:szCs w:val="20"/>
            <w:lang w:val="en-US"/>
          </w:rPr>
          <w:t>here.</w:t>
        </w:r>
      </w:hyperlink>
    </w:p>
  </w:footnote>
  <w:footnote w:id="37">
    <w:p w14:paraId="36A718FF" w14:textId="2DF0B21A"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This section is based on the RPRC’s 2015 </w:t>
      </w:r>
      <w:r w:rsidRPr="00043E1D">
        <w:rPr>
          <w:rFonts w:ascii="Garamond" w:hAnsi="Garamond"/>
          <w:i/>
          <w:sz w:val="20"/>
          <w:szCs w:val="20"/>
          <w:lang w:val="en-US"/>
        </w:rPr>
        <w:t>PensionCommentary 2015-1 – Re-designing New Zealand Superannuation</w:t>
      </w:r>
      <w:r w:rsidRPr="00043E1D">
        <w:rPr>
          <w:rFonts w:ascii="Garamond" w:hAnsi="Garamond"/>
          <w:sz w:val="20"/>
          <w:szCs w:val="20"/>
          <w:lang w:val="en-US"/>
        </w:rPr>
        <w:t xml:space="preserve">, Michael Littlewood (accessible </w:t>
      </w:r>
      <w:hyperlink r:id="rId32"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38">
    <w:p w14:paraId="69654FB4" w14:textId="77777777" w:rsidR="00CD6F06" w:rsidRPr="00A249A3" w:rsidRDefault="00CD6F06" w:rsidP="009F04BD">
      <w:pPr>
        <w:pStyle w:val="FootnoteText"/>
        <w:jc w:val="both"/>
        <w:rPr>
          <w:rFonts w:ascii="Garamond" w:hAnsi="Garamond"/>
          <w:sz w:val="20"/>
          <w:szCs w:val="20"/>
          <w:lang w:val="en-US"/>
        </w:rPr>
      </w:pPr>
      <w:r w:rsidRPr="00A249A3">
        <w:rPr>
          <w:rStyle w:val="FootnoteReference"/>
          <w:rFonts w:ascii="Garamond" w:hAnsi="Garamond"/>
          <w:sz w:val="20"/>
          <w:szCs w:val="20"/>
        </w:rPr>
        <w:footnoteRef/>
      </w:r>
      <w:r w:rsidRPr="00A249A3">
        <w:rPr>
          <w:rFonts w:ascii="Garamond" w:hAnsi="Garamond"/>
          <w:sz w:val="20"/>
          <w:szCs w:val="20"/>
        </w:rPr>
        <w:t xml:space="preserve"> In 2017, the report was accessible </w:t>
      </w:r>
      <w:hyperlink r:id="rId33" w:history="1">
        <w:r w:rsidRPr="00A249A3">
          <w:rPr>
            <w:rStyle w:val="Hyperlink"/>
            <w:rFonts w:ascii="Garamond" w:hAnsi="Garamond"/>
            <w:sz w:val="20"/>
            <w:szCs w:val="20"/>
          </w:rPr>
          <w:t>here</w:t>
        </w:r>
      </w:hyperlink>
      <w:r>
        <w:rPr>
          <w:rFonts w:ascii="Garamond" w:hAnsi="Garamond"/>
          <w:sz w:val="20"/>
          <w:szCs w:val="20"/>
        </w:rPr>
        <w:t xml:space="preserve"> but isn’t there now</w:t>
      </w:r>
      <w:r w:rsidRPr="00A249A3">
        <w:rPr>
          <w:rFonts w:ascii="Garamond" w:hAnsi="Garamond"/>
          <w:sz w:val="20"/>
          <w:szCs w:val="20"/>
        </w:rPr>
        <w:t xml:space="preserve">  We think it should be available on the Commission for Financial Capability</w:t>
      </w:r>
      <w:r>
        <w:rPr>
          <w:rFonts w:ascii="Garamond" w:hAnsi="Garamond"/>
          <w:sz w:val="20"/>
          <w:szCs w:val="20"/>
        </w:rPr>
        <w:t>’s web site</w:t>
      </w:r>
      <w:r w:rsidRPr="00A249A3">
        <w:rPr>
          <w:rFonts w:ascii="Garamond" w:hAnsi="Garamond"/>
          <w:sz w:val="20"/>
          <w:szCs w:val="20"/>
        </w:rPr>
        <w:t>.</w:t>
      </w:r>
    </w:p>
  </w:footnote>
  <w:footnote w:id="39">
    <w:p w14:paraId="687E575F" w14:textId="718D7352" w:rsidR="00CD6F06" w:rsidRPr="00891E0F" w:rsidRDefault="00CD6F06" w:rsidP="00891E0F">
      <w:pPr>
        <w:pStyle w:val="FootnoteText"/>
        <w:jc w:val="both"/>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sidRPr="00F66CFF">
        <w:rPr>
          <w:rFonts w:ascii="Garamond" w:hAnsi="Garamond"/>
          <w:sz w:val="20"/>
          <w:szCs w:val="20"/>
        </w:rPr>
        <w:t xml:space="preserve"> There was also a review (the ‘Superannuation 2000 Taskforce’) that was started in 1998 but disbanded in 2000 by </w:t>
      </w:r>
      <w:r w:rsidRPr="00891E0F">
        <w:rPr>
          <w:rFonts w:ascii="Garamond" w:hAnsi="Garamond"/>
          <w:sz w:val="20"/>
          <w:szCs w:val="20"/>
        </w:rPr>
        <w:t>the then-</w:t>
      </w:r>
      <w:r w:rsidRPr="00F66CFF">
        <w:rPr>
          <w:rFonts w:ascii="Garamond" w:hAnsi="Garamond"/>
          <w:sz w:val="20"/>
          <w:szCs w:val="20"/>
        </w:rPr>
        <w:t>new Labour-led government before it reported.  It did, however, discover that 89% of New Zealanders wanted a multi-party agreement on superannuation but 84% did not expect that to happen.  We have more to say on this concept in section 21 (The review process).</w:t>
      </w:r>
      <w:r w:rsidRPr="00891E0F">
        <w:rPr>
          <w:rFonts w:ascii="Garamond" w:hAnsi="Garamond"/>
          <w:sz w:val="20"/>
          <w:szCs w:val="20"/>
        </w:rPr>
        <w:t xml:space="preserve">  The Taskforce also developed a model that was </w:t>
      </w:r>
      <w:r w:rsidRPr="00891E0F">
        <w:rPr>
          <w:rFonts w:ascii="Garamond" w:hAnsi="Garamond"/>
          <w:sz w:val="20"/>
          <w:szCs w:val="20"/>
          <w:lang w:val="en-GB"/>
        </w:rPr>
        <w:t xml:space="preserve">based on the Treasury’s Long Term Fiscal Model (“LTFM”) used in section 4 (How much will New Zealand Superannuation really cost?).  The Taskforce wanted the LTFM refined to include feedback mechanisms into the modelling process.  A new tool (the Policy and Retirement Income Stability Model or “PRISM”) was created for that purpose.  This let aspects of retirement income policy settings that affected spending, taxes, debt, interest rates, the balance of payments, investment, saving and growth be captured.  If done fairly, this kind of model highlights the trade-offs and makes key assumptions explicit.  PRISM also allowed </w:t>
      </w:r>
      <w:r>
        <w:rPr>
          <w:rFonts w:ascii="Garamond" w:hAnsi="Garamond"/>
          <w:sz w:val="20"/>
          <w:szCs w:val="20"/>
          <w:lang w:val="en-GB"/>
        </w:rPr>
        <w:t xml:space="preserve">some </w:t>
      </w:r>
      <w:r w:rsidRPr="00891E0F">
        <w:rPr>
          <w:rFonts w:ascii="Garamond" w:hAnsi="Garamond"/>
          <w:sz w:val="20"/>
          <w:szCs w:val="20"/>
          <w:lang w:val="en-GB"/>
        </w:rPr>
        <w:t>key design features of New Zealand Superannuation to be changed in order to model their impacts on future costs.</w:t>
      </w:r>
    </w:p>
  </w:footnote>
  <w:footnote w:id="40">
    <w:p w14:paraId="7B0A8968" w14:textId="0CDDB66D"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And </w:t>
      </w:r>
      <w:r>
        <w:rPr>
          <w:rFonts w:ascii="Garamond" w:hAnsi="Garamond"/>
          <w:sz w:val="20"/>
          <w:szCs w:val="20"/>
        </w:rPr>
        <w:t>anyone who</w:t>
      </w:r>
      <w:r w:rsidRPr="00043E1D">
        <w:rPr>
          <w:rFonts w:ascii="Garamond" w:hAnsi="Garamond"/>
          <w:sz w:val="20"/>
          <w:szCs w:val="20"/>
        </w:rPr>
        <w:t xml:space="preserve"> uses the Retirement Commissioner’s 2016 review as supporting evidence, our statement stands.  That review did not use research-based findings either.</w:t>
      </w:r>
    </w:p>
  </w:footnote>
  <w:footnote w:id="41">
    <w:p w14:paraId="6409FD8E" w14:textId="583ABD81" w:rsidR="00CD6F06" w:rsidRPr="00701CA1" w:rsidRDefault="00CD6F06" w:rsidP="00701CA1">
      <w:pPr>
        <w:pStyle w:val="FootnoteText"/>
        <w:jc w:val="both"/>
        <w:rPr>
          <w:rFonts w:ascii="Garamond" w:hAnsi="Garamond"/>
          <w:i/>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Jacinda Ardern, asked in a 2017 pre-election debate if she would resign rather than raise the state pension age, answered “Yes” (</w:t>
      </w:r>
      <w:r>
        <w:rPr>
          <w:rFonts w:ascii="Garamond" w:hAnsi="Garamond"/>
          <w:i/>
          <w:sz w:val="20"/>
          <w:szCs w:val="20"/>
        </w:rPr>
        <w:t xml:space="preserve">Newshub </w:t>
      </w:r>
      <w:r w:rsidRPr="00701CA1">
        <w:rPr>
          <w:rFonts w:ascii="Garamond" w:hAnsi="Garamond"/>
          <w:sz w:val="20"/>
          <w:szCs w:val="20"/>
        </w:rPr>
        <w:t>report of 9 September 2017</w:t>
      </w:r>
      <w:r>
        <w:rPr>
          <w:rFonts w:ascii="Garamond" w:hAnsi="Garamond"/>
          <w:sz w:val="20"/>
          <w:szCs w:val="20"/>
        </w:rPr>
        <w:t xml:space="preserve">, accessible </w:t>
      </w:r>
      <w:hyperlink r:id="rId34" w:history="1">
        <w:r w:rsidRPr="00793969">
          <w:rPr>
            <w:rStyle w:val="Hyperlink"/>
            <w:rFonts w:ascii="Garamond" w:hAnsi="Garamond"/>
            <w:sz w:val="20"/>
            <w:szCs w:val="20"/>
          </w:rPr>
          <w:t>here</w:t>
        </w:r>
      </w:hyperlink>
      <w:r>
        <w:rPr>
          <w:rFonts w:ascii="Garamond" w:hAnsi="Garamond"/>
          <w:sz w:val="20"/>
          <w:szCs w:val="20"/>
        </w:rPr>
        <w:t>).  We assume that is now official policy, both in respect of the state pension age and the residency period requirement (though New Zealand First has introduced a member’s Bill in that regard – see below).</w:t>
      </w:r>
    </w:p>
  </w:footnote>
  <w:footnote w:id="42">
    <w:p w14:paraId="78F8EA82" w14:textId="212D9E63"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Press release 6 March 2017 </w:t>
      </w:r>
      <w:r w:rsidRPr="00043E1D">
        <w:rPr>
          <w:rFonts w:ascii="Garamond" w:hAnsi="Garamond"/>
          <w:i/>
          <w:sz w:val="20"/>
          <w:szCs w:val="20"/>
        </w:rPr>
        <w:t>Lifting NZ Super age the right thing to do</w:t>
      </w:r>
      <w:r w:rsidRPr="00043E1D">
        <w:rPr>
          <w:rFonts w:ascii="Garamond" w:hAnsi="Garamond"/>
          <w:sz w:val="20"/>
          <w:szCs w:val="20"/>
        </w:rPr>
        <w:t xml:space="preserve">, accessible </w:t>
      </w:r>
      <w:hyperlink r:id="rId35" w:history="1">
        <w:r w:rsidRPr="00043E1D">
          <w:rPr>
            <w:rStyle w:val="Hyperlink"/>
            <w:rFonts w:ascii="Garamond" w:hAnsi="Garamond"/>
            <w:sz w:val="20"/>
            <w:szCs w:val="20"/>
          </w:rPr>
          <w:t>here</w:t>
        </w:r>
      </w:hyperlink>
      <w:r w:rsidRPr="00043E1D">
        <w:rPr>
          <w:rFonts w:ascii="Garamond" w:hAnsi="Garamond"/>
          <w:sz w:val="20"/>
          <w:szCs w:val="20"/>
        </w:rPr>
        <w:t>.</w:t>
      </w:r>
    </w:p>
  </w:footnote>
  <w:footnote w:id="43">
    <w:p w14:paraId="7CB217AD" w14:textId="2689AEAB"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NZS is payable under the New Zealand Superannuation and Retirement Income Act 2001 accessible </w:t>
      </w:r>
      <w:hyperlink r:id="rId36" w:history="1">
        <w:r w:rsidRPr="00043E1D">
          <w:rPr>
            <w:rStyle w:val="Hyperlink"/>
            <w:rFonts w:ascii="Garamond" w:hAnsi="Garamond"/>
            <w:sz w:val="20"/>
            <w:szCs w:val="20"/>
            <w:lang w:val="en-US"/>
          </w:rPr>
          <w:t>here</w:t>
        </w:r>
      </w:hyperlink>
      <w:r w:rsidRPr="00043E1D">
        <w:rPr>
          <w:rFonts w:ascii="Garamond" w:hAnsi="Garamond"/>
          <w:sz w:val="20"/>
          <w:szCs w:val="20"/>
          <w:lang w:val="en-US"/>
        </w:rPr>
        <w:t>.  In this section, we refer to that as the ‘Act’.</w:t>
      </w:r>
    </w:p>
  </w:footnote>
  <w:footnote w:id="44">
    <w:p w14:paraId="4FC6CDE3" w14:textId="3DD20AA6" w:rsidR="00CD6F06" w:rsidRPr="00043E1D" w:rsidRDefault="00CD6F06">
      <w:pPr>
        <w:jc w:val="both"/>
        <w:rPr>
          <w:rFonts w:ascii="Garamond" w:hAnsi="Garamond"/>
          <w:noProof/>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noProof/>
          <w:sz w:val="20"/>
          <w:szCs w:val="20"/>
        </w:rPr>
        <w:t>Retirement income in New Zealand the historical context</w:t>
      </w:r>
      <w:r w:rsidRPr="00043E1D">
        <w:rPr>
          <w:rFonts w:ascii="Garamond" w:hAnsi="Garamond"/>
          <w:noProof/>
          <w:sz w:val="20"/>
          <w:szCs w:val="20"/>
        </w:rPr>
        <w:t xml:space="preserve">, David Preston (2001), Office of the Retirement Commissioner (now Commission for Financial Capability, Wellington) </w:t>
      </w:r>
      <w:r w:rsidRPr="00043E1D">
        <w:rPr>
          <w:rFonts w:ascii="Garamond" w:hAnsi="Garamond"/>
          <w:sz w:val="20"/>
          <w:szCs w:val="20"/>
          <w:lang w:val="en-US"/>
        </w:rPr>
        <w:t xml:space="preserve">provides a good summary of the history of NZS since it started in 1898 (accessible </w:t>
      </w:r>
      <w:hyperlink r:id="rId37"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45">
    <w:p w14:paraId="18D561A6" w14:textId="0AFE8AA6"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The Old Age benefit (pre-1977) was the last time New Zealand had an asset-test on an age-related income benefit.</w:t>
      </w:r>
    </w:p>
  </w:footnote>
  <w:footnote w:id="46">
    <w:p w14:paraId="4D0FCB29" w14:textId="5B88596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w:t>
      </w:r>
      <w:r w:rsidRPr="00043E1D">
        <w:rPr>
          <w:rFonts w:ascii="Garamond" w:hAnsi="Garamond"/>
          <w:i/>
          <w:sz w:val="20"/>
          <w:szCs w:val="20"/>
        </w:rPr>
        <w:t>Turning silver to gold: Policies for an ageing population</w:t>
      </w:r>
      <w:r w:rsidRPr="00043E1D">
        <w:rPr>
          <w:rFonts w:ascii="Garamond" w:hAnsi="Garamond"/>
          <w:sz w:val="20"/>
          <w:szCs w:val="20"/>
        </w:rPr>
        <w:t xml:space="preserve"> (2014), Retirement Policy and Research Centre (accessible </w:t>
      </w:r>
      <w:hyperlink r:id="rId38" w:history="1">
        <w:r w:rsidRPr="00043E1D">
          <w:rPr>
            <w:rStyle w:val="Hyperlink"/>
            <w:rFonts w:ascii="Garamond" w:hAnsi="Garamond"/>
            <w:sz w:val="20"/>
            <w:szCs w:val="20"/>
          </w:rPr>
          <w:t>here</w:t>
        </w:r>
      </w:hyperlink>
      <w:r w:rsidRPr="00043E1D">
        <w:rPr>
          <w:rFonts w:ascii="Garamond" w:hAnsi="Garamond"/>
          <w:sz w:val="20"/>
          <w:szCs w:val="20"/>
        </w:rPr>
        <w:t>), Claire Dale collates what we know about public policy-driven state costs of services and support for the age 65+ population through to 2030.  For the proposed national discussion on NZS, that analysis needs to be deepened and extended.</w:t>
      </w:r>
    </w:p>
  </w:footnote>
  <w:footnote w:id="47">
    <w:p w14:paraId="71F1C406" w14:textId="0DD3264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fact, it’s even possible that the total (public + private) claims of the old on the economy will be greater in the presence of a means-tested state pension than might be the case with a universal pension such as NZS.  Savers might under-estimate the net amount of state provision they will receive and therefore over-estimate the need for private provision in the presence of means-tests.  Means-tests are by their nature, complicated and expensive to administer.  That could all increase the total economic claims by older people (both public and private) on a demographically ageing economy.  Means-tests also have a tendency to provoke avoidance activities that aim to limit the impact of the asset- or income-test on net incomes in retirement.  Australia shows how the financial planning industry was founded, in part, on means-test avoidance.</w:t>
      </w:r>
    </w:p>
  </w:footnote>
  <w:footnote w:id="48">
    <w:p w14:paraId="75FF0AAD" w14:textId="2D649115"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More recently, Labour said, in a list of the government’s actions in its first 100 days, that the government had “…resumed contributions to the Super Fund to help safeguard the provision of universal super at 65…” – </w:t>
      </w:r>
      <w:r>
        <w:rPr>
          <w:rFonts w:ascii="Garamond" w:hAnsi="Garamond"/>
          <w:i/>
          <w:sz w:val="20"/>
          <w:szCs w:val="20"/>
        </w:rPr>
        <w:t>100 days.  Here’s what we have done</w:t>
      </w:r>
      <w:r>
        <w:rPr>
          <w:rFonts w:ascii="Garamond" w:hAnsi="Garamond"/>
          <w:sz w:val="20"/>
          <w:szCs w:val="20"/>
        </w:rPr>
        <w:t xml:space="preserve">, 1 February 2018, accessible </w:t>
      </w:r>
      <w:hyperlink r:id="rId39" w:history="1">
        <w:r w:rsidRPr="0095453E">
          <w:rPr>
            <w:rStyle w:val="Hyperlink"/>
            <w:rFonts w:ascii="Garamond" w:hAnsi="Garamond"/>
            <w:sz w:val="20"/>
            <w:szCs w:val="20"/>
          </w:rPr>
          <w:t>here</w:t>
        </w:r>
      </w:hyperlink>
      <w:r>
        <w:rPr>
          <w:rFonts w:ascii="Garamond" w:hAnsi="Garamond"/>
          <w:sz w:val="20"/>
          <w:szCs w:val="20"/>
        </w:rPr>
        <w:t>.</w:t>
      </w:r>
    </w:p>
  </w:footnote>
  <w:footnote w:id="49">
    <w:p w14:paraId="365B7F8D" w14:textId="16803986"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Retirement Commissioner’s </w:t>
      </w:r>
      <w:r w:rsidRPr="00043E1D">
        <w:rPr>
          <w:rFonts w:ascii="Garamond" w:hAnsi="Garamond"/>
          <w:i/>
          <w:sz w:val="20"/>
          <w:szCs w:val="20"/>
        </w:rPr>
        <w:t>2016 Review of Retirement Income Policies</w:t>
      </w:r>
      <w:r w:rsidRPr="00043E1D">
        <w:rPr>
          <w:rFonts w:ascii="Garamond" w:hAnsi="Garamond"/>
          <w:sz w:val="20"/>
          <w:szCs w:val="20"/>
        </w:rPr>
        <w:t xml:space="preserve"> (accessible </w:t>
      </w:r>
      <w:hyperlink r:id="rId40" w:history="1">
        <w:r w:rsidRPr="00043E1D">
          <w:rPr>
            <w:rStyle w:val="Hyperlink"/>
            <w:rFonts w:ascii="Garamond" w:hAnsi="Garamond"/>
            <w:sz w:val="20"/>
            <w:szCs w:val="20"/>
          </w:rPr>
          <w:t>here</w:t>
        </w:r>
      </w:hyperlink>
      <w:r w:rsidRPr="00043E1D">
        <w:rPr>
          <w:rFonts w:ascii="Garamond" w:hAnsi="Garamond"/>
          <w:sz w:val="20"/>
          <w:szCs w:val="20"/>
        </w:rPr>
        <w:t>) at page 24.</w:t>
      </w:r>
    </w:p>
  </w:footnote>
  <w:footnote w:id="50">
    <w:p w14:paraId="0DA67CCF" w14:textId="410D084A"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the </w:t>
      </w:r>
      <w:r>
        <w:rPr>
          <w:rFonts w:ascii="Garamond" w:hAnsi="Garamond"/>
          <w:sz w:val="20"/>
          <w:szCs w:val="20"/>
        </w:rPr>
        <w:t xml:space="preserve">then </w:t>
      </w:r>
      <w:r w:rsidRPr="00043E1D">
        <w:rPr>
          <w:rFonts w:ascii="Garamond" w:hAnsi="Garamond"/>
          <w:sz w:val="20"/>
          <w:szCs w:val="20"/>
        </w:rPr>
        <w:t>Minister of Commerce and Consumer Affairs’ letter of 7 June 2017 (</w:t>
      </w:r>
      <w:r>
        <w:rPr>
          <w:rFonts w:ascii="Garamond" w:hAnsi="Garamond"/>
          <w:sz w:val="20"/>
          <w:szCs w:val="20"/>
        </w:rPr>
        <w:t xml:space="preserve">online source removed since 2017 </w:t>
      </w:r>
      <w:r w:rsidRPr="00043E1D">
        <w:rPr>
          <w:rFonts w:ascii="Garamond" w:hAnsi="Garamond"/>
          <w:sz w:val="20"/>
          <w:szCs w:val="20"/>
        </w:rPr>
        <w:t>), she said “The Government considers that retaining the non-qualifying partner option is necessary to provide low-income couples with the means to smoothly transition to retirement.  This is because the majority of non-qualifying partners are people approaching the age of eligibility for NZ Super.”  This, we suggest, easily qualifie</w:t>
      </w:r>
      <w:r>
        <w:rPr>
          <w:rFonts w:ascii="Garamond" w:hAnsi="Garamond"/>
          <w:sz w:val="20"/>
          <w:szCs w:val="20"/>
        </w:rPr>
        <w:t>d</w:t>
      </w:r>
      <w:r w:rsidRPr="00043E1D">
        <w:rPr>
          <w:rFonts w:ascii="Garamond" w:hAnsi="Garamond"/>
          <w:sz w:val="20"/>
          <w:szCs w:val="20"/>
        </w:rPr>
        <w:t xml:space="preserve"> as a statement of the obvious but </w:t>
      </w:r>
      <w:r>
        <w:rPr>
          <w:rFonts w:ascii="Garamond" w:hAnsi="Garamond"/>
          <w:sz w:val="20"/>
          <w:szCs w:val="20"/>
        </w:rPr>
        <w:t>was</w:t>
      </w:r>
      <w:r w:rsidRPr="00043E1D">
        <w:rPr>
          <w:rFonts w:ascii="Garamond" w:hAnsi="Garamond"/>
          <w:sz w:val="20"/>
          <w:szCs w:val="20"/>
        </w:rPr>
        <w:t xml:space="preserve"> no justification for the government’s decision.</w:t>
      </w:r>
    </w:p>
  </w:footnote>
  <w:footnote w:id="51">
    <w:p w14:paraId="1478EBFC" w14:textId="29708361" w:rsidR="00CD6F06" w:rsidRPr="0041203F" w:rsidRDefault="00CD6F06" w:rsidP="0041203F">
      <w:pPr>
        <w:pStyle w:val="FootnoteText"/>
        <w:jc w:val="both"/>
        <w:rPr>
          <w:rFonts w:ascii="Garamond" w:hAnsi="Garamond"/>
          <w:sz w:val="20"/>
          <w:szCs w:val="20"/>
          <w:lang w:val="en-US"/>
        </w:rPr>
      </w:pPr>
      <w:r w:rsidRPr="0041203F">
        <w:rPr>
          <w:rStyle w:val="FootnoteReference"/>
          <w:rFonts w:ascii="Garamond" w:hAnsi="Garamond"/>
          <w:sz w:val="20"/>
          <w:szCs w:val="20"/>
        </w:rPr>
        <w:footnoteRef/>
      </w:r>
      <w:r w:rsidRPr="0041203F">
        <w:rPr>
          <w:rFonts w:ascii="Garamond" w:hAnsi="Garamond"/>
          <w:sz w:val="20"/>
          <w:szCs w:val="20"/>
        </w:rPr>
        <w:t xml:space="preserve"> </w:t>
      </w:r>
      <w:r w:rsidRPr="0041203F">
        <w:rPr>
          <w:rFonts w:ascii="Garamond" w:hAnsi="Garamond"/>
          <w:i/>
          <w:sz w:val="20"/>
          <w:szCs w:val="20"/>
        </w:rPr>
        <w:t>2019 Wellbeing Budget – changes for superannuitants</w:t>
      </w:r>
      <w:r w:rsidRPr="0041203F">
        <w:rPr>
          <w:rFonts w:ascii="Garamond" w:hAnsi="Garamond"/>
          <w:sz w:val="20"/>
          <w:szCs w:val="20"/>
        </w:rPr>
        <w:t xml:space="preserve">, 30 May 2019 accessible </w:t>
      </w:r>
      <w:hyperlink r:id="rId41" w:anchor="null" w:history="1">
        <w:r w:rsidRPr="0041203F">
          <w:rPr>
            <w:rStyle w:val="Hyperlink"/>
            <w:rFonts w:ascii="Garamond" w:hAnsi="Garamond"/>
            <w:sz w:val="20"/>
            <w:szCs w:val="20"/>
          </w:rPr>
          <w:t>here</w:t>
        </w:r>
      </w:hyperlink>
      <w:r w:rsidRPr="0041203F">
        <w:rPr>
          <w:rFonts w:ascii="Garamond" w:hAnsi="Garamond"/>
          <w:sz w:val="20"/>
          <w:szCs w:val="20"/>
        </w:rPr>
        <w:t>.</w:t>
      </w:r>
    </w:p>
  </w:footnote>
  <w:footnote w:id="52">
    <w:p w14:paraId="62FA1C1B" w14:textId="0BCE0B0F" w:rsidR="00CD6F06" w:rsidRPr="00043E1D" w:rsidRDefault="00CD6F06">
      <w:pPr>
        <w:pStyle w:val="FootnoteText"/>
        <w:jc w:val="both"/>
        <w:rPr>
          <w:rFonts w:ascii="Garamond" w:hAnsi="Garamond"/>
          <w:i/>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Retirement Trends and Policies to Encourage Work Among Older Americans</w:t>
      </w:r>
      <w:r w:rsidRPr="00043E1D">
        <w:rPr>
          <w:rFonts w:ascii="Garamond" w:hAnsi="Garamond"/>
          <w:sz w:val="20"/>
          <w:szCs w:val="20"/>
        </w:rPr>
        <w:t xml:space="preserve">, Gary Burtless and Joseph Quinn (2000), The Brookings Institution (accessible </w:t>
      </w:r>
      <w:hyperlink r:id="rId42" w:history="1">
        <w:r w:rsidRPr="00043E1D">
          <w:rPr>
            <w:rStyle w:val="Hyperlink"/>
            <w:rFonts w:ascii="Garamond" w:hAnsi="Garamond"/>
            <w:sz w:val="20"/>
            <w:szCs w:val="20"/>
          </w:rPr>
          <w:t>here</w:t>
        </w:r>
      </w:hyperlink>
      <w:r w:rsidRPr="00043E1D">
        <w:rPr>
          <w:rFonts w:ascii="Garamond" w:hAnsi="Garamond"/>
          <w:sz w:val="20"/>
          <w:szCs w:val="20"/>
        </w:rPr>
        <w:t>).</w:t>
      </w:r>
      <w:r w:rsidRPr="00043E1D">
        <w:rPr>
          <w:rFonts w:ascii="Garamond" w:hAnsi="Garamond"/>
          <w:i/>
          <w:sz w:val="20"/>
          <w:szCs w:val="20"/>
        </w:rPr>
        <w:t xml:space="preserve"> </w:t>
      </w:r>
    </w:p>
  </w:footnote>
  <w:footnote w:id="53">
    <w:p w14:paraId="30151073" w14:textId="6FA6F51C"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Monthly Current Population Survey data in the US cited in </w:t>
      </w:r>
      <w:r w:rsidRPr="00043E1D">
        <w:rPr>
          <w:rFonts w:ascii="Garamond" w:hAnsi="Garamond"/>
          <w:i/>
          <w:sz w:val="20"/>
          <w:szCs w:val="20"/>
        </w:rPr>
        <w:t>Passing the Torch: The Influence of Economic Incentives on Work and Retirement</w:t>
      </w:r>
      <w:r w:rsidRPr="00043E1D">
        <w:rPr>
          <w:rFonts w:ascii="Garamond" w:hAnsi="Garamond"/>
          <w:sz w:val="20"/>
          <w:szCs w:val="20"/>
        </w:rPr>
        <w:t xml:space="preserve">, Joseph Quinn, Richard Burkhauser and Daniel Myers (1990), W E Upjohn Institute for Employment Research (accessible </w:t>
      </w:r>
      <w:hyperlink r:id="rId43" w:history="1">
        <w:r w:rsidRPr="00043E1D">
          <w:rPr>
            <w:rStyle w:val="Hyperlink"/>
            <w:rFonts w:ascii="Garamond" w:hAnsi="Garamond"/>
            <w:sz w:val="20"/>
            <w:szCs w:val="20"/>
          </w:rPr>
          <w:t>here</w:t>
        </w:r>
      </w:hyperlink>
      <w:r w:rsidRPr="00043E1D">
        <w:rPr>
          <w:rFonts w:ascii="Garamond" w:hAnsi="Garamond"/>
          <w:sz w:val="20"/>
          <w:szCs w:val="20"/>
        </w:rPr>
        <w:t>).</w:t>
      </w:r>
    </w:p>
  </w:footnote>
  <w:footnote w:id="54">
    <w:p w14:paraId="3324E10C" w14:textId="6219C27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ILO Key Indicators of the Labour Market (KILM, 7th Edition, 2011) cited in </w:t>
      </w:r>
      <w:r w:rsidRPr="00043E1D">
        <w:rPr>
          <w:rFonts w:ascii="Garamond" w:hAnsi="Garamond"/>
          <w:i/>
          <w:sz w:val="20"/>
          <w:szCs w:val="20"/>
        </w:rPr>
        <w:t>Comparison of New Zealand and Australian Retirement Income Systems</w:t>
      </w:r>
      <w:r w:rsidRPr="00043E1D">
        <w:rPr>
          <w:rFonts w:ascii="Garamond" w:hAnsi="Garamond"/>
          <w:sz w:val="20"/>
          <w:szCs w:val="20"/>
        </w:rPr>
        <w:t xml:space="preserve">, Ross Guest (2013) accessible </w:t>
      </w:r>
      <w:hyperlink r:id="rId44" w:history="1">
        <w:r w:rsidRPr="00043E1D">
          <w:rPr>
            <w:rStyle w:val="Hyperlink"/>
            <w:rFonts w:ascii="Garamond" w:hAnsi="Garamond"/>
            <w:sz w:val="20"/>
            <w:szCs w:val="20"/>
          </w:rPr>
          <w:t>here</w:t>
        </w:r>
      </w:hyperlink>
      <w:r w:rsidRPr="00043E1D">
        <w:rPr>
          <w:rFonts w:ascii="Garamond" w:hAnsi="Garamond"/>
          <w:sz w:val="20"/>
          <w:szCs w:val="20"/>
        </w:rPr>
        <w:t>.</w:t>
      </w:r>
    </w:p>
  </w:footnote>
  <w:footnote w:id="55">
    <w:p w14:paraId="61AB31E9" w14:textId="0C0925A2" w:rsidR="00CD6F06" w:rsidRPr="00043E1D" w:rsidRDefault="00CD6F06">
      <w:pPr>
        <w:pStyle w:val="FootnoteText"/>
        <w:jc w:val="both"/>
        <w:rPr>
          <w:rFonts w:ascii="Garamond" w:hAnsi="Garamond"/>
          <w:sz w:val="20"/>
          <w:szCs w:val="20"/>
          <w:lang w:val="en-US"/>
        </w:rPr>
      </w:pPr>
      <w:r w:rsidRPr="00F66CFF">
        <w:rPr>
          <w:rStyle w:val="FootnoteReference"/>
          <w:rFonts w:ascii="Garamond" w:hAnsi="Garamond"/>
          <w:sz w:val="20"/>
          <w:szCs w:val="20"/>
        </w:rPr>
        <w:footnoteRef/>
      </w:r>
      <w:r w:rsidRPr="00F66CFF">
        <w:rPr>
          <w:rFonts w:ascii="Garamond" w:hAnsi="Garamond"/>
          <w:sz w:val="20"/>
          <w:szCs w:val="20"/>
        </w:rPr>
        <w:t xml:space="preserve"> </w:t>
      </w:r>
      <w:r w:rsidRPr="00F66CFF">
        <w:rPr>
          <w:rFonts w:ascii="Garamond" w:hAnsi="Garamond"/>
          <w:i/>
          <w:sz w:val="20"/>
          <w:szCs w:val="20"/>
        </w:rPr>
        <w:t xml:space="preserve">Current Population Survey </w:t>
      </w:r>
      <w:r w:rsidRPr="00891E0F">
        <w:rPr>
          <w:rFonts w:ascii="Garamond" w:hAnsi="Garamond"/>
          <w:sz w:val="20"/>
          <w:szCs w:val="20"/>
        </w:rPr>
        <w:t>data</w:t>
      </w:r>
      <w:r w:rsidRPr="00F66CFF">
        <w:rPr>
          <w:rFonts w:ascii="Garamond" w:hAnsi="Garamond"/>
          <w:sz w:val="20"/>
          <w:szCs w:val="20"/>
        </w:rPr>
        <w:t xml:space="preserve">, February 2019 – report accessible </w:t>
      </w:r>
      <w:hyperlink r:id="rId45" w:history="1">
        <w:r w:rsidRPr="00F66CFF">
          <w:rPr>
            <w:rStyle w:val="Hyperlink"/>
            <w:rFonts w:ascii="Garamond" w:hAnsi="Garamond"/>
            <w:sz w:val="20"/>
            <w:szCs w:val="20"/>
          </w:rPr>
          <w:t>here</w:t>
        </w:r>
      </w:hyperlink>
      <w:r w:rsidRPr="00F66CFF">
        <w:rPr>
          <w:rFonts w:ascii="Garamond" w:hAnsi="Garamond"/>
          <w:sz w:val="20"/>
          <w:szCs w:val="20"/>
        </w:rPr>
        <w:t>.  The participation rate for college graduates post-65 (about half of all aged 65+) was 53% in 2019  Any US data about labour force participation rates after age 65 now need qualification because of the increasing state pension age.</w:t>
      </w:r>
    </w:p>
  </w:footnote>
  <w:footnote w:id="56">
    <w:p w14:paraId="28DA57F6" w14:textId="55F56A5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r>
        <w:rPr>
          <w:rFonts w:ascii="Garamond" w:hAnsi="Garamond"/>
          <w:i/>
          <w:sz w:val="20"/>
          <w:szCs w:val="20"/>
        </w:rPr>
        <w:t xml:space="preserve">National labour force projections: 2017 (base) to </w:t>
      </w:r>
      <w:r w:rsidRPr="00701CA1">
        <w:rPr>
          <w:rFonts w:ascii="Garamond" w:hAnsi="Garamond"/>
          <w:sz w:val="20"/>
          <w:szCs w:val="20"/>
        </w:rPr>
        <w:t>2068</w:t>
      </w:r>
      <w:r>
        <w:rPr>
          <w:rFonts w:ascii="Garamond" w:hAnsi="Garamond"/>
          <w:sz w:val="20"/>
          <w:szCs w:val="20"/>
        </w:rPr>
        <w:t xml:space="preserve">, accessible </w:t>
      </w:r>
      <w:hyperlink r:id="rId46" w:history="1">
        <w:r w:rsidRPr="008C771F">
          <w:rPr>
            <w:rStyle w:val="Hyperlink"/>
            <w:rFonts w:ascii="Garamond" w:hAnsi="Garamond"/>
            <w:sz w:val="20"/>
            <w:szCs w:val="20"/>
          </w:rPr>
          <w:t>here</w:t>
        </w:r>
      </w:hyperlink>
      <w:r>
        <w:rPr>
          <w:rFonts w:ascii="Garamond" w:hAnsi="Garamond"/>
          <w:sz w:val="20"/>
          <w:szCs w:val="20"/>
        </w:rPr>
        <w:t>.</w:t>
      </w:r>
    </w:p>
  </w:footnote>
  <w:footnote w:id="57">
    <w:p w14:paraId="3A389E5A" w14:textId="42FC78EF"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Other countries’ decisions about their state pension ages are not relevant to New Zealand’s own decision.  The </w:t>
      </w:r>
      <w:r>
        <w:rPr>
          <w:rFonts w:ascii="Garamond" w:hAnsi="Garamond"/>
          <w:sz w:val="20"/>
          <w:szCs w:val="20"/>
        </w:rPr>
        <w:t xml:space="preserve">last </w:t>
      </w:r>
      <w:r w:rsidRPr="00043E1D">
        <w:rPr>
          <w:rFonts w:ascii="Garamond" w:hAnsi="Garamond"/>
          <w:sz w:val="20"/>
          <w:szCs w:val="20"/>
        </w:rPr>
        <w:t xml:space="preserve">government claimed support for lifting the age to 67 (by 2040) from the experience of other countries (see the Annex to the undated Cabinet paper on New Zealand Superannuation from Minister of Finance of March 2017 at p. 14, accessible </w:t>
      </w:r>
      <w:hyperlink r:id="rId47" w:history="1">
        <w:r w:rsidRPr="00043E1D">
          <w:rPr>
            <w:rStyle w:val="Hyperlink"/>
            <w:rFonts w:ascii="Garamond" w:hAnsi="Garamond"/>
            <w:sz w:val="20"/>
            <w:szCs w:val="20"/>
          </w:rPr>
          <w:t>here</w:t>
        </w:r>
      </w:hyperlink>
      <w:r w:rsidRPr="00043E1D">
        <w:rPr>
          <w:rFonts w:ascii="Garamond" w:hAnsi="Garamond"/>
          <w:sz w:val="20"/>
          <w:szCs w:val="20"/>
        </w:rPr>
        <w:t>).  However, each country’s social and workforce positions are different to others and each must make its own decision based on a full analysis of relevant data.  That hasn’t happened so far in New Zealand.</w:t>
      </w:r>
    </w:p>
  </w:footnote>
  <w:footnote w:id="58">
    <w:p w14:paraId="5B6D4099" w14:textId="6AB84057"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In 1898, New Zealand males had an average life expectancy of 12.8 years at age 65; females had an average of 16.9 years – </w:t>
      </w:r>
      <w:r>
        <w:rPr>
          <w:rFonts w:ascii="Garamond" w:hAnsi="Garamond"/>
          <w:i/>
          <w:sz w:val="20"/>
          <w:szCs w:val="20"/>
        </w:rPr>
        <w:t xml:space="preserve">New Zealand Cohort Life Tables - </w:t>
      </w:r>
      <w:r w:rsidRPr="00043E1D">
        <w:rPr>
          <w:rFonts w:ascii="Garamond" w:hAnsi="Garamond"/>
          <w:i/>
          <w:sz w:val="20"/>
          <w:szCs w:val="20"/>
        </w:rPr>
        <w:t>Life Expectancy (ex) by age, sex, and birth cohorts: 1876-1941</w:t>
      </w:r>
      <w:r w:rsidRPr="00043E1D">
        <w:rPr>
          <w:rFonts w:ascii="Garamond" w:hAnsi="Garamond"/>
          <w:sz w:val="20"/>
          <w:szCs w:val="20"/>
        </w:rPr>
        <w:t xml:space="preserve">, Statistics New Zealand, accessible </w:t>
      </w:r>
      <w:hyperlink r:id="rId48" w:history="1">
        <w:r w:rsidRPr="00043E1D">
          <w:rPr>
            <w:rStyle w:val="Hyperlink"/>
            <w:rFonts w:ascii="Garamond" w:hAnsi="Garamond"/>
            <w:sz w:val="20"/>
            <w:szCs w:val="20"/>
          </w:rPr>
          <w:t>here</w:t>
        </w:r>
      </w:hyperlink>
      <w:r w:rsidRPr="00043E1D">
        <w:rPr>
          <w:rFonts w:ascii="Garamond" w:hAnsi="Garamond"/>
          <w:sz w:val="20"/>
          <w:szCs w:val="20"/>
        </w:rPr>
        <w:t>.  Currently males have an 18.9-year life expectancy at age 65; females will survive, on average for 21.3 years (</w:t>
      </w:r>
      <w:r w:rsidRPr="00043E1D">
        <w:rPr>
          <w:rFonts w:ascii="Garamond" w:hAnsi="Garamond"/>
          <w:i/>
          <w:sz w:val="20"/>
          <w:szCs w:val="20"/>
        </w:rPr>
        <w:t>New Zealand Period Life Tables 2012-14</w:t>
      </w:r>
      <w:r w:rsidRPr="00043E1D">
        <w:rPr>
          <w:rFonts w:ascii="Garamond" w:hAnsi="Garamond"/>
          <w:sz w:val="20"/>
          <w:szCs w:val="20"/>
        </w:rPr>
        <w:t xml:space="preserve">, Statistics New Zealand accessible </w:t>
      </w:r>
      <w:hyperlink r:id="rId49" w:anchor="complete-excel" w:history="1">
        <w:r w:rsidRPr="00043E1D">
          <w:rPr>
            <w:rStyle w:val="Hyperlink"/>
            <w:rFonts w:ascii="Garamond" w:hAnsi="Garamond"/>
            <w:sz w:val="20"/>
            <w:szCs w:val="20"/>
          </w:rPr>
          <w:t>here</w:t>
        </w:r>
      </w:hyperlink>
      <w:r w:rsidRPr="00043E1D">
        <w:rPr>
          <w:rFonts w:ascii="Garamond" w:hAnsi="Garamond"/>
          <w:sz w:val="20"/>
          <w:szCs w:val="20"/>
        </w:rPr>
        <w:t>).  Over the 11</w:t>
      </w:r>
      <w:r>
        <w:rPr>
          <w:rFonts w:ascii="Garamond" w:hAnsi="Garamond"/>
          <w:sz w:val="20"/>
          <w:szCs w:val="20"/>
        </w:rPr>
        <w:t>6</w:t>
      </w:r>
      <w:r w:rsidRPr="00043E1D">
        <w:rPr>
          <w:rFonts w:ascii="Garamond" w:hAnsi="Garamond"/>
          <w:sz w:val="20"/>
          <w:szCs w:val="20"/>
        </w:rPr>
        <w:t xml:space="preserve"> years</w:t>
      </w:r>
      <w:r>
        <w:rPr>
          <w:rFonts w:ascii="Garamond" w:hAnsi="Garamond"/>
          <w:sz w:val="20"/>
          <w:szCs w:val="20"/>
        </w:rPr>
        <w:t xml:space="preserve"> to 2014</w:t>
      </w:r>
      <w:r w:rsidRPr="00043E1D">
        <w:rPr>
          <w:rFonts w:ascii="Garamond" w:hAnsi="Garamond"/>
          <w:sz w:val="20"/>
          <w:szCs w:val="20"/>
        </w:rPr>
        <w:t>, males at age 65 have added an average 6.1 years; females 4.4 years.</w:t>
      </w:r>
    </w:p>
  </w:footnote>
  <w:footnote w:id="59">
    <w:p w14:paraId="64AA0CDB" w14:textId="39892971"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However, </w:t>
      </w:r>
      <w:r w:rsidRPr="00E825C8">
        <w:rPr>
          <w:rFonts w:ascii="Garamond" w:hAnsi="Garamond"/>
          <w:sz w:val="20"/>
          <w:szCs w:val="20"/>
        </w:rPr>
        <w:t xml:space="preserve">a </w:t>
      </w:r>
      <w:r>
        <w:rPr>
          <w:rFonts w:ascii="Garamond" w:hAnsi="Garamond"/>
          <w:sz w:val="20"/>
          <w:szCs w:val="20"/>
        </w:rPr>
        <w:t>member’s B</w:t>
      </w:r>
      <w:r w:rsidRPr="00E825C8">
        <w:rPr>
          <w:rFonts w:ascii="Garamond" w:hAnsi="Garamond"/>
          <w:sz w:val="20"/>
          <w:szCs w:val="20"/>
        </w:rPr>
        <w:t xml:space="preserve">ill has been introduced by New Zealand First (the coalition government’s minority partner) that would have the effect of the last government’s proposed change – see </w:t>
      </w:r>
      <w:hyperlink r:id="rId50" w:history="1">
        <w:r w:rsidRPr="00E825C8">
          <w:rPr>
            <w:rStyle w:val="Hyperlink"/>
            <w:rFonts w:ascii="Garamond" w:hAnsi="Garamond"/>
            <w:sz w:val="20"/>
            <w:szCs w:val="20"/>
          </w:rPr>
          <w:t>here</w:t>
        </w:r>
      </w:hyperlink>
      <w:r w:rsidRPr="00E825C8">
        <w:rPr>
          <w:rFonts w:ascii="Garamond" w:hAnsi="Garamond"/>
          <w:sz w:val="20"/>
          <w:szCs w:val="20"/>
        </w:rPr>
        <w:t>.  The suggested change is simply to replace 10 years with 20 with no transitional arrangements (“</w:t>
      </w:r>
      <w:r w:rsidRPr="00E825C8">
        <w:rPr>
          <w:rFonts w:ascii="Garamond" w:eastAsia="Times New Roman" w:hAnsi="Garamond"/>
          <w:color w:val="000000"/>
          <w:sz w:val="20"/>
          <w:szCs w:val="20"/>
          <w:shd w:val="clear" w:color="auto" w:fill="FFFFFF"/>
          <w:lang w:eastAsia="en-US"/>
        </w:rPr>
        <w:t xml:space="preserve">In section 8(b), replace </w:t>
      </w:r>
      <w:r w:rsidRPr="00E825C8">
        <w:rPr>
          <w:rFonts w:ascii="Garamond" w:eastAsia="Times New Roman" w:hAnsi="Garamond"/>
          <w:sz w:val="20"/>
          <w:szCs w:val="20"/>
          <w:lang w:eastAsia="en-US"/>
        </w:rPr>
        <w:t>“10”</w:t>
      </w:r>
      <w:r w:rsidRPr="00E825C8">
        <w:rPr>
          <w:rFonts w:ascii="Garamond" w:eastAsia="Times New Roman" w:hAnsi="Garamond"/>
          <w:color w:val="000000"/>
          <w:sz w:val="20"/>
          <w:szCs w:val="20"/>
          <w:shd w:val="clear" w:color="auto" w:fill="FFFFFF"/>
          <w:lang w:eastAsia="en-US"/>
        </w:rPr>
        <w:t xml:space="preserve"> with </w:t>
      </w:r>
      <w:r w:rsidRPr="00E825C8">
        <w:rPr>
          <w:rFonts w:ascii="Garamond" w:eastAsia="Times New Roman" w:hAnsi="Garamond"/>
          <w:sz w:val="20"/>
          <w:szCs w:val="20"/>
          <w:lang w:eastAsia="en-US"/>
        </w:rPr>
        <w:t>“20”</w:t>
      </w:r>
      <w:r>
        <w:rPr>
          <w:rFonts w:ascii="Garamond" w:eastAsia="Times New Roman" w:hAnsi="Garamond"/>
          <w:sz w:val="20"/>
          <w:szCs w:val="20"/>
          <w:lang w:eastAsia="en-US"/>
        </w:rPr>
        <w:t>”</w:t>
      </w:r>
      <w:r w:rsidRPr="00E825C8">
        <w:rPr>
          <w:rFonts w:ascii="Garamond" w:eastAsia="Times New Roman" w:hAnsi="Garamond"/>
          <w:sz w:val="20"/>
          <w:szCs w:val="20"/>
          <w:lang w:eastAsia="en-US"/>
        </w:rPr>
        <w:t>)</w:t>
      </w:r>
      <w:r w:rsidRPr="00E825C8">
        <w:rPr>
          <w:rFonts w:ascii="Garamond" w:eastAsia="Times New Roman" w:hAnsi="Garamond"/>
          <w:color w:val="000000"/>
          <w:sz w:val="20"/>
          <w:szCs w:val="20"/>
          <w:shd w:val="clear" w:color="auto" w:fill="FFFFFF"/>
          <w:lang w:eastAsia="en-US"/>
        </w:rPr>
        <w:t>.</w:t>
      </w:r>
      <w:r w:rsidRPr="00E825C8">
        <w:rPr>
          <w:rFonts w:ascii="Garamond" w:hAnsi="Garamond"/>
          <w:sz w:val="20"/>
          <w:szCs w:val="20"/>
        </w:rPr>
        <w:t xml:space="preserve">  At the </w:t>
      </w:r>
      <w:r>
        <w:rPr>
          <w:rFonts w:ascii="Garamond" w:hAnsi="Garamond"/>
          <w:sz w:val="20"/>
          <w:szCs w:val="20"/>
        </w:rPr>
        <w:t>date</w:t>
      </w:r>
      <w:r w:rsidRPr="00E825C8">
        <w:rPr>
          <w:rFonts w:ascii="Garamond" w:hAnsi="Garamond"/>
          <w:sz w:val="20"/>
          <w:szCs w:val="20"/>
        </w:rPr>
        <w:t xml:space="preserve"> of this report, the Bill has yet to have its first reading.</w:t>
      </w:r>
    </w:p>
  </w:footnote>
  <w:footnote w:id="60">
    <w:p w14:paraId="0EA01BD6" w14:textId="1A8496B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Before 1937, the qualifying period was 25 years</w:t>
      </w:r>
      <w:r w:rsidRPr="00043E1D">
        <w:rPr>
          <w:rFonts w:ascii="Garamond" w:hAnsi="Garamond"/>
          <w:sz w:val="20"/>
          <w:szCs w:val="20"/>
          <w:lang w:val="en-US"/>
        </w:rPr>
        <w:t xml:space="preserve"> - the Pensions Amendment Act 1937 (accessible </w:t>
      </w:r>
      <w:hyperlink r:id="rId51" w:history="1">
        <w:r w:rsidRPr="00043E1D">
          <w:rPr>
            <w:rStyle w:val="Hyperlink"/>
            <w:rFonts w:ascii="Garamond" w:hAnsi="Garamond"/>
            <w:sz w:val="20"/>
            <w:szCs w:val="20"/>
            <w:lang w:val="en-US"/>
          </w:rPr>
          <w:t>here</w:t>
        </w:r>
      </w:hyperlink>
      <w:r w:rsidRPr="00043E1D">
        <w:rPr>
          <w:rFonts w:ascii="Garamond" w:hAnsi="Garamond"/>
          <w:sz w:val="20"/>
          <w:szCs w:val="20"/>
          <w:lang w:val="en-US"/>
        </w:rPr>
        <w:t>) reduced that to 10 years.</w:t>
      </w:r>
    </w:p>
  </w:footnote>
  <w:footnote w:id="61">
    <w:p w14:paraId="59F8D960" w14:textId="25DB7CE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The means-tests were administered by the Magistrate’s Court and the weekly amount decided was published in the local newspaper: see </w:t>
      </w:r>
      <w:r w:rsidRPr="00043E1D">
        <w:rPr>
          <w:rFonts w:ascii="Garamond" w:hAnsi="Garamond"/>
          <w:i/>
          <w:sz w:val="20"/>
          <w:szCs w:val="20"/>
          <w:lang w:val="en-US"/>
        </w:rPr>
        <w:t xml:space="preserve">Part of our pensions past: the 1898 Old Age Pension </w:t>
      </w:r>
      <w:r w:rsidRPr="00043E1D">
        <w:rPr>
          <w:rFonts w:ascii="Garamond" w:hAnsi="Garamond"/>
          <w:sz w:val="20"/>
          <w:szCs w:val="20"/>
          <w:lang w:val="en-US"/>
        </w:rPr>
        <w:t xml:space="preserve">(an RPRC </w:t>
      </w:r>
      <w:r w:rsidRPr="00043E1D">
        <w:rPr>
          <w:rFonts w:ascii="Garamond" w:hAnsi="Garamond"/>
          <w:i/>
          <w:sz w:val="20"/>
          <w:szCs w:val="20"/>
          <w:lang w:val="en-US"/>
        </w:rPr>
        <w:t>PensionBriefing</w:t>
      </w:r>
      <w:r w:rsidRPr="00043E1D">
        <w:rPr>
          <w:rFonts w:ascii="Garamond" w:hAnsi="Garamond"/>
          <w:sz w:val="20"/>
          <w:szCs w:val="20"/>
          <w:lang w:val="en-US"/>
        </w:rPr>
        <w:t xml:space="preserve"> of 2012, accessible </w:t>
      </w:r>
      <w:hyperlink r:id="rId52"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62">
    <w:p w14:paraId="09540B52" w14:textId="539FD04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December 201</w:t>
      </w:r>
      <w:r>
        <w:rPr>
          <w:rFonts w:ascii="Garamond" w:hAnsi="Garamond"/>
          <w:sz w:val="20"/>
          <w:szCs w:val="20"/>
        </w:rPr>
        <w:t>8</w:t>
      </w:r>
      <w:r w:rsidRPr="00043E1D">
        <w:rPr>
          <w:rFonts w:ascii="Garamond" w:hAnsi="Garamond"/>
          <w:sz w:val="20"/>
          <w:szCs w:val="20"/>
        </w:rPr>
        <w:t xml:space="preserve"> national average wage was used to set the 1 April 201</w:t>
      </w:r>
      <w:r>
        <w:rPr>
          <w:rFonts w:ascii="Garamond" w:hAnsi="Garamond"/>
          <w:sz w:val="20"/>
          <w:szCs w:val="20"/>
        </w:rPr>
        <w:t>9</w:t>
      </w:r>
      <w:r w:rsidRPr="00043E1D">
        <w:rPr>
          <w:rFonts w:ascii="Garamond" w:hAnsi="Garamond"/>
          <w:sz w:val="20"/>
          <w:szCs w:val="20"/>
        </w:rPr>
        <w:t xml:space="preserve"> NZS rates.</w:t>
      </w:r>
    </w:p>
  </w:footnote>
  <w:footnote w:id="63">
    <w:p w14:paraId="7843052E" w14:textId="5E0793BD"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pre-tax, annual NZS for a single person, living alone is $</w:t>
      </w:r>
      <w:r>
        <w:rPr>
          <w:rFonts w:ascii="Garamond" w:hAnsi="Garamond"/>
          <w:sz w:val="20"/>
          <w:szCs w:val="20"/>
        </w:rPr>
        <w:t>24,725</w:t>
      </w:r>
      <w:r w:rsidRPr="00043E1D">
        <w:rPr>
          <w:rFonts w:ascii="Garamond" w:hAnsi="Garamond"/>
          <w:sz w:val="20"/>
          <w:szCs w:val="20"/>
        </w:rPr>
        <w:t xml:space="preserve"> a year; $</w:t>
      </w:r>
      <w:r>
        <w:rPr>
          <w:rFonts w:ascii="Garamond" w:hAnsi="Garamond"/>
          <w:sz w:val="20"/>
          <w:szCs w:val="20"/>
        </w:rPr>
        <w:t>475.48</w:t>
      </w:r>
      <w:r w:rsidRPr="00043E1D">
        <w:rPr>
          <w:rFonts w:ascii="Garamond" w:hAnsi="Garamond"/>
          <w:sz w:val="20"/>
          <w:szCs w:val="20"/>
        </w:rPr>
        <w:t xml:space="preserve"> a week (201</w:t>
      </w:r>
      <w:r>
        <w:rPr>
          <w:rFonts w:ascii="Garamond" w:hAnsi="Garamond"/>
          <w:sz w:val="20"/>
          <w:szCs w:val="20"/>
        </w:rPr>
        <w:t>9</w:t>
      </w:r>
      <w:r w:rsidRPr="00043E1D">
        <w:rPr>
          <w:rFonts w:ascii="Garamond" w:hAnsi="Garamond"/>
          <w:sz w:val="20"/>
          <w:szCs w:val="20"/>
        </w:rPr>
        <w:t xml:space="preserve">) – see </w:t>
      </w:r>
      <w:hyperlink r:id="rId53" w:history="1">
        <w:r w:rsidRPr="00043E1D">
          <w:rPr>
            <w:rStyle w:val="Hyperlink"/>
            <w:rFonts w:ascii="Garamond" w:hAnsi="Garamond"/>
            <w:sz w:val="20"/>
            <w:szCs w:val="20"/>
          </w:rPr>
          <w:t>here</w:t>
        </w:r>
      </w:hyperlink>
      <w:r w:rsidRPr="00043E1D">
        <w:rPr>
          <w:rFonts w:ascii="Garamond" w:hAnsi="Garamond"/>
          <w:sz w:val="20"/>
          <w:szCs w:val="20"/>
        </w:rPr>
        <w:t>.</w:t>
      </w:r>
    </w:p>
  </w:footnote>
  <w:footnote w:id="64">
    <w:p w14:paraId="3E2A9EFC" w14:textId="02D1090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w:t>
      </w:r>
      <w:r>
        <w:rPr>
          <w:rFonts w:ascii="Garamond" w:hAnsi="Garamond"/>
          <w:sz w:val="20"/>
          <w:szCs w:val="20"/>
        </w:rPr>
        <w:t xml:space="preserve">range </w:t>
      </w:r>
      <w:r w:rsidRPr="00043E1D">
        <w:rPr>
          <w:rFonts w:ascii="Garamond" w:hAnsi="Garamond"/>
          <w:sz w:val="20"/>
          <w:szCs w:val="20"/>
        </w:rPr>
        <w:t xml:space="preserve">is now in section 16(1)(a) of the New Zealand Superannuation and Retirement Income Act 2001 (the Act), accessible </w:t>
      </w:r>
      <w:hyperlink r:id="rId54" w:history="1">
        <w:r w:rsidRPr="00043E1D">
          <w:rPr>
            <w:rStyle w:val="Hyperlink"/>
            <w:rFonts w:ascii="Garamond" w:hAnsi="Garamond"/>
            <w:sz w:val="20"/>
            <w:szCs w:val="20"/>
          </w:rPr>
          <w:t>here</w:t>
        </w:r>
      </w:hyperlink>
      <w:r w:rsidRPr="00043E1D">
        <w:rPr>
          <w:rFonts w:ascii="Garamond" w:hAnsi="Garamond"/>
          <w:sz w:val="20"/>
          <w:szCs w:val="20"/>
        </w:rPr>
        <w:t>.</w:t>
      </w:r>
    </w:p>
  </w:footnote>
  <w:footnote w:id="65">
    <w:p w14:paraId="04220B55" w14:textId="4AC5374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Given that KiwiSaver cost taxpayers $</w:t>
      </w:r>
      <w:r>
        <w:rPr>
          <w:rFonts w:ascii="Garamond" w:hAnsi="Garamond"/>
          <w:sz w:val="20"/>
          <w:szCs w:val="20"/>
        </w:rPr>
        <w:t>897</w:t>
      </w:r>
      <w:r w:rsidRPr="00043E1D">
        <w:rPr>
          <w:rFonts w:ascii="Garamond" w:hAnsi="Garamond"/>
          <w:sz w:val="20"/>
          <w:szCs w:val="20"/>
        </w:rPr>
        <w:t xml:space="preserve"> million for the year ended 30 June 201</w:t>
      </w:r>
      <w:r>
        <w:rPr>
          <w:rFonts w:ascii="Garamond" w:hAnsi="Garamond"/>
          <w:sz w:val="20"/>
          <w:szCs w:val="20"/>
        </w:rPr>
        <w:t>8</w:t>
      </w:r>
      <w:r w:rsidRPr="00043E1D">
        <w:rPr>
          <w:rFonts w:ascii="Garamond" w:hAnsi="Garamond"/>
          <w:sz w:val="20"/>
          <w:szCs w:val="20"/>
        </w:rPr>
        <w:t xml:space="preserve"> (The Treasury,</w:t>
      </w:r>
      <w:r>
        <w:rPr>
          <w:rFonts w:ascii="Garamond" w:hAnsi="Garamond"/>
          <w:i/>
          <w:sz w:val="20"/>
          <w:szCs w:val="20"/>
        </w:rPr>
        <w:t xml:space="preserve"> Financial Statements of the Government of New Zealand for the year ended 30 June 2018</w:t>
      </w:r>
      <w:r>
        <w:rPr>
          <w:rFonts w:ascii="Garamond" w:hAnsi="Garamond"/>
          <w:sz w:val="20"/>
          <w:szCs w:val="20"/>
        </w:rPr>
        <w:t xml:space="preserve"> accessible </w:t>
      </w:r>
      <w:hyperlink r:id="rId55" w:history="1">
        <w:r w:rsidRPr="00095C94">
          <w:rPr>
            <w:rStyle w:val="Hyperlink"/>
            <w:rFonts w:ascii="Garamond" w:hAnsi="Garamond"/>
            <w:sz w:val="20"/>
            <w:szCs w:val="20"/>
          </w:rPr>
          <w:t>here</w:t>
        </w:r>
      </w:hyperlink>
      <w:r w:rsidRPr="00043E1D">
        <w:rPr>
          <w:rFonts w:ascii="Garamond" w:hAnsi="Garamond"/>
          <w:sz w:val="20"/>
          <w:szCs w:val="20"/>
        </w:rPr>
        <w:t xml:space="preserve">), the expected benefits members will receive </w:t>
      </w:r>
      <w:r>
        <w:rPr>
          <w:rFonts w:ascii="Garamond" w:hAnsi="Garamond"/>
          <w:sz w:val="20"/>
          <w:szCs w:val="20"/>
        </w:rPr>
        <w:t xml:space="preserve">from KiwiSaver </w:t>
      </w:r>
      <w:r w:rsidRPr="00043E1D">
        <w:rPr>
          <w:rFonts w:ascii="Garamond" w:hAnsi="Garamond"/>
          <w:sz w:val="20"/>
          <w:szCs w:val="20"/>
        </w:rPr>
        <w:t xml:space="preserve">at the </w:t>
      </w:r>
      <w:r>
        <w:rPr>
          <w:rFonts w:ascii="Garamond" w:hAnsi="Garamond"/>
          <w:sz w:val="20"/>
          <w:szCs w:val="20"/>
        </w:rPr>
        <w:t xml:space="preserve">state </w:t>
      </w:r>
      <w:r w:rsidRPr="00043E1D">
        <w:rPr>
          <w:rFonts w:ascii="Garamond" w:hAnsi="Garamond"/>
          <w:sz w:val="20"/>
          <w:szCs w:val="20"/>
        </w:rPr>
        <w:t>pension age could form part of the discussion about the size of NZS itself.</w:t>
      </w:r>
      <w:r>
        <w:rPr>
          <w:rFonts w:ascii="Garamond" w:hAnsi="Garamond"/>
          <w:sz w:val="20"/>
          <w:szCs w:val="20"/>
        </w:rPr>
        <w:t xml:space="preserve">  As KiwiSaver is voluntary, that discussion will become complicated.</w:t>
      </w:r>
    </w:p>
  </w:footnote>
  <w:footnote w:id="66">
    <w:p w14:paraId="347BEFF7" w14:textId="25F2BDD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Retirement Commissioner’s 2013 </w:t>
      </w:r>
      <w:r w:rsidRPr="00043E1D">
        <w:rPr>
          <w:rFonts w:ascii="Garamond" w:hAnsi="Garamond"/>
          <w:i/>
          <w:sz w:val="20"/>
          <w:szCs w:val="20"/>
        </w:rPr>
        <w:t>Review</w:t>
      </w:r>
      <w:r w:rsidRPr="00043E1D">
        <w:rPr>
          <w:rFonts w:ascii="Garamond" w:hAnsi="Garamond"/>
          <w:sz w:val="20"/>
          <w:szCs w:val="20"/>
        </w:rPr>
        <w:t xml:space="preserve"> </w:t>
      </w:r>
      <w:r w:rsidRPr="00043E1D">
        <w:rPr>
          <w:rFonts w:ascii="Garamond" w:hAnsi="Garamond"/>
          <w:i/>
          <w:sz w:val="20"/>
          <w:szCs w:val="20"/>
        </w:rPr>
        <w:t xml:space="preserve">of Retirement Income Policies </w:t>
      </w:r>
      <w:r w:rsidRPr="00043E1D">
        <w:rPr>
          <w:rFonts w:ascii="Garamond" w:hAnsi="Garamond"/>
          <w:sz w:val="20"/>
          <w:szCs w:val="20"/>
        </w:rPr>
        <w:t xml:space="preserve">(accessible </w:t>
      </w:r>
      <w:hyperlink r:id="rId56" w:history="1">
        <w:r w:rsidRPr="00043E1D">
          <w:rPr>
            <w:rStyle w:val="Hyperlink"/>
            <w:rFonts w:ascii="Garamond" w:hAnsi="Garamond"/>
            <w:sz w:val="20"/>
            <w:szCs w:val="20"/>
          </w:rPr>
          <w:t>here</w:t>
        </w:r>
      </w:hyperlink>
      <w:r w:rsidRPr="00043E1D">
        <w:rPr>
          <w:rFonts w:ascii="Garamond" w:hAnsi="Garamond"/>
          <w:sz w:val="20"/>
          <w:szCs w:val="20"/>
        </w:rPr>
        <w:t xml:space="preserve">) recommended that the Treasury develop a model “…that will show the likely impacts on living standards among older New Zealanders of a new method of indexation of NZS, based on the average of percentage change in consumer prices and earnings but no less than price inflation in any year.” (at page 48).  Adopting that would mean a long-term reduction in the real value of NZS.  There was no sign of that suggestion or of any results in the </w:t>
      </w:r>
      <w:r>
        <w:rPr>
          <w:rFonts w:ascii="Garamond" w:hAnsi="Garamond"/>
          <w:sz w:val="20"/>
          <w:szCs w:val="20"/>
        </w:rPr>
        <w:t xml:space="preserve">Retirement Commissioner’s </w:t>
      </w:r>
      <w:r w:rsidRPr="00043E1D">
        <w:rPr>
          <w:rFonts w:ascii="Garamond" w:hAnsi="Garamond"/>
          <w:sz w:val="20"/>
          <w:szCs w:val="20"/>
        </w:rPr>
        <w:t>2016 report.</w:t>
      </w:r>
    </w:p>
  </w:footnote>
  <w:footnote w:id="67">
    <w:p w14:paraId="5ED8F5D2" w14:textId="0AE59467"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Statistics New Zealand has started publishing price movements as they affect 13 different household groups, including superannuitants – see </w:t>
      </w:r>
      <w:r w:rsidRPr="00043E1D">
        <w:rPr>
          <w:rFonts w:ascii="Garamond" w:hAnsi="Garamond"/>
          <w:i/>
          <w:sz w:val="20"/>
          <w:szCs w:val="20"/>
        </w:rPr>
        <w:t>Household living-costs price indexes: Background</w:t>
      </w:r>
      <w:r w:rsidRPr="00043E1D">
        <w:rPr>
          <w:rFonts w:ascii="Garamond" w:hAnsi="Garamond"/>
          <w:sz w:val="20"/>
          <w:szCs w:val="20"/>
        </w:rPr>
        <w:t xml:space="preserve">, 2016 accessible </w:t>
      </w:r>
      <w:hyperlink r:id="rId57" w:history="1">
        <w:r w:rsidRPr="00043E1D">
          <w:rPr>
            <w:rStyle w:val="Hyperlink"/>
            <w:rFonts w:ascii="Garamond" w:hAnsi="Garamond"/>
            <w:sz w:val="20"/>
            <w:szCs w:val="20"/>
          </w:rPr>
          <w:t>here</w:t>
        </w:r>
      </w:hyperlink>
      <w:r w:rsidRPr="00043E1D">
        <w:rPr>
          <w:rFonts w:ascii="Garamond" w:hAnsi="Garamond"/>
          <w:sz w:val="20"/>
          <w:szCs w:val="20"/>
        </w:rPr>
        <w:t>.  This analyses the impact that price rises have on the different groups, based on their spending patterns.  Applying these retrospectively, they show that superannuitants as a group had inflation of about 0.7% p.a. more than the ‘all households’ group over the period June 2008 to September 2015.</w:t>
      </w:r>
    </w:p>
  </w:footnote>
  <w:footnote w:id="68">
    <w:p w14:paraId="09DBA52D" w14:textId="78836AFE"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Treasury estimates that, by 2060, capital withdrawals from the NZSF will be only </w:t>
      </w:r>
      <w:r>
        <w:rPr>
          <w:rFonts w:ascii="Garamond" w:hAnsi="Garamond"/>
          <w:sz w:val="20"/>
          <w:szCs w:val="20"/>
        </w:rPr>
        <w:t>7.1</w:t>
      </w:r>
      <w:r w:rsidRPr="00043E1D">
        <w:rPr>
          <w:rFonts w:ascii="Garamond" w:hAnsi="Garamond"/>
          <w:sz w:val="20"/>
          <w:szCs w:val="20"/>
        </w:rPr>
        <w:t xml:space="preserve">% of the net annual outlay on NZS in 2060 (The Treasury’s </w:t>
      </w:r>
      <w:r>
        <w:rPr>
          <w:rFonts w:ascii="Garamond" w:hAnsi="Garamond"/>
          <w:i/>
          <w:sz w:val="20"/>
          <w:szCs w:val="20"/>
        </w:rPr>
        <w:t xml:space="preserve">New Zealand Superannuation </w:t>
      </w:r>
      <w:r w:rsidRPr="00043E1D">
        <w:rPr>
          <w:rFonts w:ascii="Garamond" w:hAnsi="Garamond"/>
          <w:i/>
          <w:sz w:val="20"/>
          <w:szCs w:val="20"/>
        </w:rPr>
        <w:t xml:space="preserve"> Contribution Rate Model</w:t>
      </w:r>
      <w:r>
        <w:rPr>
          <w:rFonts w:ascii="Garamond" w:hAnsi="Garamond"/>
          <w:i/>
          <w:sz w:val="20"/>
          <w:szCs w:val="20"/>
        </w:rPr>
        <w:t xml:space="preserve"> HYEFU</w:t>
      </w:r>
      <w:r w:rsidRPr="00043E1D">
        <w:rPr>
          <w:rFonts w:ascii="Garamond" w:hAnsi="Garamond"/>
          <w:sz w:val="20"/>
          <w:szCs w:val="20"/>
        </w:rPr>
        <w:t xml:space="preserve">, accessible </w:t>
      </w:r>
      <w:hyperlink r:id="rId58" w:history="1">
        <w:r w:rsidRPr="00043E1D">
          <w:rPr>
            <w:rStyle w:val="Hyperlink"/>
            <w:rFonts w:ascii="Garamond" w:hAnsi="Garamond"/>
            <w:sz w:val="20"/>
            <w:szCs w:val="20"/>
          </w:rPr>
          <w:t>here</w:t>
        </w:r>
      </w:hyperlink>
      <w:r w:rsidRPr="00043E1D">
        <w:rPr>
          <w:rFonts w:ascii="Garamond" w:hAnsi="Garamond"/>
          <w:sz w:val="20"/>
          <w:szCs w:val="20"/>
        </w:rPr>
        <w:t>).</w:t>
      </w:r>
    </w:p>
  </w:footnote>
  <w:footnote w:id="69">
    <w:p w14:paraId="49B5871A" w14:textId="1E9F509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for example, </w:t>
      </w:r>
      <w:r w:rsidRPr="00043E1D">
        <w:rPr>
          <w:rFonts w:ascii="Garamond" w:hAnsi="Garamond"/>
          <w:i/>
          <w:sz w:val="20"/>
          <w:szCs w:val="20"/>
        </w:rPr>
        <w:t>To Save or Save Not: Intergenerational Neutrality and the Expansion of New Zealand Superannuation</w:t>
      </w:r>
      <w:r w:rsidRPr="00043E1D">
        <w:rPr>
          <w:rFonts w:ascii="Garamond" w:hAnsi="Garamond"/>
          <w:sz w:val="20"/>
          <w:szCs w:val="20"/>
        </w:rPr>
        <w:t xml:space="preserve">, Andrew Coleman (2014) accessible </w:t>
      </w:r>
      <w:hyperlink r:id="rId59" w:history="1">
        <w:r w:rsidRPr="00043E1D">
          <w:rPr>
            <w:rStyle w:val="Hyperlink"/>
            <w:rFonts w:ascii="Garamond" w:hAnsi="Garamond"/>
            <w:sz w:val="20"/>
            <w:szCs w:val="20"/>
          </w:rPr>
          <w:t>here</w:t>
        </w:r>
      </w:hyperlink>
      <w:r w:rsidRPr="00043E1D">
        <w:rPr>
          <w:rFonts w:ascii="Garamond" w:hAnsi="Garamond"/>
          <w:sz w:val="20"/>
          <w:szCs w:val="20"/>
        </w:rPr>
        <w:t>.</w:t>
      </w:r>
    </w:p>
  </w:footnote>
  <w:footnote w:id="70">
    <w:p w14:paraId="15AABF17" w14:textId="03C34AF9"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For example, see </w:t>
      </w:r>
      <w:r>
        <w:rPr>
          <w:rFonts w:ascii="Garamond" w:hAnsi="Garamond"/>
          <w:i/>
          <w:sz w:val="20"/>
          <w:szCs w:val="20"/>
        </w:rPr>
        <w:t>Embracing a Super Model – The superannuation sky is not falling</w:t>
      </w:r>
      <w:r>
        <w:rPr>
          <w:rFonts w:ascii="Garamond" w:hAnsi="Garamond"/>
          <w:sz w:val="20"/>
          <w:szCs w:val="20"/>
        </w:rPr>
        <w:t xml:space="preserve">, Jenesa Jeram, The New Zealand Initiative, 2018 (accessible </w:t>
      </w:r>
      <w:hyperlink r:id="rId60" w:history="1">
        <w:r w:rsidRPr="009813F7">
          <w:rPr>
            <w:rStyle w:val="Hyperlink"/>
            <w:rFonts w:ascii="Garamond" w:hAnsi="Garamond"/>
            <w:sz w:val="20"/>
            <w:szCs w:val="20"/>
          </w:rPr>
          <w:t>here</w:t>
        </w:r>
      </w:hyperlink>
      <w:r>
        <w:rPr>
          <w:rFonts w:ascii="Garamond" w:hAnsi="Garamond"/>
          <w:sz w:val="20"/>
          <w:szCs w:val="20"/>
        </w:rPr>
        <w:t>) at pp59-62.</w:t>
      </w:r>
    </w:p>
  </w:footnote>
  <w:footnote w:id="71">
    <w:p w14:paraId="28B62ADB" w14:textId="77777777" w:rsidR="00CD6F06" w:rsidRPr="00C046EA" w:rsidRDefault="00CD6F06" w:rsidP="00800503">
      <w:pPr>
        <w:pStyle w:val="FootnoteText"/>
        <w:jc w:val="both"/>
        <w:rPr>
          <w:rFonts w:ascii="Garamond" w:hAnsi="Garamond"/>
          <w:sz w:val="20"/>
          <w:szCs w:val="20"/>
          <w:lang w:val="en-US"/>
        </w:rPr>
      </w:pPr>
      <w:r w:rsidRPr="00C046EA">
        <w:rPr>
          <w:rStyle w:val="FootnoteReference"/>
          <w:rFonts w:ascii="Garamond" w:hAnsi="Garamond"/>
          <w:sz w:val="20"/>
          <w:szCs w:val="20"/>
        </w:rPr>
        <w:footnoteRef/>
      </w:r>
      <w:r w:rsidRPr="00C046EA">
        <w:rPr>
          <w:rFonts w:ascii="Garamond" w:hAnsi="Garamond"/>
          <w:sz w:val="20"/>
          <w:szCs w:val="20"/>
        </w:rPr>
        <w:t xml:space="preserve"> </w:t>
      </w:r>
      <w:r w:rsidRPr="00C046EA">
        <w:rPr>
          <w:rFonts w:ascii="Garamond" w:hAnsi="Garamond"/>
          <w:i/>
          <w:sz w:val="20"/>
          <w:szCs w:val="20"/>
        </w:rPr>
        <w:t>2019 Wellbeing Budget – changes for superannuitants</w:t>
      </w:r>
      <w:r w:rsidRPr="00C046EA">
        <w:rPr>
          <w:rFonts w:ascii="Garamond" w:hAnsi="Garamond"/>
          <w:sz w:val="20"/>
          <w:szCs w:val="20"/>
        </w:rPr>
        <w:t xml:space="preserve">, 30 May 2019 accessible </w:t>
      </w:r>
      <w:hyperlink r:id="rId61" w:anchor="null" w:history="1">
        <w:r w:rsidRPr="00C046EA">
          <w:rPr>
            <w:rStyle w:val="Hyperlink"/>
            <w:rFonts w:ascii="Garamond" w:hAnsi="Garamond"/>
            <w:sz w:val="20"/>
            <w:szCs w:val="20"/>
          </w:rPr>
          <w:t>here</w:t>
        </w:r>
      </w:hyperlink>
      <w:r w:rsidRPr="00C046EA">
        <w:rPr>
          <w:rFonts w:ascii="Garamond" w:hAnsi="Garamond"/>
          <w:sz w:val="20"/>
          <w:szCs w:val="20"/>
        </w:rPr>
        <w:t>.</w:t>
      </w:r>
    </w:p>
  </w:footnote>
  <w:footnote w:id="72">
    <w:p w14:paraId="291970EE" w14:textId="15CF5F2B" w:rsidR="00CD6F06" w:rsidRPr="00043E1D" w:rsidRDefault="00CD6F06">
      <w:pPr>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And the extension from 26 to 156 weeks applies only if the Ministry’s Chief Executive is satisfied that the applicant “</w:t>
      </w:r>
      <w:r w:rsidRPr="00043E1D">
        <w:rPr>
          <w:rFonts w:ascii="Garamond" w:hAnsi="Garamond"/>
          <w:color w:val="000000"/>
          <w:sz w:val="20"/>
          <w:szCs w:val="20"/>
          <w:shd w:val="clear" w:color="auto" w:fill="FFFFFF"/>
        </w:rPr>
        <w:t>has not deprived another person of paid employment to engage the person to do that work on an unpaid basis”.  It will be interesting to know how the Chief Executive might arrive at such a conclusion and, indeed, whether the test in section 26(1)(c)(ii) has ever been applied.  If it hasn’t, this particular test should go.</w:t>
      </w:r>
    </w:p>
  </w:footnote>
  <w:footnote w:id="73">
    <w:p w14:paraId="500E2504" w14:textId="315399D0"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countries included in the list of “specified Pacific countries” (Schedule 2 of the Act) are a curious mixture.  Some have long-standing relationships with New Zealand (Cook Islands, Nauru, Niue, Samoa, Tokelau and Tonga).  For these, the payment of NZS might be considered as part of our aid programmes.  However, why does the list extend to American Samoa, French Polynesia, Guam, Marshall Islands, Palau, New Caledonia, Northern Mariana Islands, Pitcairn Island and Wallace and Futuna?  All of these are either colonies of or have political ties to other countries (US, UK and France).  The case is even more curious for the US and French colonies given that New Zealand does not have social security reciprocity agreements with either country.  There is no obvious reason to include the other seven countries (Federated States of Micronesia, Fiji, Kiribati, Papua New Guinea, Solomon Islands, Tuvalu and Vanuatu) other than they are all in the Pacific.</w:t>
      </w:r>
    </w:p>
  </w:footnote>
  <w:footnote w:id="74">
    <w:p w14:paraId="3EEC3E33" w14:textId="33AE422F"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Overall, New Zealand is doing these things generally ‘well’.  That is reflected in ‘material deprivation rates’ that, for over-65s are amongst the lowest of all social groups within New Zealand.  They also compare very favourably in comparisons over over-65s compared with 27 EU and two other European countries – see </w:t>
      </w:r>
      <w:r w:rsidRPr="00043E1D">
        <w:rPr>
          <w:rFonts w:ascii="Garamond" w:hAnsi="Garamond"/>
          <w:i/>
          <w:sz w:val="20"/>
          <w:szCs w:val="20"/>
        </w:rPr>
        <w:t>The material wellbeing of New Zealand households: trends and relativities using non-income measures, with international comparisons</w:t>
      </w:r>
      <w:r w:rsidRPr="00043E1D">
        <w:rPr>
          <w:rFonts w:ascii="Garamond" w:hAnsi="Garamond"/>
          <w:sz w:val="20"/>
          <w:szCs w:val="20"/>
        </w:rPr>
        <w:t xml:space="preserve">, Bryan Perry (Ministry of Social Development) 2016, accessible </w:t>
      </w:r>
      <w:hyperlink r:id="rId62" w:history="1">
        <w:r w:rsidRPr="00043E1D">
          <w:rPr>
            <w:rStyle w:val="Hyperlink"/>
            <w:rFonts w:ascii="Garamond" w:hAnsi="Garamond"/>
            <w:sz w:val="20"/>
            <w:szCs w:val="20"/>
          </w:rPr>
          <w:t>here</w:t>
        </w:r>
      </w:hyperlink>
      <w:r w:rsidRPr="00043E1D">
        <w:rPr>
          <w:rFonts w:ascii="Garamond" w:hAnsi="Garamond"/>
          <w:sz w:val="20"/>
          <w:szCs w:val="20"/>
        </w:rPr>
        <w:t>, at page 19.</w:t>
      </w:r>
      <w:r>
        <w:rPr>
          <w:rFonts w:ascii="Garamond" w:hAnsi="Garamond"/>
          <w:sz w:val="20"/>
          <w:szCs w:val="20"/>
        </w:rPr>
        <w:t xml:space="preserve">  As explained in this section, our current overall performance is no justification for allowing things to continue as they are.</w:t>
      </w:r>
    </w:p>
  </w:footnote>
  <w:footnote w:id="75">
    <w:p w14:paraId="0509AF4B" w14:textId="6C798BD9" w:rsidR="00CD6F06" w:rsidRPr="00D15C6A" w:rsidRDefault="00CD6F06">
      <w:pPr>
        <w:pStyle w:val="FootnoteText"/>
        <w:jc w:val="both"/>
        <w:rPr>
          <w:rFonts w:ascii="Garamond" w:hAnsi="Garamond"/>
          <w:sz w:val="20"/>
          <w:szCs w:val="20"/>
          <w:lang w:val="en-US"/>
        </w:rPr>
      </w:pPr>
      <w:r w:rsidRPr="00F66CFF">
        <w:rPr>
          <w:rStyle w:val="FootnoteReference"/>
          <w:rFonts w:ascii="Garamond" w:hAnsi="Garamond"/>
          <w:sz w:val="20"/>
          <w:szCs w:val="20"/>
        </w:rPr>
        <w:footnoteRef/>
      </w:r>
      <w:r w:rsidRPr="00F66CFF">
        <w:rPr>
          <w:rFonts w:ascii="Garamond" w:hAnsi="Garamond"/>
          <w:sz w:val="20"/>
          <w:szCs w:val="20"/>
        </w:rPr>
        <w:t xml:space="preserve"> The total cost of the Accommodation Supplement for the year ended 30 June 2018, at all ages, was$1.20 billion.  We could not find out how much of that related to ‘retired’ people but we understand that about 42,000 superannuitants (5.4%) receive the Supplement.  In 2004, 3.6% of superannuitants received the Supplement.  In addition, another 14,200 superannuitants currently receive the income-related rent subsidy.  Most of those live in state houses/flats but others will live in local authority housing (data from presentation by Alex McKenzie, Principal Analyst, Ministry of Social Development at the RPRC’s ‘Summit’ on 26 April 2019</w:t>
      </w:r>
      <w:r w:rsidRPr="00891E0F">
        <w:rPr>
          <w:rFonts w:ascii="Garamond" w:hAnsi="Garamond"/>
          <w:sz w:val="20"/>
          <w:szCs w:val="20"/>
        </w:rPr>
        <w:t>)</w:t>
      </w:r>
      <w:r w:rsidRPr="00F66CFF">
        <w:rPr>
          <w:rFonts w:ascii="Garamond" w:hAnsi="Garamond"/>
          <w:sz w:val="20"/>
          <w:szCs w:val="20"/>
        </w:rPr>
        <w:t>.</w:t>
      </w:r>
    </w:p>
  </w:footnote>
  <w:footnote w:id="76">
    <w:p w14:paraId="3C45554B" w14:textId="1E8A98D2"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sidRPr="00043E1D">
        <w:rPr>
          <w:rFonts w:ascii="Garamond" w:hAnsi="Garamond"/>
          <w:sz w:val="20"/>
          <w:szCs w:val="20"/>
        </w:rPr>
        <w:t xml:space="preserve">The Treasury’s </w:t>
      </w:r>
      <w:r>
        <w:rPr>
          <w:rFonts w:ascii="Garamond" w:hAnsi="Garamond"/>
          <w:i/>
          <w:sz w:val="20"/>
          <w:szCs w:val="20"/>
        </w:rPr>
        <w:t xml:space="preserve">New Zealand Superannuation </w:t>
      </w:r>
      <w:r w:rsidRPr="00043E1D">
        <w:rPr>
          <w:rFonts w:ascii="Garamond" w:hAnsi="Garamond"/>
          <w:i/>
          <w:sz w:val="20"/>
          <w:szCs w:val="20"/>
        </w:rPr>
        <w:t>Contribution Rate Model</w:t>
      </w:r>
      <w:r>
        <w:rPr>
          <w:rFonts w:ascii="Garamond" w:hAnsi="Garamond"/>
          <w:i/>
          <w:sz w:val="20"/>
          <w:szCs w:val="20"/>
        </w:rPr>
        <w:t xml:space="preserve"> HYEFU 2018</w:t>
      </w:r>
      <w:r w:rsidRPr="00043E1D">
        <w:rPr>
          <w:rFonts w:ascii="Garamond" w:hAnsi="Garamond"/>
          <w:sz w:val="20"/>
          <w:szCs w:val="20"/>
        </w:rPr>
        <w:t xml:space="preserve">, accessible </w:t>
      </w:r>
      <w:hyperlink r:id="rId63" w:history="1">
        <w:r w:rsidRPr="00043E1D">
          <w:rPr>
            <w:rStyle w:val="Hyperlink"/>
            <w:rFonts w:ascii="Garamond" w:hAnsi="Garamond"/>
            <w:sz w:val="20"/>
            <w:szCs w:val="20"/>
          </w:rPr>
          <w:t>here</w:t>
        </w:r>
      </w:hyperlink>
      <w:r>
        <w:rPr>
          <w:rStyle w:val="Hyperlink"/>
          <w:rFonts w:ascii="Garamond" w:hAnsi="Garamond"/>
          <w:sz w:val="20"/>
          <w:szCs w:val="20"/>
        </w:rPr>
        <w:t>.</w:t>
      </w:r>
    </w:p>
  </w:footnote>
  <w:footnote w:id="77">
    <w:p w14:paraId="2F134A2F" w14:textId="461A5424" w:rsidR="00CD6F06" w:rsidRPr="00701CA1" w:rsidRDefault="00CD6F06" w:rsidP="00701CA1">
      <w:pPr>
        <w:jc w:val="both"/>
        <w:rPr>
          <w:rFonts w:ascii="Garamond" w:hAnsi="Garamond"/>
          <w:sz w:val="20"/>
          <w:szCs w:val="20"/>
        </w:rPr>
      </w:pPr>
      <w:r w:rsidRPr="00701CA1">
        <w:rPr>
          <w:rStyle w:val="FootnoteReference"/>
          <w:rFonts w:ascii="Garamond" w:hAnsi="Garamond"/>
          <w:sz w:val="20"/>
          <w:szCs w:val="20"/>
        </w:rPr>
        <w:footnoteRef/>
      </w:r>
      <w:r w:rsidRPr="00701CA1">
        <w:rPr>
          <w:rFonts w:ascii="Garamond" w:hAnsi="Garamond"/>
          <w:sz w:val="20"/>
          <w:szCs w:val="20"/>
        </w:rPr>
        <w:t xml:space="preserve"> The Retirement Commissioner also recommended that the NZSF cease paying tax on its investment income “…while contributions are also suspended.” (</w:t>
      </w:r>
      <w:r w:rsidRPr="00701CA1">
        <w:rPr>
          <w:rFonts w:ascii="Garamond" w:hAnsi="Garamond"/>
          <w:i/>
          <w:sz w:val="20"/>
          <w:szCs w:val="20"/>
        </w:rPr>
        <w:t>2016 Review of Retirement Income Policies</w:t>
      </w:r>
      <w:r w:rsidRPr="00701CA1">
        <w:rPr>
          <w:rFonts w:ascii="Garamond" w:hAnsi="Garamond"/>
          <w:sz w:val="20"/>
          <w:szCs w:val="20"/>
        </w:rPr>
        <w:t xml:space="preserve"> </w:t>
      </w:r>
      <w:hyperlink r:id="rId64" w:history="1">
        <w:r w:rsidRPr="00701CA1">
          <w:rPr>
            <w:rStyle w:val="Hyperlink"/>
            <w:rFonts w:ascii="Garamond" w:hAnsi="Garamond"/>
            <w:sz w:val="20"/>
            <w:szCs w:val="20"/>
            <w:lang w:val="en-US"/>
          </w:rPr>
          <w:t>here</w:t>
        </w:r>
      </w:hyperlink>
      <w:r w:rsidRPr="00701CA1">
        <w:rPr>
          <w:rFonts w:ascii="Garamond" w:hAnsi="Garamond"/>
          <w:sz w:val="20"/>
          <w:szCs w:val="20"/>
        </w:rPr>
        <w:t xml:space="preserve"> at page 20.   This is probably the worst reason to allow the NZSF to be tax-free and ignores the institutional effect of creating a tax-exempt investor, New Zealand’s largest investor, in New Zealand’s financial markets.  We strongly disagree with this unsupported, throwaway recommendation (also made in the </w:t>
      </w:r>
      <w:r w:rsidRPr="00701CA1">
        <w:rPr>
          <w:rFonts w:ascii="Garamond" w:hAnsi="Garamond"/>
          <w:i/>
          <w:sz w:val="20"/>
          <w:szCs w:val="20"/>
        </w:rPr>
        <w:t xml:space="preserve">2013 Review of Retirement Incomes </w:t>
      </w:r>
      <w:hyperlink r:id="rId65" w:history="1">
        <w:r w:rsidRPr="00701CA1">
          <w:rPr>
            <w:rStyle w:val="Hyperlink"/>
            <w:rFonts w:ascii="Garamond" w:hAnsi="Garamond"/>
            <w:sz w:val="20"/>
            <w:szCs w:val="20"/>
          </w:rPr>
          <w:t>here</w:t>
        </w:r>
      </w:hyperlink>
      <w:r w:rsidRPr="00701CA1">
        <w:rPr>
          <w:rFonts w:ascii="Garamond" w:hAnsi="Garamond"/>
          <w:sz w:val="20"/>
          <w:szCs w:val="20"/>
        </w:rPr>
        <w:t xml:space="preserve"> at page 56).  The last government, in its response to that recommendation of 7 June 2017 (accessible </w:t>
      </w:r>
      <w:hyperlink r:id="rId66" w:history="1">
        <w:r w:rsidRPr="00701CA1">
          <w:rPr>
            <w:rStyle w:val="Hyperlink"/>
            <w:rFonts w:ascii="Garamond" w:hAnsi="Garamond"/>
            <w:sz w:val="20"/>
            <w:szCs w:val="20"/>
          </w:rPr>
          <w:t>here</w:t>
        </w:r>
      </w:hyperlink>
      <w:r w:rsidRPr="00701CA1">
        <w:rPr>
          <w:rFonts w:ascii="Garamond" w:hAnsi="Garamond"/>
          <w:sz w:val="20"/>
          <w:szCs w:val="20"/>
        </w:rPr>
        <w:t xml:space="preserve">) said “…the Government is still of the position that taxing the New Zealand Superannuation Fund investment returns provides better investment signals for those managing the Fund.”  We agree.  </w:t>
      </w:r>
      <w:r>
        <w:rPr>
          <w:rFonts w:ascii="Garamond" w:hAnsi="Garamond"/>
          <w:sz w:val="20"/>
          <w:szCs w:val="20"/>
        </w:rPr>
        <w:t>T</w:t>
      </w:r>
      <w:r w:rsidRPr="00701CA1">
        <w:rPr>
          <w:rFonts w:ascii="Garamond" w:hAnsi="Garamond"/>
          <w:sz w:val="20"/>
          <w:szCs w:val="20"/>
        </w:rPr>
        <w:t>he Tax Working Group</w:t>
      </w:r>
      <w:r>
        <w:rPr>
          <w:rFonts w:ascii="Garamond" w:hAnsi="Garamond"/>
          <w:sz w:val="20"/>
          <w:szCs w:val="20"/>
        </w:rPr>
        <w:t xml:space="preserve"> also supported the tax-exempt status</w:t>
      </w:r>
      <w:r w:rsidRPr="00701CA1">
        <w:rPr>
          <w:rFonts w:ascii="Garamond" w:hAnsi="Garamond"/>
          <w:sz w:val="20"/>
          <w:szCs w:val="20"/>
        </w:rPr>
        <w:t xml:space="preserve"> in its February 2019 report (accessible </w:t>
      </w:r>
      <w:hyperlink r:id="rId67" w:history="1">
        <w:r w:rsidRPr="00701CA1">
          <w:rPr>
            <w:rStyle w:val="Hyperlink"/>
            <w:rFonts w:ascii="Garamond" w:hAnsi="Garamond"/>
            <w:sz w:val="20"/>
            <w:szCs w:val="20"/>
          </w:rPr>
          <w:t>here</w:t>
        </w:r>
      </w:hyperlink>
      <w:r w:rsidRPr="00701CA1">
        <w:rPr>
          <w:rFonts w:ascii="Garamond" w:hAnsi="Garamond"/>
          <w:sz w:val="20"/>
          <w:szCs w:val="20"/>
        </w:rPr>
        <w:t>) at page 81.  “The Group therefore recommends that the Government give favourable consideration to specifically exempting the NZSF from New Zealand tax obligations on the basis it is an instrument of the Government of New Zealand.”</w:t>
      </w:r>
      <w:r>
        <w:rPr>
          <w:rFonts w:ascii="Garamond" w:hAnsi="Garamond"/>
          <w:sz w:val="20"/>
          <w:szCs w:val="20"/>
        </w:rPr>
        <w:t xml:space="preserve">  The recommendation seems based on issues associated with administrative inconvenience – why should the government collect tax from itself?  We have explained why that should be so.</w:t>
      </w:r>
    </w:p>
  </w:footnote>
  <w:footnote w:id="78">
    <w:p w14:paraId="64616AA3" w14:textId="64AF9B84"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Michael Cullen, Minister of Finance, speech on the first reading of the New Zealand Superannuation Bill (2000) accessible </w:t>
      </w:r>
      <w:hyperlink r:id="rId68" w:history="1">
        <w:r w:rsidRPr="00043E1D">
          <w:rPr>
            <w:rStyle w:val="Hyperlink"/>
            <w:rFonts w:ascii="Garamond" w:hAnsi="Garamond"/>
            <w:sz w:val="20"/>
            <w:szCs w:val="20"/>
          </w:rPr>
          <w:t>here</w:t>
        </w:r>
      </w:hyperlink>
      <w:r w:rsidRPr="00043E1D">
        <w:rPr>
          <w:rFonts w:ascii="Garamond" w:hAnsi="Garamond"/>
          <w:sz w:val="20"/>
          <w:szCs w:val="20"/>
        </w:rPr>
        <w:t>.</w:t>
      </w:r>
    </w:p>
  </w:footnote>
  <w:footnote w:id="79">
    <w:p w14:paraId="2523945F" w14:textId="63BBA2A2"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reduction </w:t>
      </w:r>
      <w:r>
        <w:rPr>
          <w:rFonts w:ascii="Garamond" w:hAnsi="Garamond"/>
          <w:sz w:val="20"/>
          <w:szCs w:val="20"/>
        </w:rPr>
        <w:t>would have been</w:t>
      </w:r>
      <w:r w:rsidRPr="00043E1D">
        <w:rPr>
          <w:rFonts w:ascii="Garamond" w:hAnsi="Garamond"/>
          <w:sz w:val="20"/>
          <w:szCs w:val="20"/>
        </w:rPr>
        <w:t xml:space="preserve"> 0.6% of GDP by 2040, according to Ste</w:t>
      </w:r>
      <w:r>
        <w:rPr>
          <w:rFonts w:ascii="Garamond" w:hAnsi="Garamond"/>
          <w:sz w:val="20"/>
          <w:szCs w:val="20"/>
        </w:rPr>
        <w:t>v</w:t>
      </w:r>
      <w:r w:rsidRPr="00043E1D">
        <w:rPr>
          <w:rFonts w:ascii="Garamond" w:hAnsi="Garamond"/>
          <w:sz w:val="20"/>
          <w:szCs w:val="20"/>
        </w:rPr>
        <w:t xml:space="preserve">en Joyce, Minister of Finance in a press release of 6 March 2017 </w:t>
      </w:r>
      <w:r w:rsidRPr="00043E1D">
        <w:rPr>
          <w:rFonts w:ascii="Garamond" w:hAnsi="Garamond"/>
          <w:i/>
          <w:sz w:val="20"/>
          <w:szCs w:val="20"/>
        </w:rPr>
        <w:t>Lifting NZ Super age the right thing to do</w:t>
      </w:r>
      <w:r w:rsidRPr="00043E1D">
        <w:rPr>
          <w:rFonts w:ascii="Garamond" w:hAnsi="Garamond"/>
          <w:sz w:val="20"/>
          <w:szCs w:val="20"/>
        </w:rPr>
        <w:t xml:space="preserve">, accessible </w:t>
      </w:r>
      <w:hyperlink r:id="rId69" w:history="1">
        <w:r w:rsidRPr="00043E1D">
          <w:rPr>
            <w:rStyle w:val="Hyperlink"/>
            <w:rFonts w:ascii="Garamond" w:hAnsi="Garamond"/>
            <w:sz w:val="20"/>
            <w:szCs w:val="20"/>
          </w:rPr>
          <w:t>here</w:t>
        </w:r>
      </w:hyperlink>
      <w:r w:rsidRPr="00043E1D">
        <w:rPr>
          <w:rFonts w:ascii="Garamond" w:hAnsi="Garamond"/>
          <w:sz w:val="20"/>
          <w:szCs w:val="20"/>
        </w:rPr>
        <w:t>.  Before the changes, the 2016 NZSF contribution model expected that the net cost of NZS in 2040 would be 6.0% of GDP</w:t>
      </w:r>
      <w:r>
        <w:rPr>
          <w:rFonts w:ascii="Garamond" w:hAnsi="Garamond"/>
          <w:sz w:val="20"/>
          <w:szCs w:val="20"/>
        </w:rPr>
        <w:t>; so 0.6% on 6.0% is one tenth of the cost</w:t>
      </w:r>
      <w:r w:rsidRPr="00043E1D">
        <w:rPr>
          <w:rFonts w:ascii="Garamond" w:hAnsi="Garamond"/>
          <w:sz w:val="20"/>
          <w:szCs w:val="20"/>
        </w:rPr>
        <w:t>.</w:t>
      </w:r>
    </w:p>
  </w:footnote>
  <w:footnote w:id="80">
    <w:p w14:paraId="6D5C758B" w14:textId="2D93A3F2" w:rsidR="00CD6F06" w:rsidRPr="00043E1D" w:rsidRDefault="00CD6F06">
      <w:pPr>
        <w:pStyle w:val="FootnoteText"/>
        <w:jc w:val="both"/>
        <w:rPr>
          <w:rFonts w:ascii="Garamond" w:hAnsi="Garamond"/>
          <w:lang w:val="en-US"/>
        </w:rPr>
      </w:pPr>
      <w:r w:rsidRPr="00043E1D">
        <w:rPr>
          <w:rStyle w:val="FootnoteReference"/>
          <w:rFonts w:ascii="Garamond" w:hAnsi="Garamond"/>
        </w:rPr>
        <w:footnoteRef/>
      </w:r>
      <w:r w:rsidRPr="00043E1D">
        <w:rPr>
          <w:rFonts w:ascii="Garamond" w:hAnsi="Garamond"/>
        </w:rPr>
        <w:t xml:space="preserve"> </w:t>
      </w:r>
      <w:r w:rsidRPr="00043E1D">
        <w:rPr>
          <w:rFonts w:ascii="Garamond" w:hAnsi="Garamond"/>
          <w:sz w:val="20"/>
          <w:szCs w:val="20"/>
        </w:rPr>
        <w:t xml:space="preserve">The Treasury’s </w:t>
      </w:r>
      <w:r w:rsidRPr="00043E1D">
        <w:rPr>
          <w:rFonts w:ascii="Garamond" w:hAnsi="Garamond"/>
          <w:i/>
          <w:sz w:val="20"/>
          <w:szCs w:val="20"/>
        </w:rPr>
        <w:t>2016 NZSF Contribution Rate Model</w:t>
      </w:r>
      <w:r w:rsidRPr="00043E1D">
        <w:rPr>
          <w:rFonts w:ascii="Garamond" w:hAnsi="Garamond"/>
          <w:sz w:val="20"/>
          <w:szCs w:val="20"/>
        </w:rPr>
        <w:t xml:space="preserve"> is accessible </w:t>
      </w:r>
      <w:hyperlink r:id="rId70" w:history="1">
        <w:r w:rsidRPr="00043E1D">
          <w:rPr>
            <w:rStyle w:val="Hyperlink"/>
            <w:rFonts w:ascii="Garamond" w:hAnsi="Garamond"/>
            <w:sz w:val="20"/>
            <w:szCs w:val="20"/>
          </w:rPr>
          <w:t>here</w:t>
        </w:r>
      </w:hyperlink>
      <w:r w:rsidRPr="00043E1D">
        <w:rPr>
          <w:rFonts w:ascii="Garamond" w:hAnsi="Garamond"/>
          <w:sz w:val="20"/>
          <w:szCs w:val="20"/>
        </w:rPr>
        <w:t xml:space="preserve">.  It takes no account of the </w:t>
      </w:r>
      <w:r>
        <w:rPr>
          <w:rFonts w:ascii="Garamond" w:hAnsi="Garamond"/>
          <w:sz w:val="20"/>
          <w:szCs w:val="20"/>
        </w:rPr>
        <w:t xml:space="preserve">previously proposed </w:t>
      </w:r>
      <w:r w:rsidRPr="00043E1D">
        <w:rPr>
          <w:rFonts w:ascii="Garamond" w:hAnsi="Garamond"/>
          <w:sz w:val="20"/>
          <w:szCs w:val="20"/>
        </w:rPr>
        <w:t>2037-2040 changes.</w:t>
      </w:r>
    </w:p>
  </w:footnote>
  <w:footnote w:id="81">
    <w:p w14:paraId="4EDF1501" w14:textId="567FE834"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Source: </w:t>
      </w:r>
      <w:r w:rsidRPr="00043E1D">
        <w:rPr>
          <w:rFonts w:ascii="Garamond" w:hAnsi="Garamond"/>
          <w:sz w:val="20"/>
          <w:szCs w:val="20"/>
        </w:rPr>
        <w:t>The Treasury’s</w:t>
      </w:r>
      <w:r w:rsidRPr="00043E1D">
        <w:rPr>
          <w:rFonts w:ascii="Garamond" w:hAnsi="Garamond"/>
          <w:b/>
          <w:sz w:val="20"/>
          <w:szCs w:val="20"/>
        </w:rPr>
        <w:t xml:space="preserve"> </w:t>
      </w:r>
      <w:r w:rsidRPr="00043E1D">
        <w:rPr>
          <w:rFonts w:ascii="Garamond" w:hAnsi="Garamond"/>
          <w:i/>
          <w:sz w:val="20"/>
          <w:szCs w:val="20"/>
        </w:rPr>
        <w:t>2016 Statement on the Long-term Fiscal Position</w:t>
      </w:r>
      <w:r w:rsidRPr="00043E1D">
        <w:rPr>
          <w:rFonts w:ascii="Garamond" w:hAnsi="Garamond"/>
          <w:sz w:val="20"/>
          <w:szCs w:val="20"/>
        </w:rPr>
        <w:t xml:space="preserve"> (available </w:t>
      </w:r>
      <w:hyperlink r:id="rId71" w:history="1">
        <w:r w:rsidRPr="00043E1D">
          <w:rPr>
            <w:rStyle w:val="Hyperlink"/>
            <w:rFonts w:ascii="Garamond" w:hAnsi="Garamond"/>
            <w:sz w:val="20"/>
            <w:szCs w:val="20"/>
          </w:rPr>
          <w:t>here</w:t>
        </w:r>
      </w:hyperlink>
      <w:r w:rsidRPr="00043E1D">
        <w:rPr>
          <w:rFonts w:ascii="Garamond" w:hAnsi="Garamond"/>
          <w:sz w:val="20"/>
          <w:szCs w:val="20"/>
        </w:rPr>
        <w:t>)</w:t>
      </w:r>
      <w:r>
        <w:rPr>
          <w:rFonts w:ascii="Garamond" w:hAnsi="Garamond"/>
          <w:sz w:val="20"/>
          <w:szCs w:val="20"/>
        </w:rPr>
        <w:t xml:space="preserve">.  </w:t>
      </w:r>
    </w:p>
  </w:footnote>
  <w:footnote w:id="82">
    <w:p w14:paraId="6857E9C2" w14:textId="483BB0D3"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NZSF itself compares its performance with 90-day Treasury bills (usually the government’s cheapest debt) and, separately, against “…the Treasury Bill return +2.7% p.a. over any 20-year moving period.” (see </w:t>
      </w:r>
      <w:hyperlink r:id="rId72" w:history="1">
        <w:r w:rsidRPr="00043E1D">
          <w:rPr>
            <w:rStyle w:val="Hyperlink"/>
            <w:rFonts w:ascii="Garamond" w:hAnsi="Garamond"/>
            <w:sz w:val="20"/>
            <w:szCs w:val="20"/>
          </w:rPr>
          <w:t>here</w:t>
        </w:r>
      </w:hyperlink>
      <w:r w:rsidRPr="00043E1D">
        <w:rPr>
          <w:rFonts w:ascii="Garamond" w:hAnsi="Garamond"/>
          <w:sz w:val="20"/>
          <w:szCs w:val="20"/>
        </w:rPr>
        <w:t xml:space="preserve">).  Neither of these adequately compensates taxpayers for the risks associated with a 100%-leveraged portfolio.  The most recent pre-tax returns since inception (to </w:t>
      </w:r>
      <w:r>
        <w:rPr>
          <w:rFonts w:ascii="Garamond" w:hAnsi="Garamond"/>
          <w:sz w:val="20"/>
          <w:szCs w:val="20"/>
        </w:rPr>
        <w:t>30 April 2019</w:t>
      </w:r>
      <w:r w:rsidRPr="00043E1D">
        <w:rPr>
          <w:rFonts w:ascii="Garamond" w:hAnsi="Garamond"/>
          <w:sz w:val="20"/>
          <w:szCs w:val="20"/>
        </w:rPr>
        <w:t>) are 10.</w:t>
      </w:r>
      <w:r>
        <w:rPr>
          <w:rFonts w:ascii="Garamond" w:hAnsi="Garamond"/>
          <w:sz w:val="20"/>
          <w:szCs w:val="20"/>
        </w:rPr>
        <w:t>3</w:t>
      </w:r>
      <w:r w:rsidRPr="00043E1D">
        <w:rPr>
          <w:rFonts w:ascii="Garamond" w:hAnsi="Garamond"/>
          <w:sz w:val="20"/>
          <w:szCs w:val="20"/>
        </w:rPr>
        <w:t xml:space="preserve">% p.a. (see </w:t>
      </w:r>
      <w:hyperlink r:id="rId73" w:history="1">
        <w:r w:rsidRPr="00043E1D">
          <w:rPr>
            <w:rStyle w:val="Hyperlink"/>
            <w:rFonts w:ascii="Garamond" w:hAnsi="Garamond"/>
            <w:sz w:val="20"/>
            <w:szCs w:val="20"/>
          </w:rPr>
          <w:t>here</w:t>
        </w:r>
      </w:hyperlink>
      <w:r w:rsidRPr="00043E1D">
        <w:rPr>
          <w:rFonts w:ascii="Garamond" w:hAnsi="Garamond"/>
          <w:sz w:val="20"/>
          <w:szCs w:val="20"/>
        </w:rPr>
        <w:t xml:space="preserve">).  The 90-day bill measure was </w:t>
      </w:r>
      <w:r>
        <w:rPr>
          <w:rFonts w:ascii="Garamond" w:hAnsi="Garamond"/>
          <w:sz w:val="20"/>
          <w:szCs w:val="20"/>
        </w:rPr>
        <w:t>3.93</w:t>
      </w:r>
      <w:r w:rsidRPr="00043E1D">
        <w:rPr>
          <w:rFonts w:ascii="Garamond" w:hAnsi="Garamond"/>
          <w:sz w:val="20"/>
          <w:szCs w:val="20"/>
        </w:rPr>
        <w:t>% p.a. while the Treasury Bill + 2.7% comparator was 6.</w:t>
      </w:r>
      <w:r>
        <w:rPr>
          <w:rFonts w:ascii="Garamond" w:hAnsi="Garamond"/>
          <w:sz w:val="20"/>
          <w:szCs w:val="20"/>
        </w:rPr>
        <w:t>44</w:t>
      </w:r>
      <w:r w:rsidRPr="00043E1D">
        <w:rPr>
          <w:rFonts w:ascii="Garamond" w:hAnsi="Garamond"/>
          <w:sz w:val="20"/>
          <w:szCs w:val="20"/>
        </w:rPr>
        <w:t>% p.a. over the same period.  We suggest that the achieved returns and the two comparators do not adequately compensate taxpayers for the risks.</w:t>
      </w:r>
    </w:p>
  </w:footnote>
  <w:footnote w:id="83">
    <w:p w14:paraId="035EF9B3" w14:textId="72C6539D"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Bart Frijns in </w:t>
      </w:r>
      <w:r w:rsidRPr="00043E1D">
        <w:rPr>
          <w:rFonts w:ascii="Garamond" w:hAnsi="Garamond"/>
          <w:i/>
          <w:sz w:val="20"/>
          <w:szCs w:val="20"/>
        </w:rPr>
        <w:t>Equity Risk Premium</w:t>
      </w:r>
      <w:r w:rsidRPr="00043E1D">
        <w:rPr>
          <w:rFonts w:ascii="Garamond" w:hAnsi="Garamond"/>
          <w:sz w:val="20"/>
          <w:szCs w:val="20"/>
        </w:rPr>
        <w:t xml:space="preserve"> (accessible </w:t>
      </w:r>
      <w:hyperlink r:id="rId74" w:history="1">
        <w:r w:rsidRPr="005B774F">
          <w:rPr>
            <w:rStyle w:val="Hyperlink"/>
            <w:rFonts w:ascii="Garamond" w:hAnsi="Garamond"/>
            <w:sz w:val="20"/>
            <w:szCs w:val="20"/>
          </w:rPr>
          <w:t>here</w:t>
        </w:r>
      </w:hyperlink>
      <w:r w:rsidRPr="00043E1D">
        <w:rPr>
          <w:rFonts w:ascii="Garamond" w:hAnsi="Garamond"/>
          <w:sz w:val="20"/>
          <w:szCs w:val="20"/>
        </w:rPr>
        <w:t>) suggests that the pre-tax ERP for a New Zealand portfolio should be 4.7</w:t>
      </w:r>
      <w:r>
        <w:rPr>
          <w:rFonts w:ascii="Garamond" w:hAnsi="Garamond"/>
          <w:sz w:val="20"/>
          <w:szCs w:val="20"/>
        </w:rPr>
        <w:t>6</w:t>
      </w:r>
      <w:r w:rsidRPr="00043E1D">
        <w:rPr>
          <w:rFonts w:ascii="Garamond" w:hAnsi="Garamond"/>
          <w:sz w:val="20"/>
          <w:szCs w:val="20"/>
        </w:rPr>
        <w:t xml:space="preserve">%, based on share prices, dividend yields, inflation rates and 10-year government bond yields from 1899 to 2016.  A post-tax ERP that the NZSF fund requires would be higher.  </w:t>
      </w:r>
    </w:p>
  </w:footnote>
  <w:footnote w:id="84">
    <w:p w14:paraId="5608823D" w14:textId="55B23BBE"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The Market Equity Risk Premium</w:t>
      </w:r>
      <w:r w:rsidRPr="00043E1D">
        <w:rPr>
          <w:rFonts w:ascii="Garamond" w:hAnsi="Garamond"/>
          <w:sz w:val="20"/>
          <w:szCs w:val="20"/>
        </w:rPr>
        <w:t xml:space="preserve"> (2005), The Treasury – accessible </w:t>
      </w:r>
      <w:hyperlink r:id="rId75" w:history="1">
        <w:r w:rsidRPr="005B774F">
          <w:rPr>
            <w:rStyle w:val="Hyperlink"/>
            <w:rFonts w:ascii="Garamond" w:hAnsi="Garamond"/>
            <w:sz w:val="20"/>
            <w:szCs w:val="20"/>
          </w:rPr>
          <w:t>here.</w:t>
        </w:r>
      </w:hyperlink>
    </w:p>
  </w:footnote>
  <w:footnote w:id="85">
    <w:p w14:paraId="273DB40D" w14:textId="4BE0F73D"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Pr>
          <w:rFonts w:ascii="Garamond" w:hAnsi="Garamond"/>
          <w:sz w:val="20"/>
          <w:szCs w:val="20"/>
        </w:rPr>
        <w:t xml:space="preserve"> </w:t>
      </w:r>
      <w:r w:rsidRPr="00D30463">
        <w:rPr>
          <w:rFonts w:ascii="Garamond" w:hAnsi="Garamond"/>
          <w:sz w:val="20"/>
          <w:szCs w:val="20"/>
        </w:rPr>
        <w:t>As already mentioned,</w:t>
      </w:r>
      <w:r>
        <w:rPr>
          <w:rFonts w:ascii="Garamond" w:hAnsi="Garamond"/>
          <w:sz w:val="20"/>
          <w:szCs w:val="20"/>
        </w:rPr>
        <w:t xml:space="preserve"> t</w:t>
      </w:r>
      <w:r w:rsidRPr="00043E1D">
        <w:rPr>
          <w:rFonts w:ascii="Garamond" w:hAnsi="Garamond"/>
          <w:sz w:val="20"/>
          <w:szCs w:val="20"/>
        </w:rPr>
        <w:t xml:space="preserve">he NZSF’s own internal “performance expectation is now NZ Treasury Bills + 2.7% pa” over a rolling 20 year period (see </w:t>
      </w:r>
      <w:r w:rsidRPr="00043E1D">
        <w:rPr>
          <w:rFonts w:ascii="Garamond" w:hAnsi="Garamond"/>
          <w:i/>
          <w:sz w:val="20"/>
          <w:szCs w:val="20"/>
        </w:rPr>
        <w:t>2015 Reference Portfolio Review</w:t>
      </w:r>
      <w:r w:rsidRPr="00043E1D">
        <w:rPr>
          <w:rFonts w:ascii="Garamond" w:hAnsi="Garamond"/>
          <w:sz w:val="20"/>
          <w:szCs w:val="20"/>
        </w:rPr>
        <w:t xml:space="preserve"> (2015) NZ SuperFund </w:t>
      </w:r>
      <w:hyperlink r:id="rId76" w:history="1">
        <w:r w:rsidRPr="00043E1D">
          <w:rPr>
            <w:rStyle w:val="Hyperlink"/>
            <w:rFonts w:ascii="Garamond" w:hAnsi="Garamond"/>
            <w:sz w:val="20"/>
            <w:szCs w:val="20"/>
          </w:rPr>
          <w:t>here</w:t>
        </w:r>
      </w:hyperlink>
      <w:r w:rsidRPr="00043E1D">
        <w:rPr>
          <w:rFonts w:ascii="Garamond" w:hAnsi="Garamond"/>
          <w:sz w:val="20"/>
          <w:szCs w:val="20"/>
        </w:rPr>
        <w:t>).  The Guardians also compare the NZSF’s performance against a self-constructed ‘Reference Portfolio’.</w:t>
      </w:r>
    </w:p>
  </w:footnote>
  <w:footnote w:id="86">
    <w:p w14:paraId="2799DC12" w14:textId="5940AD7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Source: Undated Cabinet paper on New Zealand Superannuation from Minister of Finance of March 2017 para 67 at p. 9, accessible </w:t>
      </w:r>
      <w:hyperlink r:id="rId77" w:history="1">
        <w:r w:rsidRPr="00043E1D">
          <w:rPr>
            <w:rStyle w:val="Hyperlink"/>
            <w:rFonts w:ascii="Garamond" w:hAnsi="Garamond"/>
            <w:sz w:val="20"/>
            <w:szCs w:val="20"/>
          </w:rPr>
          <w:t>here</w:t>
        </w:r>
      </w:hyperlink>
      <w:r w:rsidRPr="00043E1D">
        <w:rPr>
          <w:rFonts w:ascii="Garamond" w:hAnsi="Garamond"/>
          <w:sz w:val="20"/>
          <w:szCs w:val="20"/>
        </w:rPr>
        <w:t>.</w:t>
      </w:r>
    </w:p>
  </w:footnote>
  <w:footnote w:id="87">
    <w:p w14:paraId="3610B6AC" w14:textId="60D3F23F"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Estimates of the deadweight cost depend on the calculation basis used.  In the Treasury’s </w:t>
      </w:r>
      <w:r w:rsidRPr="00043E1D">
        <w:rPr>
          <w:rFonts w:ascii="Garamond" w:hAnsi="Garamond"/>
          <w:i/>
          <w:sz w:val="20"/>
          <w:szCs w:val="20"/>
        </w:rPr>
        <w:t>Guide to Social Cost Benefit Analysis</w:t>
      </w:r>
      <w:r w:rsidRPr="00043E1D">
        <w:rPr>
          <w:rFonts w:ascii="Garamond" w:hAnsi="Garamond"/>
          <w:sz w:val="20"/>
          <w:szCs w:val="20"/>
        </w:rPr>
        <w:t xml:space="preserve"> (July 2015, accessible </w:t>
      </w:r>
      <w:hyperlink r:id="rId78" w:history="1">
        <w:r w:rsidRPr="00043E1D">
          <w:rPr>
            <w:rStyle w:val="Hyperlink"/>
            <w:rFonts w:ascii="Garamond" w:hAnsi="Garamond"/>
            <w:sz w:val="20"/>
            <w:szCs w:val="20"/>
          </w:rPr>
          <w:t>here</w:t>
        </w:r>
      </w:hyperlink>
      <w:r w:rsidRPr="00043E1D">
        <w:rPr>
          <w:rFonts w:ascii="Garamond" w:hAnsi="Garamond"/>
          <w:sz w:val="20"/>
          <w:szCs w:val="20"/>
        </w:rPr>
        <w:t>) at page 15, it observed that “Attempts have been made at estimating these effects, with estimates varying from 14% to more than 50% of the revenue collected…This guide suggests a rate of 20% as a default deadweight loss value in the absence of an alternative evidence based value.  Thus public expenditures should be multiplied by a factor of 1.2 to incorporate the effects of deadweight loss.”</w:t>
      </w:r>
    </w:p>
  </w:footnote>
  <w:footnote w:id="88">
    <w:p w14:paraId="1FB58E18" w14:textId="1630099F"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Domestic equity-style investments could be justified only on the basis that they will add to New Zealand’s economic welfare by creating new jobs or improving productivity, not simply that it is a ‘sensible’ investment.</w:t>
      </w:r>
    </w:p>
  </w:footnote>
  <w:footnote w:id="89">
    <w:p w14:paraId="35525624" w14:textId="659ACD17"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Borrowing to invest in equities is risky but has a prospect of returning net gains over the cost of debt.  That prospect is reduced or even eliminated if the borrowed money is used to invest in bonds.</w:t>
      </w:r>
    </w:p>
  </w:footnote>
  <w:footnote w:id="90">
    <w:p w14:paraId="30A9DCB5" w14:textId="6F40D47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On similar grounds, there is no economic or fiscal point in pre-funding the Accident Compensation Corporation’s liabilities, nor for re-building the EQC Fund.  On the ACC, see the RPRC’s </w:t>
      </w:r>
      <w:r w:rsidRPr="00043E1D">
        <w:rPr>
          <w:rFonts w:ascii="Garamond" w:hAnsi="Garamond"/>
          <w:i/>
          <w:sz w:val="20"/>
          <w:szCs w:val="20"/>
        </w:rPr>
        <w:t>PensionCommentary 2009-1 – Why does the Accident Compensation Corporation have a fund?</w:t>
      </w:r>
      <w:r w:rsidRPr="00043E1D">
        <w:rPr>
          <w:rFonts w:ascii="Garamond" w:hAnsi="Garamond"/>
          <w:sz w:val="20"/>
          <w:szCs w:val="20"/>
        </w:rPr>
        <w:t xml:space="preserve">, Michael Littlewood, accessible </w:t>
      </w:r>
      <w:hyperlink r:id="rId79" w:history="1">
        <w:r w:rsidRPr="00043E1D">
          <w:rPr>
            <w:rStyle w:val="Hyperlink"/>
            <w:rFonts w:ascii="Garamond" w:hAnsi="Garamond"/>
            <w:sz w:val="20"/>
            <w:szCs w:val="20"/>
          </w:rPr>
          <w:t>here</w:t>
        </w:r>
      </w:hyperlink>
      <w:r w:rsidRPr="00043E1D">
        <w:rPr>
          <w:rFonts w:ascii="Garamond" w:hAnsi="Garamond"/>
          <w:sz w:val="20"/>
          <w:szCs w:val="20"/>
        </w:rPr>
        <w:t xml:space="preserve">.  On the EQC, see the RPRC’s </w:t>
      </w:r>
      <w:r w:rsidRPr="00043E1D">
        <w:rPr>
          <w:rFonts w:ascii="Garamond" w:hAnsi="Garamond"/>
          <w:i/>
          <w:sz w:val="20"/>
          <w:szCs w:val="20"/>
        </w:rPr>
        <w:t>PensionCommentary 2011-1 – Why does the Earthquake Commission have a fund?</w:t>
      </w:r>
      <w:r w:rsidRPr="00043E1D">
        <w:rPr>
          <w:rFonts w:ascii="Garamond" w:hAnsi="Garamond"/>
          <w:sz w:val="20"/>
          <w:szCs w:val="20"/>
        </w:rPr>
        <w:t xml:space="preserve">, Michael Littlewood, accessible </w:t>
      </w:r>
      <w:hyperlink r:id="rId80" w:history="1">
        <w:r w:rsidRPr="00043E1D">
          <w:rPr>
            <w:rStyle w:val="Hyperlink"/>
            <w:rFonts w:ascii="Garamond" w:hAnsi="Garamond"/>
            <w:sz w:val="20"/>
            <w:szCs w:val="20"/>
          </w:rPr>
          <w:t>here</w:t>
        </w:r>
      </w:hyperlink>
      <w:r w:rsidRPr="00043E1D">
        <w:rPr>
          <w:rFonts w:ascii="Garamond" w:hAnsi="Garamond"/>
          <w:sz w:val="20"/>
          <w:szCs w:val="20"/>
        </w:rPr>
        <w:t>.</w:t>
      </w:r>
    </w:p>
  </w:footnote>
  <w:footnote w:id="91">
    <w:p w14:paraId="56D76AC1" w14:textId="5397C3F8" w:rsidR="00CD6F06" w:rsidRPr="00043E1D" w:rsidRDefault="00CD6F06">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And asking New Zealanders what they think about the NZSF helps to politicise the issue.  In </w:t>
      </w:r>
      <w:r w:rsidRPr="00043E1D">
        <w:rPr>
          <w:rFonts w:ascii="Garamond" w:hAnsi="Garamond"/>
          <w:i/>
          <w:sz w:val="20"/>
          <w:szCs w:val="20"/>
        </w:rPr>
        <w:t xml:space="preserve">A Practical Approach to Well-being Based Policy Development: What do New Zealanders Want from Their Retirement Income Policies? </w:t>
      </w:r>
      <w:r w:rsidRPr="00043E1D">
        <w:rPr>
          <w:rFonts w:ascii="Garamond" w:hAnsi="Garamond"/>
          <w:sz w:val="20"/>
          <w:szCs w:val="20"/>
        </w:rPr>
        <w:t xml:space="preserve">by Joey Au, Andrew Coleman and Trudy Sullivan (Treasury, 2015 accessible </w:t>
      </w:r>
      <w:hyperlink r:id="rId81" w:history="1">
        <w:r w:rsidRPr="00043E1D">
          <w:rPr>
            <w:rStyle w:val="Hyperlink"/>
            <w:rFonts w:ascii="Garamond" w:hAnsi="Garamond"/>
            <w:sz w:val="20"/>
            <w:szCs w:val="20"/>
          </w:rPr>
          <w:t>here</w:t>
        </w:r>
      </w:hyperlink>
      <w:r w:rsidRPr="00043E1D">
        <w:rPr>
          <w:rFonts w:ascii="Garamond" w:hAnsi="Garamond"/>
          <w:sz w:val="20"/>
          <w:szCs w:val="20"/>
        </w:rPr>
        <w:t xml:space="preserve">), the authors found that, based on a survey of 1,066 New Zealanders, “…a policy that more aggressively prefunds New Zealand Superannuation by immediately raising taxes is supported by a majority of people of all ages and income groups.”  From the report, we cannot tell precisely what questions induced this response but we can probably assume it did not include a statement along the lines that the NZSF that receives those higher taxes will not change the future cost of NZS by a dollar.  As the report itself says, “One issue that underlies the whole survey is framing. It is well known that the way questions are framed can have an enormous effect on survey responses.” (at page 12). </w:t>
      </w:r>
    </w:p>
  </w:footnote>
  <w:footnote w:id="92">
    <w:p w14:paraId="42642738" w14:textId="77CFFEEB"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Employee salary data and employee numbers from the </w:t>
      </w:r>
      <w:r w:rsidRPr="00043E1D">
        <w:rPr>
          <w:rFonts w:ascii="Garamond" w:hAnsi="Garamond"/>
          <w:i/>
          <w:sz w:val="20"/>
          <w:szCs w:val="20"/>
        </w:rPr>
        <w:t>Annual Report 201</w:t>
      </w:r>
      <w:r>
        <w:rPr>
          <w:rFonts w:ascii="Garamond" w:hAnsi="Garamond"/>
          <w:i/>
          <w:sz w:val="20"/>
          <w:szCs w:val="20"/>
        </w:rPr>
        <w:t>8</w:t>
      </w:r>
      <w:r w:rsidRPr="00043E1D">
        <w:rPr>
          <w:rFonts w:ascii="Garamond" w:hAnsi="Garamond"/>
          <w:sz w:val="20"/>
          <w:szCs w:val="20"/>
        </w:rPr>
        <w:t xml:space="preserve"> (accessible </w:t>
      </w:r>
      <w:hyperlink r:id="rId82" w:history="1">
        <w:r w:rsidRPr="00043E1D">
          <w:rPr>
            <w:rStyle w:val="Hyperlink"/>
            <w:rFonts w:ascii="Garamond" w:hAnsi="Garamond"/>
            <w:sz w:val="20"/>
            <w:szCs w:val="20"/>
          </w:rPr>
          <w:t>here</w:t>
        </w:r>
      </w:hyperlink>
      <w:r w:rsidRPr="00043E1D">
        <w:rPr>
          <w:rFonts w:ascii="Garamond" w:hAnsi="Garamond"/>
          <w:sz w:val="20"/>
          <w:szCs w:val="20"/>
        </w:rPr>
        <w:t>) at pages 1</w:t>
      </w:r>
      <w:r>
        <w:rPr>
          <w:rFonts w:ascii="Garamond" w:hAnsi="Garamond"/>
          <w:sz w:val="20"/>
          <w:szCs w:val="20"/>
        </w:rPr>
        <w:t>90</w:t>
      </w:r>
      <w:r w:rsidRPr="00043E1D">
        <w:rPr>
          <w:rFonts w:ascii="Garamond" w:hAnsi="Garamond"/>
          <w:sz w:val="20"/>
          <w:szCs w:val="20"/>
        </w:rPr>
        <w:t xml:space="preserve"> and </w:t>
      </w:r>
      <w:r>
        <w:rPr>
          <w:rFonts w:ascii="Garamond" w:hAnsi="Garamond"/>
          <w:sz w:val="20"/>
          <w:szCs w:val="20"/>
        </w:rPr>
        <w:t>32</w:t>
      </w:r>
      <w:r w:rsidRPr="00043E1D">
        <w:rPr>
          <w:rFonts w:ascii="Garamond" w:hAnsi="Garamond"/>
          <w:sz w:val="20"/>
          <w:szCs w:val="20"/>
        </w:rPr>
        <w:t>.</w:t>
      </w:r>
    </w:p>
  </w:footnote>
  <w:footnote w:id="93">
    <w:p w14:paraId="5F01C5A5" w14:textId="4A25A3D2"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cs="Verdana,Italic"/>
          <w:iCs/>
          <w:sz w:val="20"/>
          <w:szCs w:val="20"/>
        </w:rPr>
        <w:t>The benefit, pension or periodical allowance, or any part of it, is in the nature of a payment which, in the opinion of the chief executive, forms part of a programme providing benefits, pensions, or periodical allowances for any of the contingencies for which benefits, pensions or allowances may be paid under ... the New Zealand Superannuation and Retirement Income Act 2001 ... which is administered by or on behalf of the Government of the country from which the benefit, pension or periodical allowance is received ...</w:t>
      </w:r>
      <w:r w:rsidRPr="00043E1D">
        <w:rPr>
          <w:rFonts w:ascii="Garamond" w:hAnsi="Garamond" w:cs="Cambria Math"/>
          <w:iCs/>
          <w:sz w:val="20"/>
          <w:szCs w:val="20"/>
        </w:rPr>
        <w:t>”</w:t>
      </w:r>
      <w:r w:rsidRPr="00043E1D">
        <w:rPr>
          <w:rFonts w:ascii="Garamond" w:hAnsi="Garamond" w:cs="Verdana,Italic"/>
          <w:iCs/>
          <w:sz w:val="20"/>
          <w:szCs w:val="20"/>
        </w:rPr>
        <w:t xml:space="preserve"> </w:t>
      </w:r>
      <w:r w:rsidRPr="00043E1D">
        <w:rPr>
          <w:rFonts w:ascii="Garamond" w:hAnsi="Garamond" w:cs="Verdana"/>
          <w:sz w:val="20"/>
          <w:szCs w:val="20"/>
        </w:rPr>
        <w:t>(The Social Security Act, 1964, section 70(a)</w:t>
      </w:r>
      <w:r>
        <w:rPr>
          <w:rFonts w:ascii="Garamond" w:hAnsi="Garamond" w:cs="Verdana"/>
          <w:sz w:val="20"/>
          <w:szCs w:val="20"/>
        </w:rPr>
        <w:t xml:space="preserve"> </w:t>
      </w:r>
      <w:hyperlink r:id="rId83" w:history="1">
        <w:r w:rsidRPr="00532B71">
          <w:rPr>
            <w:rStyle w:val="Hyperlink"/>
            <w:rFonts w:ascii="Garamond" w:hAnsi="Garamond" w:cs="Verdana"/>
            <w:sz w:val="20"/>
            <w:szCs w:val="20"/>
          </w:rPr>
          <w:t>here</w:t>
        </w:r>
      </w:hyperlink>
      <w:r w:rsidRPr="00043E1D">
        <w:rPr>
          <w:rFonts w:ascii="Garamond" w:hAnsi="Garamond" w:cs="Verdana"/>
          <w:sz w:val="20"/>
          <w:szCs w:val="20"/>
        </w:rPr>
        <w:t>).</w:t>
      </w:r>
    </w:p>
  </w:footnote>
  <w:footnote w:id="94">
    <w:p w14:paraId="42F4BF1D" w14:textId="2E9C6603" w:rsidR="00CD6F06" w:rsidRPr="00043E1D" w:rsidRDefault="00CD6F06">
      <w:pPr>
        <w:pStyle w:val="FootnoteText"/>
        <w:jc w:val="both"/>
        <w:rPr>
          <w:rFonts w:ascii="Garamond" w:hAnsi="Garamond"/>
          <w:sz w:val="20"/>
          <w:szCs w:val="20"/>
          <w:lang w:val="en-US"/>
        </w:rPr>
      </w:pPr>
      <w:r w:rsidRPr="00F66CFF">
        <w:rPr>
          <w:rStyle w:val="FootnoteReference"/>
          <w:rFonts w:ascii="Garamond" w:hAnsi="Garamond"/>
          <w:sz w:val="20"/>
          <w:szCs w:val="20"/>
        </w:rPr>
        <w:footnoteRef/>
      </w:r>
      <w:r w:rsidRPr="00F66CFF">
        <w:rPr>
          <w:rFonts w:ascii="Garamond" w:hAnsi="Garamond"/>
          <w:sz w:val="20"/>
          <w:szCs w:val="20"/>
        </w:rPr>
        <w:t xml:space="preserve"> </w:t>
      </w:r>
      <w:r w:rsidRPr="00F66CFF">
        <w:rPr>
          <w:rFonts w:ascii="Garamond" w:hAnsi="Garamond"/>
          <w:i/>
          <w:sz w:val="20"/>
          <w:szCs w:val="20"/>
        </w:rPr>
        <w:t>New Zealand Superannuation and overseas state pensions</w:t>
      </w:r>
      <w:r w:rsidRPr="00F66CFF">
        <w:rPr>
          <w:rFonts w:ascii="Garamond" w:hAnsi="Garamond"/>
          <w:sz w:val="20"/>
          <w:szCs w:val="20"/>
        </w:rPr>
        <w:t xml:space="preserve">, M. Claire Dale and Susan St John, September 2016 (accessible </w:t>
      </w:r>
      <w:hyperlink r:id="rId84" w:history="1">
        <w:r w:rsidRPr="00F66CFF">
          <w:rPr>
            <w:rStyle w:val="Hyperlink"/>
            <w:rFonts w:ascii="Garamond" w:hAnsi="Garamond"/>
            <w:sz w:val="20"/>
            <w:szCs w:val="20"/>
          </w:rPr>
          <w:t>here</w:t>
        </w:r>
      </w:hyperlink>
      <w:r w:rsidRPr="00F66CFF">
        <w:rPr>
          <w:rFonts w:ascii="Garamond" w:hAnsi="Garamond"/>
          <w:sz w:val="20"/>
          <w:szCs w:val="20"/>
        </w:rPr>
        <w:t xml:space="preserve">).  Since 2016, the number of affected pensioners has grown to about 90,000 </w:t>
      </w:r>
      <w:r w:rsidRPr="00891E0F">
        <w:rPr>
          <w:rFonts w:ascii="Garamond" w:hAnsi="Garamond"/>
          <w:sz w:val="20"/>
          <w:szCs w:val="20"/>
        </w:rPr>
        <w:t xml:space="preserve">in 2019 </w:t>
      </w:r>
      <w:r w:rsidRPr="00F66CFF">
        <w:rPr>
          <w:rFonts w:ascii="Garamond" w:hAnsi="Garamond"/>
          <w:sz w:val="20"/>
          <w:szCs w:val="20"/>
        </w:rPr>
        <w:t xml:space="preserve">and the reduction in NZS payments to affected pensioners to about $390 million </w:t>
      </w:r>
      <w:r w:rsidRPr="00891E0F">
        <w:rPr>
          <w:rFonts w:ascii="Garamond" w:hAnsi="Garamond"/>
          <w:sz w:val="20"/>
          <w:szCs w:val="20"/>
        </w:rPr>
        <w:t>(data from presentation by Alex McKenzie, Principal Analyst, Ministry of Social Development at the RPRC’s ‘Summit’ on 26 April 2019).</w:t>
      </w:r>
    </w:p>
  </w:footnote>
  <w:footnote w:id="95">
    <w:p w14:paraId="6CCA9CCC" w14:textId="1A71FF51" w:rsidR="00CD6F06" w:rsidRPr="00043E1D" w:rsidRDefault="00CD6F06">
      <w:pPr>
        <w:jc w:val="both"/>
        <w:rPr>
          <w:rFonts w:ascii="Garamond" w:hAnsi="Garamond"/>
          <w:i/>
        </w:rPr>
      </w:pPr>
      <w:r w:rsidRPr="00043E1D">
        <w:rPr>
          <w:rStyle w:val="FootnoteReference"/>
          <w:rFonts w:ascii="Garamond" w:hAnsi="Garamond"/>
          <w:sz w:val="20"/>
          <w:szCs w:val="20"/>
        </w:rPr>
        <w:footnoteRef/>
      </w:r>
      <w:r w:rsidRPr="00043E1D">
        <w:rPr>
          <w:rFonts w:ascii="Garamond" w:hAnsi="Garamond"/>
          <w:sz w:val="20"/>
          <w:szCs w:val="20"/>
        </w:rPr>
        <w:t xml:space="preserve"> There were </w:t>
      </w:r>
      <w:r>
        <w:rPr>
          <w:rFonts w:ascii="Garamond" w:hAnsi="Garamond"/>
          <w:sz w:val="20"/>
          <w:szCs w:val="20"/>
        </w:rPr>
        <w:t>741,300</w:t>
      </w:r>
      <w:r w:rsidRPr="00043E1D">
        <w:rPr>
          <w:rFonts w:ascii="Garamond" w:hAnsi="Garamond"/>
          <w:sz w:val="20"/>
          <w:szCs w:val="20"/>
        </w:rPr>
        <w:t xml:space="preserve"> NZS recipients at </w:t>
      </w:r>
      <w:r>
        <w:rPr>
          <w:rFonts w:ascii="Garamond" w:hAnsi="Garamond"/>
          <w:sz w:val="20"/>
          <w:szCs w:val="20"/>
        </w:rPr>
        <w:t>30 June 2018</w:t>
      </w:r>
      <w:r w:rsidRPr="00043E1D">
        <w:rPr>
          <w:rFonts w:ascii="Garamond" w:hAnsi="Garamond"/>
          <w:sz w:val="20"/>
          <w:szCs w:val="20"/>
        </w:rPr>
        <w:t xml:space="preserve"> – see </w:t>
      </w:r>
      <w:r w:rsidRPr="00701CA1">
        <w:rPr>
          <w:rFonts w:ascii="Garamond" w:hAnsi="Garamond"/>
          <w:i/>
          <w:sz w:val="20"/>
          <w:szCs w:val="20"/>
        </w:rPr>
        <w:t>Financial</w:t>
      </w:r>
      <w:r>
        <w:rPr>
          <w:rFonts w:ascii="Garamond" w:hAnsi="Garamond"/>
          <w:sz w:val="20"/>
          <w:szCs w:val="20"/>
        </w:rPr>
        <w:t xml:space="preserve"> </w:t>
      </w:r>
      <w:r>
        <w:rPr>
          <w:rFonts w:ascii="Garamond" w:hAnsi="Garamond"/>
          <w:i/>
          <w:sz w:val="20"/>
          <w:szCs w:val="20"/>
        </w:rPr>
        <w:t>Statements of the Government of New Zealand for the year ended 30 June 2018</w:t>
      </w:r>
      <w:r w:rsidRPr="00043E1D">
        <w:rPr>
          <w:rFonts w:ascii="Garamond" w:hAnsi="Garamond"/>
          <w:sz w:val="20"/>
          <w:szCs w:val="20"/>
        </w:rPr>
        <w:t xml:space="preserve"> (accessible </w:t>
      </w:r>
      <w:hyperlink r:id="rId85" w:history="1">
        <w:r w:rsidRPr="00043E1D">
          <w:rPr>
            <w:rStyle w:val="Hyperlink"/>
            <w:rFonts w:ascii="Garamond" w:hAnsi="Garamond"/>
          </w:rPr>
          <w:t>here</w:t>
        </w:r>
      </w:hyperlink>
      <w:r w:rsidRPr="00043E1D">
        <w:rPr>
          <w:rFonts w:ascii="Garamond" w:hAnsi="Garamond"/>
          <w:sz w:val="20"/>
          <w:szCs w:val="20"/>
        </w:rPr>
        <w:t xml:space="preserve">), page </w:t>
      </w:r>
      <w:r>
        <w:rPr>
          <w:rFonts w:ascii="Garamond" w:hAnsi="Garamond"/>
          <w:sz w:val="20"/>
          <w:szCs w:val="20"/>
        </w:rPr>
        <w:t>11</w:t>
      </w:r>
      <w:r w:rsidRPr="00043E1D">
        <w:rPr>
          <w:rFonts w:ascii="Garamond" w:hAnsi="Garamond"/>
          <w:sz w:val="20"/>
          <w:szCs w:val="20"/>
        </w:rPr>
        <w:t>.</w:t>
      </w:r>
    </w:p>
  </w:footnote>
  <w:footnote w:id="96">
    <w:p w14:paraId="26003760" w14:textId="183E3BD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Details cited in Dale and St John, </w:t>
      </w:r>
      <w:r w:rsidRPr="00043E1D">
        <w:rPr>
          <w:rFonts w:ascii="Garamond" w:hAnsi="Garamond"/>
          <w:i/>
          <w:sz w:val="20"/>
          <w:szCs w:val="20"/>
        </w:rPr>
        <w:t>op cit</w:t>
      </w:r>
      <w:r w:rsidRPr="00043E1D">
        <w:rPr>
          <w:rFonts w:ascii="Garamond" w:hAnsi="Garamond"/>
          <w:sz w:val="20"/>
          <w:szCs w:val="20"/>
        </w:rPr>
        <w:t xml:space="preserve"> at pp16-17.</w:t>
      </w:r>
    </w:p>
  </w:footnote>
  <w:footnote w:id="97">
    <w:p w14:paraId="1A357292" w14:textId="0E7B0450" w:rsidR="00CD6F06" w:rsidRPr="00E564C1" w:rsidRDefault="00CD6F06">
      <w:pPr>
        <w:pStyle w:val="p1"/>
        <w:jc w:val="both"/>
        <w:rPr>
          <w:rFonts w:ascii="Garamond" w:hAnsi="Garamond"/>
          <w:sz w:val="20"/>
          <w:szCs w:val="20"/>
        </w:rPr>
      </w:pPr>
      <w:r w:rsidRPr="00E564C1">
        <w:rPr>
          <w:rStyle w:val="FootnoteReference"/>
          <w:rFonts w:ascii="Garamond" w:hAnsi="Garamond"/>
          <w:sz w:val="20"/>
          <w:szCs w:val="20"/>
        </w:rPr>
        <w:footnoteRef/>
      </w:r>
      <w:r w:rsidRPr="00E564C1">
        <w:rPr>
          <w:rFonts w:ascii="Garamond" w:hAnsi="Garamond"/>
          <w:sz w:val="20"/>
          <w:szCs w:val="20"/>
        </w:rPr>
        <w:t xml:space="preserve"> </w:t>
      </w:r>
      <w:r w:rsidRPr="00E564C1">
        <w:rPr>
          <w:rStyle w:val="s1"/>
          <w:rFonts w:ascii="Garamond" w:hAnsi="Garamond"/>
          <w:sz w:val="20"/>
          <w:szCs w:val="20"/>
        </w:rPr>
        <w:t>The Periodic Report Groups (1997, 2003), the RPRC, Retirement Commissioner’s reviews (2004, 2007, 2010, 2013, 2016) and the 2014 MSD Briefing to Government have all drawn attention to the need to remove the spousal deduction provision.</w:t>
      </w:r>
    </w:p>
  </w:footnote>
  <w:footnote w:id="98">
    <w:p w14:paraId="497725F5" w14:textId="2C834E12" w:rsidR="00CD6F06" w:rsidRPr="00C046EA" w:rsidRDefault="00CD6F06" w:rsidP="00752BF8">
      <w:pPr>
        <w:pStyle w:val="FootnoteText"/>
        <w:jc w:val="both"/>
        <w:rPr>
          <w:rFonts w:ascii="Garamond" w:hAnsi="Garamond"/>
          <w:sz w:val="20"/>
          <w:szCs w:val="20"/>
          <w:lang w:val="en-US"/>
        </w:rPr>
      </w:pPr>
      <w:r w:rsidRPr="00C046EA">
        <w:rPr>
          <w:rStyle w:val="FootnoteReference"/>
          <w:rFonts w:ascii="Garamond" w:hAnsi="Garamond"/>
          <w:sz w:val="20"/>
          <w:szCs w:val="20"/>
        </w:rPr>
        <w:footnoteRef/>
      </w:r>
      <w:r w:rsidRPr="00C046EA">
        <w:rPr>
          <w:rFonts w:ascii="Garamond" w:hAnsi="Garamond"/>
          <w:sz w:val="20"/>
          <w:szCs w:val="20"/>
        </w:rPr>
        <w:t xml:space="preserve"> </w:t>
      </w:r>
      <w:r w:rsidRPr="00C046EA">
        <w:rPr>
          <w:rFonts w:ascii="Garamond" w:hAnsi="Garamond"/>
          <w:i/>
          <w:sz w:val="20"/>
          <w:szCs w:val="20"/>
        </w:rPr>
        <w:t>2019 Wellbeing Budget – changes for superannuitants</w:t>
      </w:r>
      <w:r w:rsidRPr="00C046EA">
        <w:rPr>
          <w:rFonts w:ascii="Garamond" w:hAnsi="Garamond"/>
          <w:sz w:val="20"/>
          <w:szCs w:val="20"/>
        </w:rPr>
        <w:t xml:space="preserve">, 30 May 2019 accessible </w:t>
      </w:r>
      <w:hyperlink r:id="rId86" w:anchor="null" w:history="1">
        <w:r w:rsidRPr="00C046EA">
          <w:rPr>
            <w:rStyle w:val="Hyperlink"/>
            <w:rFonts w:ascii="Garamond" w:hAnsi="Garamond"/>
            <w:sz w:val="20"/>
            <w:szCs w:val="20"/>
          </w:rPr>
          <w:t>here</w:t>
        </w:r>
      </w:hyperlink>
      <w:r w:rsidRPr="00C046EA">
        <w:rPr>
          <w:rFonts w:ascii="Garamond" w:hAnsi="Garamond"/>
          <w:sz w:val="20"/>
          <w:szCs w:val="20"/>
        </w:rPr>
        <w:t>.</w:t>
      </w:r>
      <w:r>
        <w:rPr>
          <w:rFonts w:ascii="Garamond" w:hAnsi="Garamond"/>
          <w:sz w:val="20"/>
          <w:szCs w:val="20"/>
        </w:rPr>
        <w:t xml:space="preserve">  The MSD suggests that there will need to be a change to the Social Security Act.  We don’t agree.  Section 70(1)(a) of the Act (accessible </w:t>
      </w:r>
      <w:hyperlink r:id="rId87" w:history="1">
        <w:r w:rsidRPr="00783106">
          <w:rPr>
            <w:rStyle w:val="Hyperlink"/>
            <w:rFonts w:ascii="Garamond" w:hAnsi="Garamond"/>
            <w:sz w:val="20"/>
            <w:szCs w:val="20"/>
          </w:rPr>
          <w:t>here</w:t>
        </w:r>
      </w:hyperlink>
      <w:r>
        <w:rPr>
          <w:rFonts w:ascii="Garamond" w:hAnsi="Garamond"/>
          <w:sz w:val="20"/>
          <w:szCs w:val="20"/>
        </w:rPr>
        <w:t xml:space="preserve">) gives an unfettered discretion to the MSD’s Chief Executive decides that the deduction is appropriate.  The Chief Executive needs only to decide that Spouse B is not entitled to the pension currently affected by the spousal deduction, as indeed will usually be the case. </w:t>
      </w:r>
    </w:p>
  </w:footnote>
  <w:footnote w:id="99">
    <w:p w14:paraId="7A9066CA" w14:textId="5FE2DABC"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Some countries (such as the UK) pay a pension to Spouse A (in our example) that is specifically increased if Spouse A has a dependent adult (that will stop in 2020 with the new ‘Single Tier State Pension’).  In that situation, the overseas spousal allowance is analogous to Spouse B’s NZS.</w:t>
      </w:r>
    </w:p>
  </w:footnote>
  <w:footnote w:id="100">
    <w:p w14:paraId="15644F63" w14:textId="5885C643"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 pension that arises from government service is excluded if it qualifies under the definition of a ‘government occupational pension’ in section 3 of the Social Security Act.  That must, however, relate to the person’s government service.  The fact that it is an occupational pension rather than one that is analogous to NZS should be all that matters.  If the pension’s derivation drove the distinction as we suggest, Canada’s CPP and QPP would be outside the DDP.</w:t>
      </w:r>
    </w:p>
  </w:footnote>
  <w:footnote w:id="101">
    <w:p w14:paraId="0B92B03E" w14:textId="305B0D0D"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w:t>
      </w:r>
      <w:r>
        <w:rPr>
          <w:rFonts w:ascii="Garamond" w:hAnsi="Garamond"/>
          <w:sz w:val="20"/>
          <w:szCs w:val="20"/>
        </w:rPr>
        <w:t xml:space="preserve">2016 </w:t>
      </w:r>
      <w:r>
        <w:rPr>
          <w:rFonts w:ascii="Garamond" w:hAnsi="Garamond"/>
          <w:i/>
          <w:sz w:val="20"/>
          <w:szCs w:val="20"/>
        </w:rPr>
        <w:t xml:space="preserve">Agreement on Social Security between the Government of New Zealand and the Government of </w:t>
      </w:r>
      <w:r w:rsidRPr="00701CA1">
        <w:rPr>
          <w:rFonts w:ascii="Garamond" w:hAnsi="Garamond"/>
          <w:sz w:val="20"/>
          <w:szCs w:val="20"/>
        </w:rPr>
        <w:t>Australia</w:t>
      </w:r>
      <w:r>
        <w:rPr>
          <w:rFonts w:ascii="Garamond" w:hAnsi="Garamond"/>
          <w:sz w:val="20"/>
          <w:szCs w:val="20"/>
        </w:rPr>
        <w:t xml:space="preserve"> is accessible </w:t>
      </w:r>
      <w:hyperlink r:id="rId88" w:history="1">
        <w:r w:rsidRPr="00E919F1">
          <w:rPr>
            <w:rStyle w:val="Hyperlink"/>
            <w:rFonts w:ascii="Garamond" w:hAnsi="Garamond"/>
            <w:sz w:val="20"/>
            <w:szCs w:val="20"/>
          </w:rPr>
          <w:t>here</w:t>
        </w:r>
      </w:hyperlink>
      <w:r>
        <w:rPr>
          <w:rFonts w:ascii="Garamond" w:hAnsi="Garamond"/>
          <w:sz w:val="20"/>
          <w:szCs w:val="20"/>
        </w:rPr>
        <w:t xml:space="preserve"> and came into effect on 1 July 2017.  </w:t>
      </w:r>
      <w:r w:rsidRPr="00043E1D">
        <w:rPr>
          <w:rFonts w:ascii="Garamond" w:hAnsi="Garamond"/>
          <w:sz w:val="20"/>
          <w:szCs w:val="20"/>
        </w:rPr>
        <w:t xml:space="preserve">The Australian agreement is one of eight </w:t>
      </w:r>
      <w:r>
        <w:rPr>
          <w:rFonts w:ascii="Garamond" w:hAnsi="Garamond"/>
          <w:sz w:val="20"/>
          <w:szCs w:val="20"/>
        </w:rPr>
        <w:t xml:space="preserve">similar agreements </w:t>
      </w:r>
      <w:r w:rsidRPr="00043E1D">
        <w:rPr>
          <w:rFonts w:ascii="Garamond" w:hAnsi="Garamond"/>
          <w:sz w:val="20"/>
          <w:szCs w:val="20"/>
        </w:rPr>
        <w:t>with different countries – the others are the United Kingdom, the Netherlands, Canada, Greece, Ireland, Denmark</w:t>
      </w:r>
      <w:r>
        <w:rPr>
          <w:rFonts w:ascii="Garamond" w:hAnsi="Garamond"/>
          <w:sz w:val="20"/>
          <w:szCs w:val="20"/>
        </w:rPr>
        <w:t>, Malta</w:t>
      </w:r>
      <w:r w:rsidRPr="00043E1D">
        <w:rPr>
          <w:rFonts w:ascii="Garamond" w:hAnsi="Garamond"/>
          <w:sz w:val="20"/>
          <w:szCs w:val="20"/>
        </w:rPr>
        <w:t xml:space="preserve"> and Jersey and Guernsey</w:t>
      </w:r>
      <w:r>
        <w:rPr>
          <w:rFonts w:ascii="Garamond" w:hAnsi="Garamond"/>
          <w:sz w:val="20"/>
          <w:szCs w:val="20"/>
        </w:rPr>
        <w:t xml:space="preserve"> (see </w:t>
      </w:r>
      <w:hyperlink r:id="rId89" w:history="1">
        <w:r w:rsidRPr="00E919F1">
          <w:rPr>
            <w:rStyle w:val="Hyperlink"/>
            <w:rFonts w:ascii="Garamond" w:hAnsi="Garamond"/>
            <w:sz w:val="20"/>
            <w:szCs w:val="20"/>
          </w:rPr>
          <w:t>here</w:t>
        </w:r>
      </w:hyperlink>
      <w:r>
        <w:rPr>
          <w:rFonts w:ascii="Garamond" w:hAnsi="Garamond"/>
          <w:sz w:val="20"/>
          <w:szCs w:val="20"/>
        </w:rPr>
        <w:t xml:space="preserve"> for the list)</w:t>
      </w:r>
      <w:r w:rsidRPr="00043E1D">
        <w:rPr>
          <w:rFonts w:ascii="Garamond" w:hAnsi="Garamond"/>
          <w:sz w:val="20"/>
          <w:szCs w:val="20"/>
        </w:rPr>
        <w:t>.</w:t>
      </w:r>
    </w:p>
  </w:footnote>
  <w:footnote w:id="102">
    <w:p w14:paraId="606FA54F" w14:textId="00CA6610" w:rsidR="00CD6F06" w:rsidRPr="00043E1D" w:rsidRDefault="00CD6F06" w:rsidP="00891E0F">
      <w:pPr>
        <w:jc w:val="both"/>
        <w:rPr>
          <w:lang w:val="en-US"/>
        </w:rPr>
      </w:pPr>
      <w:r w:rsidRPr="00043E1D">
        <w:rPr>
          <w:rStyle w:val="FootnoteReference"/>
          <w:rFonts w:ascii="Garamond" w:hAnsi="Garamond"/>
          <w:sz w:val="20"/>
          <w:szCs w:val="20"/>
        </w:rPr>
        <w:footnoteRef/>
      </w:r>
      <w:r w:rsidRPr="00043E1D">
        <w:rPr>
          <w:rFonts w:ascii="Garamond" w:hAnsi="Garamond"/>
          <w:sz w:val="20"/>
          <w:szCs w:val="20"/>
        </w:rPr>
        <w:t xml:space="preserve"> New Zealand’s state pension age </w:t>
      </w:r>
      <w:r>
        <w:rPr>
          <w:rFonts w:ascii="Garamond" w:hAnsi="Garamond"/>
          <w:sz w:val="20"/>
          <w:szCs w:val="20"/>
        </w:rPr>
        <w:t>is now</w:t>
      </w:r>
      <w:r w:rsidRPr="00043E1D">
        <w:rPr>
          <w:rFonts w:ascii="Garamond" w:hAnsi="Garamond"/>
          <w:sz w:val="20"/>
          <w:szCs w:val="20"/>
        </w:rPr>
        <w:t xml:space="preserve"> out of phase with Australia (see </w:t>
      </w:r>
      <w:hyperlink r:id="rId90" w:history="1">
        <w:r w:rsidRPr="00043E1D">
          <w:rPr>
            <w:rStyle w:val="Hyperlink"/>
            <w:rFonts w:ascii="Garamond" w:hAnsi="Garamond"/>
            <w:sz w:val="20"/>
            <w:szCs w:val="20"/>
          </w:rPr>
          <w:t>here</w:t>
        </w:r>
      </w:hyperlink>
      <w:r w:rsidRPr="00043E1D">
        <w:rPr>
          <w:rFonts w:ascii="Garamond" w:hAnsi="Garamond"/>
          <w:sz w:val="20"/>
          <w:szCs w:val="20"/>
        </w:rPr>
        <w:t xml:space="preserve">) as </w:t>
      </w:r>
      <w:r>
        <w:rPr>
          <w:rFonts w:ascii="Garamond" w:hAnsi="Garamond"/>
          <w:sz w:val="20"/>
          <w:szCs w:val="20"/>
        </w:rPr>
        <w:t>that</w:t>
      </w:r>
      <w:r w:rsidRPr="00043E1D">
        <w:rPr>
          <w:rFonts w:ascii="Garamond" w:hAnsi="Garamond"/>
          <w:sz w:val="20"/>
          <w:szCs w:val="20"/>
        </w:rPr>
        <w:t xml:space="preserve"> shifts from 65 to 67 </w:t>
      </w:r>
      <w:r>
        <w:rPr>
          <w:rFonts w:ascii="Garamond" w:hAnsi="Garamond"/>
          <w:sz w:val="20"/>
          <w:szCs w:val="20"/>
        </w:rPr>
        <w:t xml:space="preserve">between 2017 and  2023 </w:t>
      </w:r>
      <w:r w:rsidRPr="00043E1D">
        <w:rPr>
          <w:rFonts w:ascii="Garamond" w:hAnsi="Garamond"/>
          <w:sz w:val="20"/>
          <w:szCs w:val="20"/>
        </w:rPr>
        <w:t xml:space="preserve">while we keep age 65.  The Australian qualifying age is now 65½.  If the </w:t>
      </w:r>
      <w:r>
        <w:rPr>
          <w:rFonts w:ascii="Garamond" w:hAnsi="Garamond"/>
          <w:sz w:val="20"/>
          <w:szCs w:val="20"/>
        </w:rPr>
        <w:t>Australian</w:t>
      </w:r>
      <w:r w:rsidRPr="00043E1D">
        <w:rPr>
          <w:rFonts w:ascii="Garamond" w:hAnsi="Garamond"/>
          <w:sz w:val="20"/>
          <w:szCs w:val="20"/>
        </w:rPr>
        <w:t xml:space="preserve"> government realises its wish to increase its state pension age to 70 between 2025 and 2035 (see </w:t>
      </w:r>
      <w:hyperlink r:id="rId91" w:history="1">
        <w:r w:rsidRPr="00043E1D">
          <w:rPr>
            <w:rStyle w:val="Hyperlink"/>
            <w:rFonts w:ascii="Garamond" w:hAnsi="Garamond"/>
            <w:sz w:val="20"/>
            <w:szCs w:val="20"/>
          </w:rPr>
          <w:t>here</w:t>
        </w:r>
      </w:hyperlink>
      <w:r w:rsidRPr="00043E1D">
        <w:rPr>
          <w:rFonts w:ascii="Garamond" w:hAnsi="Garamond"/>
          <w:sz w:val="20"/>
          <w:szCs w:val="20"/>
        </w:rPr>
        <w:t xml:space="preserve">), that discontinuity will become more pronounced and permanent.  </w:t>
      </w:r>
      <w:r>
        <w:rPr>
          <w:rFonts w:ascii="Garamond" w:hAnsi="Garamond"/>
          <w:sz w:val="20"/>
          <w:szCs w:val="20"/>
        </w:rPr>
        <w:t xml:space="preserve">In a press release about the new arrangements </w:t>
      </w:r>
      <w:hyperlink r:id="rId92" w:history="1">
        <w:r w:rsidRPr="00E919F1">
          <w:rPr>
            <w:rStyle w:val="Hyperlink"/>
            <w:rFonts w:ascii="Garamond" w:hAnsi="Garamond"/>
            <w:sz w:val="20"/>
            <w:szCs w:val="20"/>
          </w:rPr>
          <w:t>here</w:t>
        </w:r>
      </w:hyperlink>
      <w:r>
        <w:rPr>
          <w:rFonts w:ascii="Garamond" w:hAnsi="Garamond"/>
          <w:sz w:val="20"/>
          <w:szCs w:val="20"/>
        </w:rPr>
        <w:t xml:space="preserve">, the Ministry of Social Development implied that New Zealand’s state pension age for a former Australian resident is now the same as the increasing state pension age in Australia </w:t>
      </w:r>
      <w:r w:rsidRPr="00966E75">
        <w:rPr>
          <w:rFonts w:ascii="Garamond" w:hAnsi="Garamond"/>
          <w:sz w:val="20"/>
          <w:szCs w:val="20"/>
        </w:rPr>
        <w:t>(“</w:t>
      </w:r>
      <w:r w:rsidRPr="00701CA1">
        <w:rPr>
          <w:rFonts w:ascii="Garamond" w:hAnsi="Garamond" w:cs="Arial"/>
          <w:color w:val="000000"/>
          <w:sz w:val="20"/>
          <w:szCs w:val="20"/>
          <w:shd w:val="clear" w:color="auto" w:fill="FFFFFF"/>
        </w:rPr>
        <w:t>The age of entitlement for those accessing an age-related pension under the Agreement has been aligned following an increase in the qualifying age for the Australian Age Pension, on 1 July.”</w:t>
      </w:r>
      <w:r>
        <w:rPr>
          <w:rFonts w:ascii="Garamond" w:hAnsi="Garamond" w:cs="Arial"/>
          <w:color w:val="000000"/>
          <w:sz w:val="20"/>
          <w:szCs w:val="20"/>
          <w:shd w:val="clear" w:color="auto" w:fill="FFFFFF"/>
        </w:rPr>
        <w:t xml:space="preserve">  However, there is no reference to this in the public explanation of the new Australian arrangement on Work and Income’s own website ‘Getting a pension benefit in New Zealand’ </w:t>
      </w:r>
      <w:hyperlink r:id="rId93" w:anchor="null" w:history="1">
        <w:r w:rsidRPr="00966E75">
          <w:rPr>
            <w:rStyle w:val="Hyperlink"/>
            <w:rFonts w:ascii="Garamond" w:hAnsi="Garamond" w:cs="Arial"/>
            <w:sz w:val="20"/>
            <w:szCs w:val="20"/>
            <w:shd w:val="clear" w:color="auto" w:fill="FFFFFF"/>
          </w:rPr>
          <w:t>here</w:t>
        </w:r>
      </w:hyperlink>
      <w:r>
        <w:rPr>
          <w:rFonts w:ascii="Garamond" w:hAnsi="Garamond" w:cs="Arial"/>
          <w:color w:val="000000"/>
          <w:sz w:val="20"/>
          <w:szCs w:val="20"/>
          <w:shd w:val="clear" w:color="auto" w:fill="FFFFFF"/>
        </w:rPr>
        <w:t>.  The only age requirement stated is that the applicant must be “65 or over”.  That, at least, needs fixing.</w:t>
      </w:r>
    </w:p>
  </w:footnote>
  <w:footnote w:id="103">
    <w:p w14:paraId="58A513A9" w14:textId="413266E0"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Source: </w:t>
      </w:r>
      <w:r w:rsidRPr="00043E1D">
        <w:rPr>
          <w:rFonts w:ascii="Garamond" w:hAnsi="Garamond"/>
          <w:i/>
          <w:sz w:val="20"/>
          <w:szCs w:val="20"/>
        </w:rPr>
        <w:t>Social Security Programs Throughout the World: Asia and Pacific</w:t>
      </w:r>
      <w:r w:rsidRPr="00043E1D">
        <w:rPr>
          <w:rFonts w:ascii="Garamond" w:hAnsi="Garamond"/>
          <w:sz w:val="20"/>
          <w:szCs w:val="20"/>
        </w:rPr>
        <w:t xml:space="preserve">, 2016 accessible </w:t>
      </w:r>
      <w:hyperlink r:id="rId94" w:history="1">
        <w:r w:rsidRPr="00043E1D">
          <w:rPr>
            <w:rStyle w:val="Hyperlink"/>
            <w:rFonts w:ascii="Garamond" w:hAnsi="Garamond"/>
            <w:sz w:val="20"/>
            <w:szCs w:val="20"/>
          </w:rPr>
          <w:t>here</w:t>
        </w:r>
      </w:hyperlink>
      <w:r w:rsidRPr="00043E1D">
        <w:rPr>
          <w:rFonts w:ascii="Garamond" w:hAnsi="Garamond"/>
          <w:sz w:val="20"/>
          <w:szCs w:val="20"/>
        </w:rPr>
        <w:t>.</w:t>
      </w:r>
    </w:p>
  </w:footnote>
  <w:footnote w:id="104">
    <w:p w14:paraId="4DAB1B65" w14:textId="63935EE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two-tiered arrangement was replaced from 6 April 2016 by a single-tier State Pension, with protected rights for accruals under the previous State Second Pension.  The special case of the UK will eventually cease to be an issue under New Zealand’s DDP because there is no ‘contracting out’ under the single tier pension.</w:t>
      </w:r>
    </w:p>
  </w:footnote>
  <w:footnote w:id="105">
    <w:p w14:paraId="11673AD1" w14:textId="2DE07D9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Retirement Commissioner’s 2016 Review of Retirement Income Policies  accessible </w:t>
      </w:r>
      <w:hyperlink r:id="rId95" w:history="1">
        <w:r w:rsidRPr="00043E1D">
          <w:rPr>
            <w:rStyle w:val="Hyperlink"/>
            <w:rFonts w:ascii="Garamond" w:hAnsi="Garamond"/>
            <w:sz w:val="20"/>
            <w:szCs w:val="20"/>
          </w:rPr>
          <w:t>here</w:t>
        </w:r>
      </w:hyperlink>
      <w:r w:rsidRPr="00043E1D">
        <w:rPr>
          <w:rFonts w:ascii="Garamond" w:hAnsi="Garamond"/>
          <w:sz w:val="20"/>
          <w:szCs w:val="20"/>
        </w:rPr>
        <w:t>, at page 25.</w:t>
      </w:r>
    </w:p>
  </w:footnote>
  <w:footnote w:id="106">
    <w:p w14:paraId="3759A7D9" w14:textId="5BC5E82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kind of calculation applies when a superannuitant leaves New Zealand after age 65 – NZS is re-calculated based on months of residence after age 20.  The full pension </w:t>
      </w:r>
      <w:r>
        <w:rPr>
          <w:rFonts w:ascii="Garamond" w:hAnsi="Garamond"/>
          <w:sz w:val="20"/>
          <w:szCs w:val="20"/>
        </w:rPr>
        <w:t>remains</w:t>
      </w:r>
      <w:r w:rsidRPr="00043E1D">
        <w:rPr>
          <w:rFonts w:ascii="Garamond" w:hAnsi="Garamond"/>
          <w:sz w:val="20"/>
          <w:szCs w:val="20"/>
        </w:rPr>
        <w:t xml:space="preserve"> payable only after 45 years’ residence.</w:t>
      </w:r>
    </w:p>
  </w:footnote>
  <w:footnote w:id="107">
    <w:p w14:paraId="2EF40C6E" w14:textId="161EAD0E"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Retirement Commissioner’s </w:t>
      </w:r>
      <w:r w:rsidRPr="00043E1D">
        <w:rPr>
          <w:rFonts w:ascii="Garamond" w:hAnsi="Garamond"/>
          <w:i/>
          <w:sz w:val="20"/>
          <w:szCs w:val="20"/>
        </w:rPr>
        <w:t>2016</w:t>
      </w:r>
      <w:r w:rsidRPr="00043E1D">
        <w:rPr>
          <w:rFonts w:ascii="Garamond" w:hAnsi="Garamond"/>
          <w:sz w:val="20"/>
          <w:szCs w:val="20"/>
        </w:rPr>
        <w:t xml:space="preserve"> </w:t>
      </w:r>
      <w:r w:rsidRPr="00043E1D">
        <w:rPr>
          <w:rFonts w:ascii="Garamond" w:hAnsi="Garamond"/>
          <w:i/>
          <w:sz w:val="20"/>
          <w:szCs w:val="20"/>
        </w:rPr>
        <w:t>Review</w:t>
      </w:r>
      <w:r w:rsidRPr="00043E1D">
        <w:rPr>
          <w:rFonts w:ascii="Garamond" w:hAnsi="Garamond"/>
          <w:sz w:val="20"/>
          <w:szCs w:val="20"/>
        </w:rPr>
        <w:t xml:space="preserve"> recommended the publication of those details (see </w:t>
      </w:r>
      <w:hyperlink r:id="rId96" w:history="1">
        <w:r w:rsidRPr="00043E1D">
          <w:rPr>
            <w:rStyle w:val="Hyperlink"/>
            <w:rFonts w:ascii="Garamond" w:hAnsi="Garamond"/>
            <w:sz w:val="20"/>
            <w:szCs w:val="20"/>
          </w:rPr>
          <w:t>here</w:t>
        </w:r>
      </w:hyperlink>
      <w:r w:rsidRPr="00043E1D">
        <w:rPr>
          <w:rFonts w:ascii="Garamond" w:hAnsi="Garamond"/>
          <w:sz w:val="20"/>
          <w:szCs w:val="20"/>
        </w:rPr>
        <w:t xml:space="preserve"> at page 25).  The government, for no stated reason, disagrees.  In the Minister’s letter of 7 June 2017 to the Retirement Commissioner, she said: “While the Government is not in favour of publishing a list of overseas pensions that are deducted from NZ Super and social security benefits, the Ministry of Social Development will consider how to improve the accessibility of information through its website. (letter accessible </w:t>
      </w:r>
      <w:hyperlink r:id="rId97" w:history="1">
        <w:r w:rsidRPr="00043E1D">
          <w:rPr>
            <w:rStyle w:val="Hyperlink"/>
            <w:rFonts w:ascii="Garamond" w:hAnsi="Garamond"/>
            <w:sz w:val="20"/>
            <w:szCs w:val="20"/>
          </w:rPr>
          <w:t>here</w:t>
        </w:r>
      </w:hyperlink>
      <w:r w:rsidRPr="00043E1D">
        <w:rPr>
          <w:rFonts w:ascii="Garamond" w:hAnsi="Garamond"/>
          <w:sz w:val="20"/>
          <w:szCs w:val="20"/>
        </w:rPr>
        <w:t>).  We don’t understand why the Minister supports that view, nor why the Ministry hasn’t already agreed to publish that information.  As a service-provider, it should be thinking about its ‘customers’.</w:t>
      </w:r>
    </w:p>
  </w:footnote>
  <w:footnote w:id="108">
    <w:p w14:paraId="2221A274" w14:textId="0121AD32"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This change means that the income-testing measure in the Social Security Act (based on </w:t>
      </w:r>
      <w:r w:rsidRPr="00043E1D">
        <w:rPr>
          <w:rFonts w:ascii="Garamond" w:hAnsi="Garamond"/>
          <w:i/>
          <w:sz w:val="20"/>
          <w:szCs w:val="20"/>
          <w:lang w:val="en-US"/>
        </w:rPr>
        <w:t>household</w:t>
      </w:r>
      <w:r w:rsidRPr="00043E1D">
        <w:rPr>
          <w:rFonts w:ascii="Garamond" w:hAnsi="Garamond"/>
          <w:sz w:val="20"/>
          <w:szCs w:val="20"/>
          <w:lang w:val="en-US"/>
        </w:rPr>
        <w:t xml:space="preserve"> income) could be tailored to the NZS benefit that is an </w:t>
      </w:r>
      <w:r w:rsidRPr="00043E1D">
        <w:rPr>
          <w:rFonts w:ascii="Garamond" w:hAnsi="Garamond"/>
          <w:i/>
          <w:sz w:val="20"/>
          <w:szCs w:val="20"/>
          <w:lang w:val="en-US"/>
        </w:rPr>
        <w:t>individual</w:t>
      </w:r>
      <w:r w:rsidRPr="00043E1D">
        <w:rPr>
          <w:rFonts w:ascii="Garamond" w:hAnsi="Garamond"/>
          <w:sz w:val="20"/>
          <w:szCs w:val="20"/>
          <w:lang w:val="en-US"/>
        </w:rPr>
        <w:t xml:space="preserve"> entitlement.</w:t>
      </w:r>
      <w:r>
        <w:rPr>
          <w:rFonts w:ascii="Garamond" w:hAnsi="Garamond"/>
          <w:sz w:val="20"/>
          <w:szCs w:val="20"/>
          <w:lang w:val="en-US"/>
        </w:rPr>
        <w:t xml:space="preserve">  Currently, there is a disconnect between the benefit-design policies that underpin NZS and all other income-style benefits. </w:t>
      </w:r>
    </w:p>
  </w:footnote>
  <w:footnote w:id="109">
    <w:p w14:paraId="2EDD5A90" w14:textId="794FEBF8" w:rsidR="00CD6F06" w:rsidRPr="00043E1D" w:rsidRDefault="00CD6F06">
      <w:pPr>
        <w:jc w:val="both"/>
        <w:rPr>
          <w:rFonts w:ascii="Garamond" w:hAnsi="Garamond"/>
          <w:sz w:val="20"/>
          <w:szCs w:val="20"/>
        </w:rPr>
      </w:pPr>
      <w:r w:rsidRPr="00043E1D">
        <w:rPr>
          <w:rStyle w:val="FootnoteReference"/>
          <w:rFonts w:ascii="Garamond" w:hAnsi="Garamond"/>
        </w:rPr>
        <w:footnoteRef/>
      </w:r>
      <w:r w:rsidRPr="00043E1D">
        <w:rPr>
          <w:rFonts w:ascii="Garamond" w:hAnsi="Garamond"/>
        </w:rPr>
        <w:t xml:space="preserve"> </w:t>
      </w:r>
      <w:r w:rsidRPr="00043E1D">
        <w:rPr>
          <w:rFonts w:ascii="Garamond" w:hAnsi="Garamond"/>
          <w:sz w:val="20"/>
          <w:szCs w:val="20"/>
        </w:rPr>
        <w:t xml:space="preserve">This section is based on a submission by Michael Littlewood for the Retirement Commissioner’s 2016 Review: </w:t>
      </w:r>
      <w:r w:rsidRPr="00043E1D">
        <w:rPr>
          <w:rFonts w:ascii="Garamond" w:hAnsi="Garamond"/>
          <w:i/>
          <w:sz w:val="20"/>
          <w:szCs w:val="20"/>
        </w:rPr>
        <w:t>Ageing populations, retirement incomes and public policy: the four ‘first principles’ of policy-making - A submission to the Commission for Financial Capability</w:t>
      </w:r>
      <w:r w:rsidRPr="00043E1D">
        <w:rPr>
          <w:rFonts w:ascii="Garamond" w:hAnsi="Garamond"/>
          <w:sz w:val="20"/>
          <w:szCs w:val="20"/>
        </w:rPr>
        <w:t xml:space="preserve"> (accessible </w:t>
      </w:r>
      <w:hyperlink r:id="rId98" w:history="1">
        <w:r w:rsidRPr="00043E1D">
          <w:rPr>
            <w:rStyle w:val="Hyperlink"/>
            <w:rFonts w:ascii="Garamond" w:hAnsi="Garamond"/>
            <w:sz w:val="20"/>
            <w:szCs w:val="20"/>
          </w:rPr>
          <w:t>here</w:t>
        </w:r>
      </w:hyperlink>
      <w:r w:rsidRPr="00043E1D">
        <w:rPr>
          <w:rFonts w:ascii="Garamond" w:hAnsi="Garamond"/>
          <w:sz w:val="20"/>
          <w:szCs w:val="20"/>
        </w:rPr>
        <w:t>).</w:t>
      </w:r>
    </w:p>
  </w:footnote>
  <w:footnote w:id="110">
    <w:p w14:paraId="07BAF411" w14:textId="508B87E6"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They are ‘neutral’ as long as the marginal tax rates on retirement incomes are equivalent to the rates payable on income during the accumulation period.  However, given that retirement incomes are generally lower, average taxes on retirement income will also generally be lower.  This means that, even if all withdrawals are taxed under EET (that usually doesn’t happen), there is a natural tax bias that favours EET in an expenditure tax environment.</w:t>
      </w:r>
    </w:p>
  </w:footnote>
  <w:footnote w:id="111">
    <w:p w14:paraId="5F3F066F" w14:textId="3C2B7776"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In New Zealand, about 60% of tax revenue was income tax in the 2014/15 year: see </w:t>
      </w:r>
      <w:r w:rsidRPr="00043E1D">
        <w:rPr>
          <w:rFonts w:ascii="Garamond" w:hAnsi="Garamond"/>
          <w:i/>
          <w:sz w:val="20"/>
          <w:szCs w:val="20"/>
        </w:rPr>
        <w:t>Briefing for the Incoming Minister of Revenue – 2015</w:t>
      </w:r>
      <w:r w:rsidRPr="00043E1D">
        <w:rPr>
          <w:rFonts w:ascii="Garamond" w:hAnsi="Garamond"/>
          <w:sz w:val="20"/>
          <w:szCs w:val="20"/>
        </w:rPr>
        <w:t xml:space="preserve">, Inland Revenue (accessible </w:t>
      </w:r>
      <w:hyperlink r:id="rId99" w:history="1">
        <w:r w:rsidRPr="00043E1D">
          <w:rPr>
            <w:rStyle w:val="Hyperlink"/>
            <w:rFonts w:ascii="Garamond" w:hAnsi="Garamond"/>
            <w:sz w:val="20"/>
            <w:szCs w:val="20"/>
          </w:rPr>
          <w:t>here</w:t>
        </w:r>
      </w:hyperlink>
      <w:r w:rsidRPr="00043E1D">
        <w:rPr>
          <w:rFonts w:ascii="Garamond" w:hAnsi="Garamond"/>
          <w:sz w:val="20"/>
          <w:szCs w:val="20"/>
        </w:rPr>
        <w:t>).  40% was through GST and excise duties.</w:t>
      </w:r>
    </w:p>
  </w:footnote>
  <w:footnote w:id="112">
    <w:p w14:paraId="0FE6B568" w14:textId="1FBA7F6D"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Ross Guest in </w:t>
      </w:r>
      <w:r w:rsidRPr="00043E1D">
        <w:rPr>
          <w:rFonts w:ascii="Garamond" w:hAnsi="Garamond"/>
          <w:i/>
          <w:sz w:val="20"/>
          <w:szCs w:val="20"/>
        </w:rPr>
        <w:t>Comparison of the New Zealand and Australian Retirement Income Systems</w:t>
      </w:r>
      <w:r w:rsidRPr="00043E1D">
        <w:rPr>
          <w:rFonts w:ascii="Garamond" w:hAnsi="Garamond"/>
          <w:sz w:val="20"/>
          <w:szCs w:val="20"/>
        </w:rPr>
        <w:t xml:space="preserve"> (2013) accessible </w:t>
      </w:r>
      <w:hyperlink r:id="rId100" w:history="1">
        <w:r w:rsidRPr="00043E1D">
          <w:rPr>
            <w:rStyle w:val="Hyperlink"/>
            <w:rFonts w:ascii="Garamond" w:hAnsi="Garamond"/>
            <w:sz w:val="20"/>
            <w:szCs w:val="20"/>
          </w:rPr>
          <w:t>here</w:t>
        </w:r>
      </w:hyperlink>
      <w:r w:rsidRPr="00043E1D">
        <w:rPr>
          <w:rFonts w:ascii="Garamond" w:hAnsi="Garamond"/>
          <w:sz w:val="20"/>
          <w:szCs w:val="20"/>
        </w:rPr>
        <w:t xml:space="preserve"> summarises the tax treatment: in Australia, contributions are taxed at a flat rate of 15% to an annual cap of $A25,000.  Investment income is taxed at a rate that probably averages 8% and benefits are tax-free if withdrawn after age 60.  The lowest individual marginal rate of income tax is 19% after a tax-free band of $A18,200.  The tax rules changed from 1 July 2017, including reduced concessions for very high earners and deductibility for employee contributions (see </w:t>
      </w:r>
      <w:hyperlink r:id="rId101" w:history="1">
        <w:r w:rsidRPr="00043E1D">
          <w:rPr>
            <w:rStyle w:val="Hyperlink"/>
            <w:rFonts w:ascii="Garamond" w:hAnsi="Garamond"/>
            <w:sz w:val="20"/>
            <w:szCs w:val="20"/>
          </w:rPr>
          <w:t>here</w:t>
        </w:r>
      </w:hyperlink>
      <w:r w:rsidRPr="00043E1D">
        <w:rPr>
          <w:rFonts w:ascii="Garamond" w:hAnsi="Garamond"/>
          <w:sz w:val="20"/>
          <w:szCs w:val="20"/>
        </w:rPr>
        <w:t>).</w:t>
      </w:r>
    </w:p>
  </w:footnote>
  <w:footnote w:id="113">
    <w:p w14:paraId="20CA0B88" w14:textId="4222CCD1"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In </w:t>
      </w:r>
      <w:r w:rsidRPr="00043E1D">
        <w:rPr>
          <w:rFonts w:ascii="Garamond" w:hAnsi="Garamond"/>
          <w:i/>
          <w:sz w:val="20"/>
          <w:szCs w:val="20"/>
        </w:rPr>
        <w:t xml:space="preserve">How to create a competitive market in pensions: the international lessons </w:t>
      </w:r>
      <w:r w:rsidRPr="00043E1D">
        <w:rPr>
          <w:rFonts w:ascii="Garamond" w:hAnsi="Garamond"/>
          <w:sz w:val="20"/>
          <w:szCs w:val="20"/>
        </w:rPr>
        <w:t>(1998), Institute of Economic Affairs, London, Michael Littlewood explains the mathematics behind this suggestion.</w:t>
      </w:r>
    </w:p>
  </w:footnote>
  <w:footnote w:id="114">
    <w:p w14:paraId="02293574" w14:textId="1F701793"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Not many countries count the cost of tax incentives for retirement saving.  In 2009, Australia spent almost as much on tax incentives ($A24.6 bn) as it spent on the entire Tier 1 ‘Age Pension’ ($A26.7 bn) – see </w:t>
      </w:r>
      <w:r w:rsidRPr="00043E1D">
        <w:rPr>
          <w:rFonts w:ascii="Garamond" w:hAnsi="Garamond"/>
          <w:i/>
          <w:sz w:val="20"/>
          <w:szCs w:val="20"/>
        </w:rPr>
        <w:t xml:space="preserve">The great superannuation tax concession rort </w:t>
      </w:r>
      <w:r w:rsidRPr="00043E1D">
        <w:rPr>
          <w:rFonts w:ascii="Garamond" w:hAnsi="Garamond"/>
          <w:sz w:val="20"/>
          <w:szCs w:val="20"/>
        </w:rPr>
        <w:t xml:space="preserve">(2009), David Ingles, The Australia Institute (accessible </w:t>
      </w:r>
      <w:hyperlink r:id="rId102" w:history="1">
        <w:r w:rsidRPr="00043E1D">
          <w:rPr>
            <w:rStyle w:val="Hyperlink"/>
            <w:rFonts w:ascii="Garamond" w:hAnsi="Garamond"/>
            <w:sz w:val="20"/>
            <w:szCs w:val="20"/>
          </w:rPr>
          <w:t>here</w:t>
        </w:r>
      </w:hyperlink>
      <w:r w:rsidRPr="00043E1D">
        <w:rPr>
          <w:rFonts w:ascii="Garamond" w:hAnsi="Garamond"/>
          <w:sz w:val="20"/>
          <w:szCs w:val="20"/>
        </w:rPr>
        <w:t>).</w:t>
      </w:r>
    </w:p>
  </w:footnote>
  <w:footnote w:id="115">
    <w:p w14:paraId="01F45CD7" w14:textId="6BB1DC81"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David Ingles (</w:t>
      </w:r>
      <w:r w:rsidRPr="00043E1D">
        <w:rPr>
          <w:rFonts w:ascii="Garamond" w:hAnsi="Garamond"/>
          <w:i/>
          <w:sz w:val="20"/>
          <w:szCs w:val="20"/>
        </w:rPr>
        <w:t>op cit</w:t>
      </w:r>
      <w:r w:rsidRPr="00043E1D">
        <w:rPr>
          <w:rFonts w:ascii="Garamond" w:hAnsi="Garamond"/>
          <w:sz w:val="20"/>
          <w:szCs w:val="20"/>
        </w:rPr>
        <w:t xml:space="preserve">) suggests that in Australia, “The current concessions provide almost no benefit to low-income earners.”  Again: “The system has become so skewed that the annual cost of providing superannuation tax concessions to high-income earners is much greater than the cost of simply paying those same individuals the age pension.  Providing tax concessions for superannuation as a mechanism to help insulate the budget from the cost of providing for an ageing population is not sensible.”  In the US, about 80% of the value of tax concessions is captured by the top 20% of earners; the bottom 60% of earners capture just 7% of that value – see </w:t>
      </w:r>
      <w:r w:rsidRPr="00043E1D">
        <w:rPr>
          <w:rFonts w:ascii="Garamond" w:hAnsi="Garamond"/>
          <w:i/>
          <w:sz w:val="20"/>
          <w:szCs w:val="20"/>
        </w:rPr>
        <w:t>Tax Deferred Retirement Savings</w:t>
      </w:r>
      <w:r w:rsidRPr="00043E1D">
        <w:rPr>
          <w:rFonts w:ascii="Garamond" w:hAnsi="Garamond"/>
          <w:sz w:val="20"/>
          <w:szCs w:val="20"/>
        </w:rPr>
        <w:t xml:space="preserve">, Seth Hanlon (2011) Center for American Progress, accessible </w:t>
      </w:r>
      <w:hyperlink r:id="rId103" w:history="1">
        <w:r w:rsidRPr="00043E1D">
          <w:rPr>
            <w:rStyle w:val="Hyperlink"/>
            <w:rFonts w:ascii="Garamond" w:hAnsi="Garamond"/>
            <w:sz w:val="20"/>
            <w:szCs w:val="20"/>
          </w:rPr>
          <w:t>here</w:t>
        </w:r>
      </w:hyperlink>
      <w:r w:rsidRPr="00043E1D">
        <w:rPr>
          <w:rFonts w:ascii="Garamond" w:hAnsi="Garamond"/>
          <w:sz w:val="20"/>
          <w:szCs w:val="20"/>
        </w:rPr>
        <w:t xml:space="preserve">.  Again in the US, the Congressional Budget Office estimates that the top 20% of households receive nearly twice as much in retirement tax subsidies as the bottom 80 percent combined – see </w:t>
      </w:r>
      <w:r w:rsidRPr="00043E1D">
        <w:rPr>
          <w:rFonts w:ascii="Garamond" w:hAnsi="Garamond"/>
          <w:i/>
          <w:sz w:val="20"/>
          <w:szCs w:val="20"/>
        </w:rPr>
        <w:t xml:space="preserve">The Distribution of Major Tax Expenditures in the Individual Income Tax System </w:t>
      </w:r>
      <w:r w:rsidRPr="00043E1D">
        <w:rPr>
          <w:rFonts w:ascii="Garamond" w:hAnsi="Garamond"/>
          <w:sz w:val="20"/>
          <w:szCs w:val="20"/>
        </w:rPr>
        <w:t xml:space="preserve">(2013), accessible </w:t>
      </w:r>
      <w:hyperlink r:id="rId104" w:history="1">
        <w:r w:rsidRPr="00043E1D">
          <w:rPr>
            <w:rStyle w:val="Hyperlink"/>
            <w:rFonts w:ascii="Garamond" w:hAnsi="Garamond"/>
            <w:sz w:val="20"/>
            <w:szCs w:val="20"/>
          </w:rPr>
          <w:t>here</w:t>
        </w:r>
      </w:hyperlink>
      <w:r w:rsidRPr="00043E1D">
        <w:rPr>
          <w:rFonts w:ascii="Garamond" w:hAnsi="Garamond"/>
          <w:sz w:val="20"/>
          <w:szCs w:val="20"/>
        </w:rPr>
        <w:t>.  The total cost of those subsidies to the US tax system was $US137 billion (0.9% of GDP) in 2013.</w:t>
      </w:r>
    </w:p>
  </w:footnote>
  <w:footnote w:id="116">
    <w:p w14:paraId="169A5257" w14:textId="2A452A1C"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‘Protecting’ the tax concessions in KiwiSaver is relatively less intricate than applies in most other jurisdictions though there is ‘leakage’ (first home concessions; disability; death, emigrants).</w:t>
      </w:r>
    </w:p>
  </w:footnote>
  <w:footnote w:id="117">
    <w:p w14:paraId="3955A0DA" w14:textId="77777777"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Some suggest, for example, that “The concessional taxation of superannuation [retirement savings] is…intended to address the bias in the current taxation system against long-term saving.” </w:t>
      </w:r>
      <w:r w:rsidRPr="00043E1D">
        <w:rPr>
          <w:rFonts w:ascii="Garamond" w:hAnsi="Garamond"/>
          <w:i/>
          <w:sz w:val="20"/>
          <w:szCs w:val="20"/>
        </w:rPr>
        <w:t xml:space="preserve">Submission to the Financial System </w:t>
      </w:r>
      <w:r w:rsidRPr="00043E1D">
        <w:rPr>
          <w:rFonts w:ascii="Garamond" w:hAnsi="Garamond"/>
          <w:sz w:val="20"/>
          <w:szCs w:val="20"/>
        </w:rPr>
        <w:t xml:space="preserve">Inquiry, The Department of the Treasury, Australia, 3 April 2014 at page 44 (accessible </w:t>
      </w:r>
      <w:hyperlink r:id="rId105" w:history="1">
        <w:r w:rsidRPr="00043E1D">
          <w:rPr>
            <w:rStyle w:val="Hyperlink"/>
            <w:rFonts w:ascii="Garamond" w:hAnsi="Garamond"/>
            <w:sz w:val="20"/>
            <w:szCs w:val="20"/>
          </w:rPr>
          <w:t>here</w:t>
        </w:r>
      </w:hyperlink>
      <w:r w:rsidRPr="00043E1D">
        <w:rPr>
          <w:rFonts w:ascii="Garamond" w:hAnsi="Garamond"/>
          <w:sz w:val="20"/>
          <w:szCs w:val="20"/>
        </w:rPr>
        <w:t>).  This presumes a public policy interest in the relative quality of long-term savings (‘better’) than short-term savings (‘worse’).  Expected after-tax returns on savings, from a timing perspective, should be for savers and investors to decide, not governments.</w:t>
      </w:r>
    </w:p>
  </w:footnote>
  <w:footnote w:id="118">
    <w:p w14:paraId="38836BA6" w14:textId="18D47CFD" w:rsidR="00CD6F06" w:rsidRPr="00043E1D" w:rsidRDefault="00CD6F06">
      <w:pPr>
        <w:jc w:val="both"/>
        <w:rPr>
          <w:rFonts w:ascii="Garamond" w:hAnsi="Garamond"/>
          <w:sz w:val="20"/>
          <w:szCs w:val="20"/>
        </w:rPr>
      </w:pPr>
      <w:r w:rsidRPr="00043E1D">
        <w:rPr>
          <w:rStyle w:val="FootnoteReference"/>
          <w:rFonts w:ascii="Garamond" w:hAnsi="Garamond"/>
          <w:i/>
          <w:sz w:val="20"/>
          <w:szCs w:val="20"/>
        </w:rPr>
        <w:footnoteRef/>
      </w:r>
      <w:r w:rsidRPr="00043E1D">
        <w:rPr>
          <w:rFonts w:ascii="Garamond" w:hAnsi="Garamond"/>
          <w:i/>
          <w:sz w:val="20"/>
          <w:szCs w:val="20"/>
        </w:rPr>
        <w:t xml:space="preserve"> Housing, the ‘Great Income Tax Experiment’, and the intergenerational consequences of the lease</w:t>
      </w:r>
      <w:r w:rsidRPr="00043E1D">
        <w:rPr>
          <w:rFonts w:ascii="Garamond" w:hAnsi="Garamond"/>
          <w:sz w:val="20"/>
          <w:szCs w:val="20"/>
        </w:rPr>
        <w:t xml:space="preserve">, Andrew Coleman, 2017 University of Otago Business School, accessible </w:t>
      </w:r>
      <w:hyperlink r:id="rId106" w:history="1">
        <w:r w:rsidRPr="00043E1D">
          <w:rPr>
            <w:rStyle w:val="Hyperlink"/>
            <w:rFonts w:ascii="Garamond" w:hAnsi="Garamond"/>
            <w:sz w:val="20"/>
            <w:szCs w:val="20"/>
          </w:rPr>
          <w:t>here</w:t>
        </w:r>
      </w:hyperlink>
      <w:r w:rsidRPr="00043E1D">
        <w:rPr>
          <w:rFonts w:ascii="Garamond" w:hAnsi="Garamond"/>
          <w:sz w:val="20"/>
          <w:szCs w:val="20"/>
        </w:rPr>
        <w:t>.</w:t>
      </w:r>
    </w:p>
  </w:footnote>
  <w:footnote w:id="119">
    <w:p w14:paraId="12D211CE" w14:textId="573E2852"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is the same point as referred to in section 7 above with respect to the extra taxes needed to pay for contributions to the NZSF.</w:t>
      </w:r>
    </w:p>
  </w:footnote>
  <w:footnote w:id="120">
    <w:p w14:paraId="2508A7D4" w14:textId="32281ECD" w:rsidR="00CD6F06" w:rsidRPr="00043E1D" w:rsidRDefault="00CD6F06">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Spain introduced tax incentives for retirement saving in 1988.  A report on household behaviour across their introduction concludes that “at most” only one quarter of the contributions were ‘new’ savings: see </w:t>
      </w:r>
      <w:r w:rsidRPr="00043E1D">
        <w:rPr>
          <w:rFonts w:ascii="Garamond" w:hAnsi="Garamond"/>
          <w:i/>
          <w:sz w:val="20"/>
          <w:szCs w:val="20"/>
        </w:rPr>
        <w:t xml:space="preserve">The Effects of the Introduction of Tax Incentives on Retirement Savings </w:t>
      </w:r>
      <w:r w:rsidRPr="00043E1D">
        <w:rPr>
          <w:rFonts w:ascii="Garamond" w:hAnsi="Garamond"/>
          <w:sz w:val="20"/>
          <w:szCs w:val="20"/>
        </w:rPr>
        <w:t xml:space="preserve">(2007), Juan Ayuso, Juan Jimeno and Ernesto Villanueva, Banco de España (accessible </w:t>
      </w:r>
      <w:hyperlink r:id="rId107" w:history="1">
        <w:r w:rsidRPr="00043E1D">
          <w:rPr>
            <w:rStyle w:val="Hyperlink"/>
            <w:rFonts w:ascii="Garamond" w:hAnsi="Garamond"/>
            <w:sz w:val="20"/>
            <w:szCs w:val="20"/>
          </w:rPr>
          <w:t>here</w:t>
        </w:r>
      </w:hyperlink>
      <w:r w:rsidRPr="00043E1D">
        <w:rPr>
          <w:rFonts w:ascii="Garamond" w:hAnsi="Garamond"/>
          <w:sz w:val="20"/>
          <w:szCs w:val="20"/>
        </w:rPr>
        <w:t>).  That analysis took no account of the cost to the tax system of lost revenue.</w:t>
      </w:r>
    </w:p>
  </w:footnote>
  <w:footnote w:id="121">
    <w:p w14:paraId="581B2F1B" w14:textId="776C4F8A"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Alicia Munnell in </w:t>
      </w:r>
      <w:r w:rsidRPr="00043E1D">
        <w:rPr>
          <w:rFonts w:ascii="Garamond" w:hAnsi="Garamond"/>
          <w:i/>
          <w:sz w:val="20"/>
          <w:szCs w:val="20"/>
        </w:rPr>
        <w:t xml:space="preserve">Current taxation of qualified pension plans: has the time come? </w:t>
      </w:r>
      <w:r w:rsidRPr="00043E1D">
        <w:rPr>
          <w:rFonts w:ascii="Garamond" w:hAnsi="Garamond"/>
          <w:sz w:val="20"/>
          <w:szCs w:val="20"/>
        </w:rPr>
        <w:t xml:space="preserve">(1992) Federal Reserve Bank of Boston (accessible </w:t>
      </w:r>
      <w:hyperlink r:id="rId108" w:history="1">
        <w:r w:rsidRPr="00043E1D">
          <w:rPr>
            <w:rStyle w:val="Hyperlink"/>
            <w:rFonts w:ascii="Garamond" w:hAnsi="Garamond"/>
            <w:sz w:val="20"/>
            <w:szCs w:val="20"/>
          </w:rPr>
          <w:t>here</w:t>
        </w:r>
      </w:hyperlink>
      <w:r w:rsidRPr="00043E1D">
        <w:rPr>
          <w:rFonts w:ascii="Garamond" w:hAnsi="Garamond"/>
          <w:sz w:val="20"/>
          <w:szCs w:val="20"/>
        </w:rPr>
        <w:t xml:space="preserve">) suggests that the costs of deferring tax on pension accumulations aren’t justified.  Instead, the “taxation of benefit accruals should be shifted to a current basis.”  In </w:t>
      </w:r>
      <w:r w:rsidRPr="00043E1D">
        <w:rPr>
          <w:rFonts w:ascii="Garamond" w:hAnsi="Garamond"/>
          <w:i/>
          <w:sz w:val="20"/>
          <w:szCs w:val="20"/>
        </w:rPr>
        <w:t xml:space="preserve">Tax Incentives to Saving and Borrowing </w:t>
      </w:r>
      <w:r w:rsidRPr="00043E1D">
        <w:rPr>
          <w:rFonts w:ascii="Garamond" w:hAnsi="Garamond"/>
          <w:sz w:val="20"/>
          <w:szCs w:val="20"/>
        </w:rPr>
        <w:t xml:space="preserve">(2003), Tullio Jappelli and Luigi Pistaferri (accessible </w:t>
      </w:r>
      <w:hyperlink r:id="rId109" w:history="1">
        <w:r w:rsidRPr="00043E1D">
          <w:rPr>
            <w:rStyle w:val="Hyperlink"/>
            <w:rFonts w:ascii="Garamond" w:hAnsi="Garamond"/>
            <w:sz w:val="20"/>
            <w:szCs w:val="20"/>
          </w:rPr>
          <w:t>here</w:t>
        </w:r>
      </w:hyperlink>
      <w:r w:rsidRPr="00043E1D">
        <w:rPr>
          <w:rFonts w:ascii="Garamond" w:hAnsi="Garamond"/>
          <w:sz w:val="20"/>
          <w:szCs w:val="20"/>
        </w:rPr>
        <w:t xml:space="preserve">) say “…there is considerable empirical debate as to the effectiveness of tax incentives in promoting saving: most studies conclude that tax incentives affect the allocation of household portfolios, but the effect on the amount saved is less clear-cut.”  In </w:t>
      </w:r>
      <w:r w:rsidRPr="00043E1D">
        <w:rPr>
          <w:rFonts w:ascii="Garamond" w:hAnsi="Garamond"/>
          <w:i/>
          <w:sz w:val="20"/>
          <w:szCs w:val="20"/>
        </w:rPr>
        <w:t xml:space="preserve">The Effects of 401(k) Plans on Household Wealth </w:t>
      </w:r>
      <w:r w:rsidRPr="00043E1D">
        <w:rPr>
          <w:rFonts w:ascii="Garamond" w:hAnsi="Garamond"/>
          <w:sz w:val="20"/>
          <w:szCs w:val="20"/>
        </w:rPr>
        <w:t xml:space="preserve">(2000 – accessible </w:t>
      </w:r>
      <w:hyperlink r:id="rId110" w:history="1">
        <w:r w:rsidRPr="00043E1D">
          <w:rPr>
            <w:rStyle w:val="Hyperlink"/>
            <w:rFonts w:ascii="Garamond" w:hAnsi="Garamond"/>
            <w:sz w:val="20"/>
            <w:szCs w:val="20"/>
          </w:rPr>
          <w:t>here</w:t>
        </w:r>
      </w:hyperlink>
      <w:r w:rsidRPr="00043E1D">
        <w:rPr>
          <w:rFonts w:ascii="Garamond" w:hAnsi="Garamond"/>
          <w:sz w:val="20"/>
          <w:szCs w:val="20"/>
        </w:rPr>
        <w:t>), Eric Engen and William Gale suggest that, without regard for the fiscal and regulatory costs, “between 0 and 30 percent of 401(k) balances represent net additions to private savings.”  If the fiscal and regulatory costs were also included, we think those percentages might turn negative.</w:t>
      </w:r>
    </w:p>
  </w:footnote>
  <w:footnote w:id="122">
    <w:p w14:paraId="600EDE84" w14:textId="77777777" w:rsidR="00CD6F06" w:rsidRPr="00CA2BA1" w:rsidRDefault="00CD6F06" w:rsidP="00AA44A9">
      <w:pPr>
        <w:pStyle w:val="FootnoteText"/>
        <w:rPr>
          <w:sz w:val="20"/>
          <w:szCs w:val="20"/>
          <w:lang w:val="en-US"/>
        </w:rPr>
      </w:pPr>
      <w:r w:rsidRPr="00CA2BA1">
        <w:rPr>
          <w:rStyle w:val="FootnoteReference"/>
          <w:sz w:val="20"/>
          <w:szCs w:val="20"/>
        </w:rPr>
        <w:footnoteRef/>
      </w:r>
      <w:r w:rsidRPr="00CA2BA1">
        <w:rPr>
          <w:sz w:val="20"/>
          <w:szCs w:val="20"/>
        </w:rPr>
        <w:t xml:space="preserve"> </w:t>
      </w:r>
      <w:r>
        <w:rPr>
          <w:i/>
          <w:sz w:val="20"/>
          <w:szCs w:val="20"/>
        </w:rPr>
        <w:t>Govt responds to Tax Working Group report</w:t>
      </w:r>
      <w:r>
        <w:rPr>
          <w:sz w:val="20"/>
          <w:szCs w:val="20"/>
        </w:rPr>
        <w:t xml:space="preserve">, 17 April 2019, accessible </w:t>
      </w:r>
      <w:hyperlink r:id="rId111" w:history="1">
        <w:r w:rsidRPr="00AA44A9">
          <w:rPr>
            <w:rStyle w:val="Hyperlink"/>
            <w:sz w:val="20"/>
            <w:szCs w:val="20"/>
          </w:rPr>
          <w:t>here</w:t>
        </w:r>
      </w:hyperlink>
      <w:r>
        <w:rPr>
          <w:sz w:val="20"/>
          <w:szCs w:val="20"/>
        </w:rPr>
        <w:t>.</w:t>
      </w:r>
    </w:p>
  </w:footnote>
  <w:footnote w:id="123">
    <w:p w14:paraId="41943BD6" w14:textId="6A2C0391" w:rsidR="00CD6F06" w:rsidRPr="00043E1D" w:rsidRDefault="00CD6F06">
      <w:pPr>
        <w:jc w:val="both"/>
        <w:rPr>
          <w:rFonts w:ascii="Garamond" w:hAnsi="Garamond"/>
          <w:sz w:val="20"/>
          <w:szCs w:val="20"/>
        </w:rPr>
      </w:pPr>
      <w:r w:rsidRPr="00043E1D">
        <w:rPr>
          <w:rStyle w:val="FootnoteReference"/>
          <w:rFonts w:ascii="Garamond" w:hAnsi="Garamond"/>
        </w:rPr>
        <w:footnoteRef/>
      </w:r>
      <w:r w:rsidRPr="00043E1D">
        <w:rPr>
          <w:rFonts w:ascii="Garamond" w:hAnsi="Garamond"/>
        </w:rPr>
        <w:t xml:space="preserve"> </w:t>
      </w:r>
      <w:r w:rsidRPr="00043E1D">
        <w:rPr>
          <w:rFonts w:ascii="Garamond" w:hAnsi="Garamond"/>
          <w:sz w:val="20"/>
          <w:szCs w:val="20"/>
        </w:rPr>
        <w:t xml:space="preserve">This section is based on a submission by Michael Littlewood for the Retirement Commissioner’s 2016 Review: </w:t>
      </w:r>
      <w:r w:rsidRPr="00043E1D">
        <w:rPr>
          <w:rFonts w:ascii="Garamond" w:hAnsi="Garamond"/>
          <w:i/>
          <w:sz w:val="20"/>
          <w:szCs w:val="20"/>
        </w:rPr>
        <w:t>Ageing populations, retirement incomes and public policy: the four ‘first principles’ of policy-making - A submission to the Commission for Financial Capability</w:t>
      </w:r>
      <w:r w:rsidRPr="00043E1D">
        <w:rPr>
          <w:rFonts w:ascii="Garamond" w:hAnsi="Garamond"/>
          <w:sz w:val="20"/>
          <w:szCs w:val="20"/>
        </w:rPr>
        <w:t xml:space="preserve"> (accessible </w:t>
      </w:r>
      <w:hyperlink r:id="rId112" w:history="1">
        <w:r w:rsidRPr="00043E1D">
          <w:rPr>
            <w:rStyle w:val="Hyperlink"/>
            <w:rFonts w:ascii="Garamond" w:hAnsi="Garamond"/>
            <w:sz w:val="20"/>
            <w:szCs w:val="20"/>
          </w:rPr>
          <w:t>here</w:t>
        </w:r>
      </w:hyperlink>
      <w:r w:rsidRPr="00043E1D">
        <w:rPr>
          <w:rFonts w:ascii="Garamond" w:hAnsi="Garamond"/>
          <w:sz w:val="20"/>
          <w:szCs w:val="20"/>
        </w:rPr>
        <w:t>).</w:t>
      </w:r>
    </w:p>
  </w:footnote>
  <w:footnote w:id="124">
    <w:p w14:paraId="0227D1B4" w14:textId="39586D9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r w:rsidRPr="00043E1D">
        <w:rPr>
          <w:rFonts w:ascii="Garamond" w:hAnsi="Garamond"/>
          <w:i/>
          <w:sz w:val="20"/>
          <w:szCs w:val="20"/>
        </w:rPr>
        <w:t xml:space="preserve">Welfare: Savings Not Taxation, </w:t>
      </w:r>
      <w:r w:rsidRPr="00043E1D">
        <w:rPr>
          <w:rFonts w:ascii="Garamond" w:hAnsi="Garamond"/>
          <w:sz w:val="20"/>
          <w:szCs w:val="20"/>
        </w:rPr>
        <w:t xml:space="preserve">Roger Douglas and Robert McCulloch (2016) accessible </w:t>
      </w:r>
      <w:hyperlink r:id="rId113" w:history="1">
        <w:r w:rsidRPr="00043E1D">
          <w:rPr>
            <w:rStyle w:val="Hyperlink"/>
            <w:rFonts w:ascii="Garamond" w:hAnsi="Garamond"/>
            <w:sz w:val="20"/>
            <w:szCs w:val="20"/>
          </w:rPr>
          <w:t>here</w:t>
        </w:r>
      </w:hyperlink>
      <w:r w:rsidRPr="00043E1D">
        <w:rPr>
          <w:rFonts w:ascii="Garamond" w:hAnsi="Garamond"/>
          <w:sz w:val="20"/>
          <w:szCs w:val="20"/>
        </w:rPr>
        <w:t>.</w:t>
      </w:r>
    </w:p>
  </w:footnote>
  <w:footnote w:id="125">
    <w:p w14:paraId="702C0E4C" w14:textId="48BDBEC4"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fact, Australia allows access to the compulsory savings before the state pension age.  Currently the ‘preservation age’ is age 5</w:t>
      </w:r>
      <w:r>
        <w:rPr>
          <w:rFonts w:ascii="Garamond" w:hAnsi="Garamond"/>
          <w:sz w:val="20"/>
          <w:szCs w:val="20"/>
        </w:rPr>
        <w:t>7</w:t>
      </w:r>
      <w:r w:rsidRPr="00043E1D">
        <w:rPr>
          <w:rFonts w:ascii="Garamond" w:hAnsi="Garamond"/>
          <w:sz w:val="20"/>
          <w:szCs w:val="20"/>
        </w:rPr>
        <w:t>, increasing to age 60 by 2024</w:t>
      </w:r>
      <w:r>
        <w:rPr>
          <w:rFonts w:ascii="Garamond" w:hAnsi="Garamond"/>
          <w:sz w:val="20"/>
          <w:szCs w:val="20"/>
        </w:rPr>
        <w:t xml:space="preserve"> (see </w:t>
      </w:r>
      <w:hyperlink r:id="rId114" w:history="1">
        <w:r w:rsidRPr="00C10D22">
          <w:rPr>
            <w:rStyle w:val="Hyperlink"/>
            <w:rFonts w:ascii="Garamond" w:hAnsi="Garamond"/>
            <w:sz w:val="20"/>
            <w:szCs w:val="20"/>
          </w:rPr>
          <w:t>here</w:t>
        </w:r>
      </w:hyperlink>
      <w:r>
        <w:rPr>
          <w:rFonts w:ascii="Garamond" w:hAnsi="Garamond"/>
          <w:sz w:val="20"/>
          <w:szCs w:val="20"/>
        </w:rPr>
        <w:t>)</w:t>
      </w:r>
      <w:r w:rsidRPr="00043E1D">
        <w:rPr>
          <w:rFonts w:ascii="Garamond" w:hAnsi="Garamond"/>
          <w:sz w:val="20"/>
          <w:szCs w:val="20"/>
        </w:rPr>
        <w:t xml:space="preserve">.  This ‘gap’ encourages Australians to retire before the state pension age (currently age 65, increasing to age 67 between 2017 and 2023).  The Australian government announced in the 2014 Budget that the state pension age will further increase to age 70 by 2035 (see </w:t>
      </w:r>
      <w:hyperlink r:id="rId115" w:history="1">
        <w:r w:rsidRPr="00043E1D">
          <w:rPr>
            <w:rStyle w:val="Hyperlink"/>
            <w:rFonts w:ascii="Garamond" w:hAnsi="Garamond"/>
            <w:sz w:val="20"/>
            <w:szCs w:val="20"/>
          </w:rPr>
          <w:t>here</w:t>
        </w:r>
      </w:hyperlink>
      <w:r w:rsidRPr="00043E1D">
        <w:rPr>
          <w:rFonts w:ascii="Garamond" w:hAnsi="Garamond"/>
          <w:sz w:val="20"/>
          <w:szCs w:val="20"/>
        </w:rPr>
        <w:t>).</w:t>
      </w:r>
    </w:p>
  </w:footnote>
  <w:footnote w:id="126">
    <w:p w14:paraId="74CA8279" w14:textId="5BA9D10C"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Australia’s asset-test was toughened from 1 January 2017 (see </w:t>
      </w:r>
      <w:hyperlink r:id="rId116" w:history="1">
        <w:r w:rsidRPr="00043E1D">
          <w:rPr>
            <w:rStyle w:val="Hyperlink"/>
            <w:rFonts w:ascii="Garamond" w:hAnsi="Garamond"/>
            <w:sz w:val="20"/>
            <w:szCs w:val="20"/>
          </w:rPr>
          <w:t>here</w:t>
        </w:r>
      </w:hyperlink>
      <w:r w:rsidRPr="00043E1D">
        <w:rPr>
          <w:rFonts w:ascii="Garamond" w:hAnsi="Garamond"/>
          <w:sz w:val="20"/>
          <w:szCs w:val="20"/>
        </w:rPr>
        <w:t>).  The threshold for the test was raised but the ‘taper rate’ (the reduction in pension for each $A1,000 of assets) was doubled from $A78 a year to $A156.  For a home-owning couple, there is now no Age Pension with ‘qualifying assets’ of more than $A816,000.</w:t>
      </w:r>
    </w:p>
  </w:footnote>
  <w:footnote w:id="127">
    <w:p w14:paraId="652D795C" w14:textId="69B02610"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 xml:space="preserve">Averting the Old-Age Crisis – Policies to Protect the Old and Promote Growth </w:t>
      </w:r>
      <w:r w:rsidRPr="00043E1D">
        <w:rPr>
          <w:rFonts w:ascii="Garamond" w:hAnsi="Garamond"/>
          <w:sz w:val="20"/>
          <w:szCs w:val="20"/>
        </w:rPr>
        <w:t xml:space="preserve">(1994) The World Bank accessible </w:t>
      </w:r>
      <w:hyperlink r:id="rId117" w:history="1">
        <w:r w:rsidRPr="00043E1D">
          <w:rPr>
            <w:rStyle w:val="Hyperlink"/>
            <w:rFonts w:ascii="Garamond" w:hAnsi="Garamond"/>
            <w:sz w:val="20"/>
            <w:szCs w:val="20"/>
          </w:rPr>
          <w:t>here</w:t>
        </w:r>
      </w:hyperlink>
      <w:r w:rsidRPr="00043E1D">
        <w:rPr>
          <w:rFonts w:ascii="Garamond" w:hAnsi="Garamond"/>
          <w:sz w:val="20"/>
          <w:szCs w:val="20"/>
        </w:rPr>
        <w:t xml:space="preserve">; later refined into a ‘five pillar’ model in </w:t>
      </w:r>
      <w:r w:rsidRPr="00043E1D">
        <w:rPr>
          <w:rFonts w:ascii="Garamond" w:hAnsi="Garamond"/>
          <w:i/>
          <w:sz w:val="20"/>
          <w:szCs w:val="20"/>
        </w:rPr>
        <w:t>Old-Age Support in the 21</w:t>
      </w:r>
      <w:r w:rsidRPr="00043E1D">
        <w:rPr>
          <w:rFonts w:ascii="Garamond" w:hAnsi="Garamond"/>
          <w:i/>
          <w:sz w:val="20"/>
          <w:szCs w:val="20"/>
          <w:vertAlign w:val="superscript"/>
        </w:rPr>
        <w:t>st</w:t>
      </w:r>
      <w:r w:rsidRPr="00043E1D">
        <w:rPr>
          <w:rFonts w:ascii="Garamond" w:hAnsi="Garamond"/>
          <w:i/>
          <w:sz w:val="20"/>
          <w:szCs w:val="20"/>
        </w:rPr>
        <w:t xml:space="preserve"> Century – the World Bank’s Perspective </w:t>
      </w:r>
      <w:r w:rsidRPr="00043E1D">
        <w:rPr>
          <w:rFonts w:ascii="Garamond" w:hAnsi="Garamond"/>
          <w:sz w:val="20"/>
          <w:szCs w:val="20"/>
        </w:rPr>
        <w:t>(2005) by Robert Holzman and Richard Hinz.</w:t>
      </w:r>
    </w:p>
  </w:footnote>
  <w:footnote w:id="128">
    <w:p w14:paraId="1C95B316" w14:textId="77777777"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“…nearly half the countries have coverage rates below 30%” - from </w:t>
      </w:r>
      <w:r w:rsidRPr="00043E1D">
        <w:rPr>
          <w:rFonts w:ascii="Garamond" w:hAnsi="Garamond"/>
          <w:i/>
          <w:sz w:val="20"/>
          <w:szCs w:val="20"/>
        </w:rPr>
        <w:t xml:space="preserve">Closing the Coverage Gap – Role of Social Pensions and Other Retirement Income Transfers </w:t>
      </w:r>
      <w:r w:rsidRPr="00043E1D">
        <w:rPr>
          <w:rFonts w:ascii="Garamond" w:hAnsi="Garamond"/>
          <w:sz w:val="20"/>
          <w:szCs w:val="20"/>
        </w:rPr>
        <w:t xml:space="preserve">(2009), Robert Holzman, David Robalino and Noriyuki Takayama (accessible </w:t>
      </w:r>
      <w:hyperlink r:id="rId118" w:history="1">
        <w:r w:rsidRPr="00043E1D">
          <w:rPr>
            <w:rStyle w:val="Hyperlink"/>
            <w:rFonts w:ascii="Garamond" w:hAnsi="Garamond"/>
            <w:sz w:val="20"/>
            <w:szCs w:val="20"/>
          </w:rPr>
          <w:t>here</w:t>
        </w:r>
      </w:hyperlink>
      <w:r w:rsidRPr="00043E1D">
        <w:rPr>
          <w:rFonts w:ascii="Garamond" w:hAnsi="Garamond"/>
          <w:sz w:val="20"/>
          <w:szCs w:val="20"/>
        </w:rPr>
        <w:t>).</w:t>
      </w:r>
    </w:p>
  </w:footnote>
  <w:footnote w:id="129">
    <w:p w14:paraId="30C95BAF" w14:textId="31E19F7E"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The Australian Productivity Commission’s ‘issues paper’ </w:t>
      </w:r>
      <w:r>
        <w:rPr>
          <w:rFonts w:ascii="Garamond" w:hAnsi="Garamond"/>
          <w:i/>
          <w:sz w:val="20"/>
          <w:szCs w:val="20"/>
        </w:rPr>
        <w:t>Superannuation: Assessing Competitiveness and Efficiency</w:t>
      </w:r>
      <w:r>
        <w:rPr>
          <w:rFonts w:ascii="Garamond" w:hAnsi="Garamond"/>
          <w:sz w:val="20"/>
          <w:szCs w:val="20"/>
        </w:rPr>
        <w:t xml:space="preserve"> (July 2017) is accessible </w:t>
      </w:r>
      <w:hyperlink r:id="rId119" w:history="1">
        <w:r w:rsidRPr="001C64EF">
          <w:rPr>
            <w:rStyle w:val="Hyperlink"/>
            <w:rFonts w:ascii="Garamond" w:hAnsi="Garamond"/>
            <w:sz w:val="20"/>
            <w:szCs w:val="20"/>
          </w:rPr>
          <w:t>here</w:t>
        </w:r>
      </w:hyperlink>
      <w:r>
        <w:rPr>
          <w:rFonts w:ascii="Garamond" w:hAnsi="Garamond"/>
          <w:sz w:val="20"/>
          <w:szCs w:val="20"/>
        </w:rPr>
        <w:t xml:space="preserve">.  Its final report, </w:t>
      </w:r>
      <w:r>
        <w:rPr>
          <w:rFonts w:ascii="Garamond" w:hAnsi="Garamond"/>
          <w:i/>
          <w:sz w:val="20"/>
          <w:szCs w:val="20"/>
        </w:rPr>
        <w:t>Superannuation: Assessing Efficiency and Competitiveness – Inquiry report</w:t>
      </w:r>
      <w:r>
        <w:rPr>
          <w:rFonts w:ascii="Garamond" w:hAnsi="Garamond"/>
          <w:sz w:val="20"/>
          <w:szCs w:val="20"/>
        </w:rPr>
        <w:t xml:space="preserve"> is accessible </w:t>
      </w:r>
      <w:hyperlink r:id="rId120" w:history="1">
        <w:r w:rsidRPr="00044EAA">
          <w:rPr>
            <w:rStyle w:val="Hyperlink"/>
            <w:rFonts w:ascii="Garamond" w:hAnsi="Garamond"/>
            <w:sz w:val="20"/>
            <w:szCs w:val="20"/>
          </w:rPr>
          <w:t>here</w:t>
        </w:r>
      </w:hyperlink>
      <w:r>
        <w:rPr>
          <w:rFonts w:ascii="Garamond" w:hAnsi="Garamond"/>
          <w:sz w:val="20"/>
          <w:szCs w:val="20"/>
        </w:rPr>
        <w:t>. It’s overall findings included unnecessary multiple accounts, “entrenched underperformers”, “excessive and unwarranted fees”, “inadequate competition”.  It’s conclusion included “architectural changes” designed to acknowledge what it thought was in the members’ best interests.</w:t>
      </w:r>
    </w:p>
  </w:footnote>
  <w:footnote w:id="130">
    <w:p w14:paraId="360425B7" w14:textId="096359CC"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Australian authorities require information from each pensioner on a regular basis: see </w:t>
      </w:r>
      <w:hyperlink r:id="rId121" w:history="1">
        <w:r w:rsidRPr="00043E1D">
          <w:rPr>
            <w:rStyle w:val="Hyperlink"/>
            <w:rFonts w:ascii="Garamond" w:hAnsi="Garamond"/>
            <w:sz w:val="20"/>
            <w:szCs w:val="20"/>
          </w:rPr>
          <w:t>here</w:t>
        </w:r>
      </w:hyperlink>
      <w:r w:rsidRPr="00043E1D">
        <w:rPr>
          <w:rFonts w:ascii="Garamond" w:hAnsi="Garamond"/>
          <w:sz w:val="20"/>
          <w:szCs w:val="20"/>
        </w:rPr>
        <w:t xml:space="preserve"> for the assets test and </w:t>
      </w:r>
      <w:hyperlink r:id="rId122" w:history="1">
        <w:r w:rsidRPr="00043E1D">
          <w:rPr>
            <w:rStyle w:val="Hyperlink"/>
            <w:rFonts w:ascii="Garamond" w:hAnsi="Garamond"/>
            <w:sz w:val="20"/>
            <w:szCs w:val="20"/>
          </w:rPr>
          <w:t>here</w:t>
        </w:r>
      </w:hyperlink>
      <w:r w:rsidRPr="00043E1D">
        <w:rPr>
          <w:rFonts w:ascii="Garamond" w:hAnsi="Garamond"/>
          <w:sz w:val="20"/>
          <w:szCs w:val="20"/>
        </w:rPr>
        <w:t xml:space="preserve"> for the income test.  There is even a ‘deemed rate’ of return on financial assets for the income test, regardless of the return actually earned (see </w:t>
      </w:r>
      <w:hyperlink r:id="rId123" w:history="1">
        <w:r w:rsidRPr="00043E1D">
          <w:rPr>
            <w:rStyle w:val="Hyperlink"/>
            <w:rFonts w:ascii="Garamond" w:hAnsi="Garamond"/>
            <w:sz w:val="20"/>
            <w:szCs w:val="20"/>
          </w:rPr>
          <w:t>here</w:t>
        </w:r>
      </w:hyperlink>
      <w:r w:rsidRPr="00043E1D">
        <w:rPr>
          <w:rFonts w:ascii="Garamond" w:hAnsi="Garamond"/>
          <w:sz w:val="20"/>
          <w:szCs w:val="20"/>
        </w:rPr>
        <w:t xml:space="preserve">).  Centrelink is the agency responsible for implementing the tests in Australia.  Its website lists eight different kinds of income (including some deemed income) and nine different types of assets that have to be considered twice a year.  The potential for bureaucratic mistakes is significant. </w:t>
      </w:r>
      <w:r>
        <w:rPr>
          <w:rFonts w:ascii="Garamond" w:hAnsi="Garamond"/>
          <w:sz w:val="20"/>
          <w:szCs w:val="20"/>
        </w:rPr>
        <w:t xml:space="preserve"> </w:t>
      </w:r>
      <w:r w:rsidRPr="00043E1D">
        <w:rPr>
          <w:rFonts w:ascii="Garamond" w:hAnsi="Garamond"/>
          <w:sz w:val="20"/>
          <w:szCs w:val="20"/>
        </w:rPr>
        <w:t xml:space="preserve">For more on means-tests in Australia, South Africa and the UK, see </w:t>
      </w:r>
      <w:r w:rsidRPr="00043E1D">
        <w:rPr>
          <w:rFonts w:ascii="Garamond" w:hAnsi="Garamond"/>
          <w:i/>
          <w:sz w:val="20"/>
          <w:szCs w:val="20"/>
        </w:rPr>
        <w:t xml:space="preserve">Means Tests: an evaluation of the justice of imposing high rates of clawback on those of modest </w:t>
      </w:r>
      <w:r w:rsidRPr="00701CA1">
        <w:rPr>
          <w:rFonts w:ascii="Garamond" w:hAnsi="Garamond"/>
          <w:i/>
          <w:sz w:val="20"/>
          <w:szCs w:val="20"/>
        </w:rPr>
        <w:t>means</w:t>
      </w:r>
      <w:r w:rsidRPr="00043E1D">
        <w:rPr>
          <w:rFonts w:ascii="Garamond" w:hAnsi="Garamond"/>
          <w:sz w:val="20"/>
          <w:szCs w:val="20"/>
        </w:rPr>
        <w:t xml:space="preserve">, Anthony Asher (2006) accessible </w:t>
      </w:r>
      <w:hyperlink r:id="rId124" w:history="1">
        <w:r w:rsidRPr="00043E1D">
          <w:rPr>
            <w:rStyle w:val="Hyperlink"/>
            <w:rFonts w:ascii="Garamond" w:hAnsi="Garamond"/>
            <w:sz w:val="20"/>
            <w:szCs w:val="20"/>
          </w:rPr>
          <w:t>here</w:t>
        </w:r>
      </w:hyperlink>
      <w:r w:rsidRPr="00043E1D">
        <w:rPr>
          <w:rFonts w:ascii="Garamond" w:hAnsi="Garamond"/>
          <w:sz w:val="20"/>
          <w:szCs w:val="20"/>
        </w:rPr>
        <w:t xml:space="preserve">.  </w:t>
      </w:r>
    </w:p>
  </w:footnote>
  <w:footnote w:id="131">
    <w:p w14:paraId="5827A556" w14:textId="1D0B2CC3"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People should </w:t>
      </w:r>
      <w:r>
        <w:rPr>
          <w:rFonts w:ascii="Garamond" w:hAnsi="Garamond"/>
          <w:sz w:val="20"/>
          <w:szCs w:val="20"/>
        </w:rPr>
        <w:t xml:space="preserve">normally try to </w:t>
      </w:r>
      <w:r w:rsidRPr="00043E1D">
        <w:rPr>
          <w:rFonts w:ascii="Garamond" w:hAnsi="Garamond"/>
          <w:sz w:val="20"/>
          <w:szCs w:val="20"/>
        </w:rPr>
        <w:t xml:space="preserve">reduce overall debt as they approach retirement.  That seems not to be the case in Australia.  In the eight years to 2012, retirement savings among 50 to 64-year-olds grew 48%, other financial assets by 3% and real estate assets by 58% </w:t>
      </w:r>
      <w:r w:rsidRPr="00043E1D">
        <w:rPr>
          <w:rFonts w:ascii="Garamond" w:hAnsi="Garamond"/>
          <w:i/>
          <w:sz w:val="20"/>
          <w:szCs w:val="20"/>
        </w:rPr>
        <w:t>but</w:t>
      </w:r>
      <w:r w:rsidRPr="00043E1D">
        <w:rPr>
          <w:rFonts w:ascii="Garamond" w:hAnsi="Garamond"/>
          <w:sz w:val="20"/>
          <w:szCs w:val="20"/>
        </w:rPr>
        <w:t xml:space="preserve"> property debt increased 123% and other debt by 43%.  By ages 60-64, debt was 42% of retirement saving balances: see </w:t>
      </w:r>
      <w:r w:rsidRPr="00043E1D">
        <w:rPr>
          <w:rFonts w:ascii="Garamond" w:hAnsi="Garamond"/>
          <w:i/>
          <w:sz w:val="20"/>
          <w:szCs w:val="20"/>
        </w:rPr>
        <w:t>Household savings and retirement – where has all my super gone? A report on superannuation and retirement for CPA Australia</w:t>
      </w:r>
      <w:r w:rsidRPr="00043E1D">
        <w:rPr>
          <w:rFonts w:ascii="Garamond" w:hAnsi="Garamond"/>
          <w:sz w:val="20"/>
          <w:szCs w:val="20"/>
        </w:rPr>
        <w:t xml:space="preserve"> (2012), Simon Kelly (accessible </w:t>
      </w:r>
      <w:hyperlink r:id="rId125" w:history="1">
        <w:r w:rsidRPr="00043E1D">
          <w:rPr>
            <w:rStyle w:val="Hyperlink"/>
            <w:rFonts w:ascii="Garamond" w:hAnsi="Garamond"/>
            <w:sz w:val="20"/>
            <w:szCs w:val="20"/>
          </w:rPr>
          <w:t>here</w:t>
        </w:r>
      </w:hyperlink>
      <w:r w:rsidRPr="00043E1D">
        <w:rPr>
          <w:rFonts w:ascii="Garamond" w:hAnsi="Garamond"/>
          <w:sz w:val="20"/>
          <w:szCs w:val="20"/>
        </w:rPr>
        <w:t>).</w:t>
      </w:r>
    </w:p>
  </w:footnote>
  <w:footnote w:id="132">
    <w:p w14:paraId="03FEB581" w14:textId="33A066CC" w:rsidR="00CD6F06" w:rsidRPr="00043E1D" w:rsidRDefault="00CD6F06">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The OECD estimates that Australia’s ‘effective retirement age’ in 2009 was 64.8 (males) and 62.9 (females).  By contrast, New Zealand’s was 67.1 (males) and 65.0 (females): see </w:t>
      </w:r>
      <w:r w:rsidRPr="00043E1D">
        <w:rPr>
          <w:rFonts w:ascii="Garamond" w:hAnsi="Garamond"/>
          <w:i/>
          <w:sz w:val="20"/>
          <w:szCs w:val="20"/>
        </w:rPr>
        <w:t>Average effective age of retirement in 1970-2009 in OECD countries</w:t>
      </w:r>
      <w:r w:rsidRPr="00043E1D">
        <w:rPr>
          <w:rFonts w:ascii="Garamond" w:hAnsi="Garamond"/>
          <w:sz w:val="20"/>
          <w:szCs w:val="20"/>
        </w:rPr>
        <w:t xml:space="preserve"> (2010) accessible </w:t>
      </w:r>
      <w:hyperlink r:id="rId126" w:history="1">
        <w:r w:rsidRPr="00043E1D">
          <w:rPr>
            <w:rStyle w:val="Hyperlink"/>
            <w:rFonts w:ascii="Garamond" w:hAnsi="Garamond"/>
            <w:sz w:val="20"/>
            <w:szCs w:val="20"/>
          </w:rPr>
          <w:t>here</w:t>
        </w:r>
      </w:hyperlink>
      <w:r w:rsidRPr="00043E1D">
        <w:rPr>
          <w:rFonts w:ascii="Garamond" w:hAnsi="Garamond"/>
          <w:sz w:val="20"/>
          <w:szCs w:val="20"/>
        </w:rPr>
        <w:t xml:space="preserve">.  The Australian Bureau of Statistics reported in </w:t>
      </w:r>
      <w:r>
        <w:rPr>
          <w:rFonts w:ascii="Garamond" w:hAnsi="Garamond"/>
          <w:sz w:val="20"/>
          <w:szCs w:val="20"/>
        </w:rPr>
        <w:t>March 2016</w:t>
      </w:r>
      <w:r w:rsidRPr="00043E1D">
        <w:rPr>
          <w:rFonts w:ascii="Garamond" w:hAnsi="Garamond"/>
          <w:sz w:val="20"/>
          <w:szCs w:val="20"/>
        </w:rPr>
        <w:t xml:space="preserve"> that the “…</w:t>
      </w:r>
      <w:r w:rsidRPr="00043E1D">
        <w:rPr>
          <w:rFonts w:ascii="Garamond" w:hAnsi="Garamond" w:cs="Arial"/>
          <w:color w:val="000000"/>
          <w:sz w:val="20"/>
          <w:szCs w:val="20"/>
          <w:shd w:val="clear" w:color="auto" w:fill="FFFFFF"/>
          <w:lang w:val="en-US"/>
        </w:rPr>
        <w:t>average age at retirement for recent retirees (those who have retired in the last five years) was 61.5 years.”  Men’s average was 6</w:t>
      </w:r>
      <w:r>
        <w:rPr>
          <w:rFonts w:ascii="Garamond" w:hAnsi="Garamond" w:cs="Arial"/>
          <w:color w:val="000000"/>
          <w:sz w:val="20"/>
          <w:szCs w:val="20"/>
          <w:shd w:val="clear" w:color="auto" w:fill="FFFFFF"/>
          <w:lang w:val="en-US"/>
        </w:rPr>
        <w:t>2.6</w:t>
      </w:r>
      <w:r w:rsidRPr="00043E1D">
        <w:rPr>
          <w:rFonts w:ascii="Garamond" w:hAnsi="Garamond" w:cs="Arial"/>
          <w:color w:val="000000"/>
          <w:sz w:val="20"/>
          <w:szCs w:val="20"/>
          <w:shd w:val="clear" w:color="auto" w:fill="FFFFFF"/>
          <w:lang w:val="en-US"/>
        </w:rPr>
        <w:t xml:space="preserve"> and women’s </w:t>
      </w:r>
      <w:r>
        <w:rPr>
          <w:rFonts w:ascii="Garamond" w:hAnsi="Garamond" w:cs="Arial"/>
          <w:color w:val="000000"/>
          <w:sz w:val="20"/>
          <w:szCs w:val="20"/>
          <w:shd w:val="clear" w:color="auto" w:fill="FFFFFF"/>
          <w:lang w:val="en-US"/>
        </w:rPr>
        <w:t>60.4</w:t>
      </w:r>
      <w:r w:rsidRPr="00043E1D">
        <w:rPr>
          <w:rFonts w:ascii="Garamond" w:hAnsi="Garamond" w:cs="Arial"/>
          <w:color w:val="000000"/>
          <w:sz w:val="20"/>
          <w:szCs w:val="20"/>
          <w:shd w:val="clear" w:color="auto" w:fill="FFFFFF"/>
          <w:lang w:val="en-US"/>
        </w:rPr>
        <w:t xml:space="preserve"> (see </w:t>
      </w:r>
      <w:hyperlink r:id="rId127" w:history="1">
        <w:r w:rsidRPr="00043E1D">
          <w:rPr>
            <w:rStyle w:val="Hyperlink"/>
            <w:rFonts w:ascii="Garamond" w:hAnsi="Garamond" w:cs="Arial"/>
            <w:sz w:val="20"/>
            <w:szCs w:val="20"/>
            <w:shd w:val="clear" w:color="auto" w:fill="FFFFFF"/>
            <w:lang w:val="en-US"/>
          </w:rPr>
          <w:t>here</w:t>
        </w:r>
      </w:hyperlink>
      <w:r w:rsidRPr="00043E1D">
        <w:rPr>
          <w:rFonts w:ascii="Garamond" w:hAnsi="Garamond" w:cs="Arial"/>
          <w:color w:val="000000"/>
          <w:sz w:val="20"/>
          <w:szCs w:val="20"/>
          <w:shd w:val="clear" w:color="auto" w:fill="FFFFFF"/>
          <w:lang w:val="en-US"/>
        </w:rPr>
        <w:t>).</w:t>
      </w:r>
      <w:r w:rsidRPr="00043E1D">
        <w:rPr>
          <w:rFonts w:ascii="Garamond" w:hAnsi="Garamond"/>
          <w:sz w:val="20"/>
          <w:szCs w:val="20"/>
        </w:rPr>
        <w:t xml:space="preserve"> </w:t>
      </w:r>
    </w:p>
  </w:footnote>
  <w:footnote w:id="133">
    <w:p w14:paraId="5D85C07F" w14:textId="77777777"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The post-retirement asset test in Australia also leads to an ‘over-consumption’ of housing services as the primary residence is exempt under the test: see </w:t>
      </w:r>
      <w:r w:rsidRPr="00043E1D">
        <w:rPr>
          <w:rFonts w:ascii="Garamond" w:hAnsi="Garamond"/>
          <w:i/>
          <w:sz w:val="20"/>
          <w:szCs w:val="20"/>
        </w:rPr>
        <w:t>Residential Transition Amongst the Australian Elderly</w:t>
      </w:r>
      <w:r w:rsidRPr="00043E1D">
        <w:rPr>
          <w:rFonts w:ascii="Garamond" w:hAnsi="Garamond"/>
          <w:sz w:val="20"/>
          <w:szCs w:val="20"/>
        </w:rPr>
        <w:t xml:space="preserve"> (2007), John Piggott and Renuka Sane, Australian Institute for Population Ageing Research (accessible </w:t>
      </w:r>
      <w:hyperlink r:id="rId128" w:history="1">
        <w:r w:rsidRPr="00043E1D">
          <w:rPr>
            <w:rStyle w:val="Hyperlink"/>
            <w:rFonts w:ascii="Garamond" w:hAnsi="Garamond"/>
            <w:sz w:val="20"/>
            <w:szCs w:val="20"/>
          </w:rPr>
          <w:t>here</w:t>
        </w:r>
      </w:hyperlink>
      <w:r w:rsidRPr="00043E1D">
        <w:rPr>
          <w:rFonts w:ascii="Garamond" w:hAnsi="Garamond"/>
          <w:sz w:val="20"/>
          <w:szCs w:val="20"/>
        </w:rPr>
        <w:t>).</w:t>
      </w:r>
    </w:p>
  </w:footnote>
  <w:footnote w:id="134">
    <w:p w14:paraId="3106D13D" w14:textId="697D94C7"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By 2015, the labour force participation rate for age 65+ in New Zealand had increased to 22.1% - source: Statistics NZ accessible </w:t>
      </w:r>
      <w:hyperlink r:id="rId129" w:history="1">
        <w:r w:rsidRPr="00043E1D">
          <w:rPr>
            <w:rStyle w:val="Hyperlink"/>
            <w:rFonts w:ascii="Garamond" w:hAnsi="Garamond"/>
            <w:sz w:val="20"/>
            <w:szCs w:val="20"/>
          </w:rPr>
          <w:t>here</w:t>
        </w:r>
      </w:hyperlink>
      <w:r w:rsidRPr="00043E1D">
        <w:rPr>
          <w:rFonts w:ascii="Garamond" w:hAnsi="Garamond"/>
          <w:sz w:val="20"/>
          <w:szCs w:val="20"/>
        </w:rPr>
        <w:t>.</w:t>
      </w:r>
    </w:p>
  </w:footnote>
  <w:footnote w:id="135">
    <w:p w14:paraId="2EE0A43F" w14:textId="55375A20"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Comparison of the New Zealand and Australian Retirement Income Systems</w:t>
      </w:r>
      <w:r w:rsidRPr="00043E1D">
        <w:rPr>
          <w:rFonts w:ascii="Garamond" w:hAnsi="Garamond"/>
          <w:sz w:val="20"/>
          <w:szCs w:val="20"/>
        </w:rPr>
        <w:t xml:space="preserve">, Ross Guest (2013) accessible </w:t>
      </w:r>
      <w:hyperlink r:id="rId130" w:history="1">
        <w:r w:rsidRPr="00043E1D">
          <w:rPr>
            <w:rStyle w:val="Hyperlink"/>
            <w:rFonts w:ascii="Garamond" w:hAnsi="Garamond"/>
            <w:sz w:val="20"/>
            <w:szCs w:val="20"/>
          </w:rPr>
          <w:t>here</w:t>
        </w:r>
      </w:hyperlink>
      <w:r w:rsidRPr="00043E1D">
        <w:rPr>
          <w:rFonts w:ascii="Garamond" w:hAnsi="Garamond"/>
          <w:sz w:val="20"/>
          <w:szCs w:val="20"/>
        </w:rPr>
        <w:t xml:space="preserve"> at page 15 (citing ILO data).</w:t>
      </w:r>
      <w:r>
        <w:rPr>
          <w:rFonts w:ascii="Garamond" w:hAnsi="Garamond"/>
          <w:sz w:val="20"/>
          <w:szCs w:val="20"/>
        </w:rPr>
        <w:t xml:space="preserve">  The latest number on this (accessible </w:t>
      </w:r>
      <w:hyperlink r:id="rId131" w:history="1">
        <w:r w:rsidRPr="0084642F">
          <w:rPr>
            <w:rStyle w:val="Hyperlink"/>
            <w:rFonts w:ascii="Garamond" w:hAnsi="Garamond"/>
            <w:sz w:val="20"/>
            <w:szCs w:val="20"/>
          </w:rPr>
          <w:t>here</w:t>
        </w:r>
      </w:hyperlink>
      <w:r>
        <w:rPr>
          <w:rFonts w:ascii="Garamond" w:hAnsi="Garamond"/>
          <w:sz w:val="20"/>
          <w:szCs w:val="20"/>
        </w:rPr>
        <w:t>) has the New Zealand participation rate for age 65+ at 23.4%, a rise of 6.3 percentage points in just six years.</w:t>
      </w:r>
    </w:p>
  </w:footnote>
  <w:footnote w:id="136">
    <w:p w14:paraId="6F36AF89" w14:textId="2B947B73"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 2006 household wealth comparison between Australia and New Zealand shows that Australians </w:t>
      </w:r>
      <w:r>
        <w:rPr>
          <w:rFonts w:ascii="Garamond" w:hAnsi="Garamond"/>
          <w:sz w:val="20"/>
          <w:szCs w:val="20"/>
        </w:rPr>
        <w:t>had</w:t>
      </w:r>
      <w:r w:rsidRPr="00043E1D">
        <w:rPr>
          <w:rFonts w:ascii="Garamond" w:hAnsi="Garamond"/>
          <w:sz w:val="20"/>
          <w:szCs w:val="20"/>
        </w:rPr>
        <w:t xml:space="preserve"> higher proportions of wealth in retirement saving accounts (19.1% in Australia and about 4% in New Zealand) but much less in ‘business investment’ (7.6% in Australia and 22.2% in New Zealand): see </w:t>
      </w:r>
      <w:r w:rsidRPr="00043E1D">
        <w:rPr>
          <w:rFonts w:ascii="Garamond" w:hAnsi="Garamond"/>
          <w:i/>
          <w:sz w:val="20"/>
          <w:szCs w:val="20"/>
        </w:rPr>
        <w:t xml:space="preserve">Household wealth in Australia and New Zealand </w:t>
      </w:r>
      <w:r w:rsidRPr="00043E1D">
        <w:rPr>
          <w:rFonts w:ascii="Garamond" w:hAnsi="Garamond"/>
          <w:sz w:val="20"/>
          <w:szCs w:val="20"/>
        </w:rPr>
        <w:t xml:space="preserve">(2010), RPRC </w:t>
      </w:r>
      <w:r w:rsidRPr="00043E1D">
        <w:rPr>
          <w:rFonts w:ascii="Garamond" w:hAnsi="Garamond"/>
          <w:i/>
          <w:sz w:val="20"/>
          <w:szCs w:val="20"/>
        </w:rPr>
        <w:t>PensionBriefing 2010-5</w:t>
      </w:r>
      <w:r w:rsidRPr="00043E1D">
        <w:rPr>
          <w:rFonts w:ascii="Garamond" w:hAnsi="Garamond"/>
          <w:sz w:val="20"/>
          <w:szCs w:val="20"/>
        </w:rPr>
        <w:t xml:space="preserve"> (accessible </w:t>
      </w:r>
      <w:hyperlink r:id="rId132" w:history="1">
        <w:r w:rsidRPr="00043E1D">
          <w:rPr>
            <w:rStyle w:val="Hyperlink"/>
            <w:rFonts w:ascii="Garamond" w:hAnsi="Garamond"/>
            <w:sz w:val="20"/>
            <w:szCs w:val="20"/>
          </w:rPr>
          <w:t>here</w:t>
        </w:r>
      </w:hyperlink>
      <w:r w:rsidRPr="00043E1D">
        <w:rPr>
          <w:rStyle w:val="Hyperlink"/>
          <w:rFonts w:ascii="Garamond" w:hAnsi="Garamond"/>
          <w:sz w:val="20"/>
          <w:szCs w:val="20"/>
        </w:rPr>
        <w:t>)</w:t>
      </w:r>
      <w:r w:rsidRPr="00043E1D">
        <w:rPr>
          <w:rFonts w:ascii="Garamond" w:hAnsi="Garamond"/>
          <w:sz w:val="20"/>
          <w:szCs w:val="20"/>
        </w:rPr>
        <w:t>.  Aggregating just these two components of household wealth produces 26.7% of total household wealth in Australia and 26.2% in New Zealand.  We have more to say on this comparison and the New Zealand data in section 14 below (Households’ financial position).</w:t>
      </w:r>
    </w:p>
  </w:footnote>
  <w:footnote w:id="137">
    <w:p w14:paraId="39CEF600" w14:textId="7104971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Pensions and Saving: New International Panel Data Evidence</w:t>
      </w:r>
      <w:r w:rsidRPr="00043E1D">
        <w:rPr>
          <w:rFonts w:ascii="Garamond" w:hAnsi="Garamond"/>
          <w:sz w:val="20"/>
          <w:szCs w:val="20"/>
        </w:rPr>
        <w:t xml:space="preserve"> (2006) by Ricardo Bebczuk and Alberto Musalem, CEF Policy for Financial Stability (accessible </w:t>
      </w:r>
      <w:hyperlink r:id="rId133" w:history="1">
        <w:r w:rsidRPr="00043E1D">
          <w:rPr>
            <w:rStyle w:val="Hyperlink"/>
            <w:rFonts w:ascii="Garamond" w:hAnsi="Garamond"/>
            <w:sz w:val="20"/>
            <w:szCs w:val="20"/>
          </w:rPr>
          <w:t>here</w:t>
        </w:r>
      </w:hyperlink>
      <w:r w:rsidRPr="00043E1D">
        <w:rPr>
          <w:rFonts w:ascii="Garamond" w:hAnsi="Garamond"/>
          <w:sz w:val="20"/>
          <w:szCs w:val="20"/>
        </w:rPr>
        <w:t>) was a 48-country study from 1980 to 2004.  It examined the impact of pension saving on gross national saving rates and concluded that the changes made by ‘reforming countries’ (that introduced compulsory Tier 2 schemes) to ‘improve’ th</w:t>
      </w:r>
      <w:r>
        <w:rPr>
          <w:rFonts w:ascii="Garamond" w:hAnsi="Garamond"/>
          <w:sz w:val="20"/>
          <w:szCs w:val="20"/>
        </w:rPr>
        <w:t>eir national saving rate</w:t>
      </w:r>
      <w:r w:rsidRPr="00043E1D">
        <w:rPr>
          <w:rFonts w:ascii="Garamond" w:hAnsi="Garamond"/>
          <w:sz w:val="20"/>
          <w:szCs w:val="20"/>
        </w:rPr>
        <w:t xml:space="preserve"> don’t seem to have had much effect on this number.</w:t>
      </w:r>
    </w:p>
  </w:footnote>
  <w:footnote w:id="138">
    <w:p w14:paraId="1FFC1A76" w14:textId="39BA7858" w:rsidR="00CD6F06" w:rsidRPr="0084642F"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w:t>
      </w:r>
      <w:r w:rsidRPr="00043E1D">
        <w:rPr>
          <w:rFonts w:ascii="Garamond" w:hAnsi="Garamond"/>
          <w:i/>
          <w:sz w:val="20"/>
          <w:szCs w:val="20"/>
        </w:rPr>
        <w:t>Don’t Increase The Super Guarantee</w:t>
      </w:r>
      <w:r w:rsidRPr="00043E1D">
        <w:rPr>
          <w:rFonts w:ascii="Garamond" w:hAnsi="Garamond"/>
          <w:sz w:val="20"/>
          <w:szCs w:val="20"/>
        </w:rPr>
        <w:t xml:space="preserve"> (Centre for Independent Studies, 2016 – accessible </w:t>
      </w:r>
      <w:hyperlink r:id="rId134" w:history="1">
        <w:r w:rsidRPr="00043E1D">
          <w:rPr>
            <w:rStyle w:val="Hyperlink"/>
            <w:rFonts w:ascii="Garamond" w:hAnsi="Garamond"/>
            <w:sz w:val="20"/>
            <w:szCs w:val="20"/>
          </w:rPr>
          <w:t>here</w:t>
        </w:r>
      </w:hyperlink>
      <w:r w:rsidRPr="00043E1D">
        <w:rPr>
          <w:rFonts w:ascii="Garamond" w:hAnsi="Garamond"/>
          <w:sz w:val="20"/>
          <w:szCs w:val="20"/>
        </w:rPr>
        <w:t>) Michael Potter argues that an increase to 15% would cut wages, discourage workforce participation, prejudice appropriate responses to population ageing, worsen the efficiency of the financial services system and increase risks to households and the economy.  “One important goal of the SG increase is to increase retirement incomes.  However, it is not clear that retirement incomes are inadequate”.  And, as the author details, that is just the starting point of problems for the proposal.</w:t>
      </w:r>
      <w:r>
        <w:rPr>
          <w:rFonts w:ascii="Garamond" w:hAnsi="Garamond"/>
          <w:sz w:val="20"/>
          <w:szCs w:val="20"/>
        </w:rPr>
        <w:t xml:space="preserve">  Further support for this ‘already saving enough’ proposition comes from </w:t>
      </w:r>
      <w:r>
        <w:rPr>
          <w:rFonts w:ascii="Garamond" w:hAnsi="Garamond"/>
          <w:i/>
          <w:sz w:val="20"/>
          <w:szCs w:val="20"/>
        </w:rPr>
        <w:t>Money in Retirement – More Than Enough</w:t>
      </w:r>
      <w:r>
        <w:rPr>
          <w:rFonts w:ascii="Garamond" w:hAnsi="Garamond"/>
          <w:sz w:val="20"/>
          <w:szCs w:val="20"/>
        </w:rPr>
        <w:t xml:space="preserve"> (2018) by Brendan Coates and John Daley, Grattan Institute (accessible </w:t>
      </w:r>
      <w:hyperlink r:id="rId135" w:history="1">
        <w:r w:rsidRPr="001A5D5E">
          <w:rPr>
            <w:rStyle w:val="Hyperlink"/>
            <w:rFonts w:ascii="Garamond" w:hAnsi="Garamond"/>
            <w:sz w:val="20"/>
            <w:szCs w:val="20"/>
          </w:rPr>
          <w:t>here</w:t>
        </w:r>
      </w:hyperlink>
      <w:r>
        <w:rPr>
          <w:rFonts w:ascii="Garamond" w:hAnsi="Garamond"/>
          <w:sz w:val="20"/>
          <w:szCs w:val="20"/>
        </w:rPr>
        <w:t>).  The authors argue that Australians are already saving too much for retirement so that even the current move to a 12% contribution rate by 2025 will probably result in a misallocation of resources.</w:t>
      </w:r>
    </w:p>
  </w:footnote>
  <w:footnote w:id="139">
    <w:p w14:paraId="108A30AC" w14:textId="6DF121DE" w:rsidR="00CD6F06" w:rsidRPr="00701CA1" w:rsidRDefault="00CD6F06" w:rsidP="00701CA1">
      <w:pPr>
        <w:jc w:val="both"/>
        <w:rPr>
          <w:rFonts w:ascii="Garamond" w:hAnsi="Garamond"/>
          <w:sz w:val="20"/>
          <w:szCs w:val="20"/>
        </w:rPr>
      </w:pPr>
      <w:r w:rsidRPr="00701CA1">
        <w:rPr>
          <w:rStyle w:val="FootnoteReference"/>
          <w:rFonts w:ascii="Garamond" w:hAnsi="Garamond"/>
          <w:sz w:val="20"/>
          <w:szCs w:val="20"/>
        </w:rPr>
        <w:footnoteRef/>
      </w:r>
      <w:r w:rsidRPr="00701CA1">
        <w:rPr>
          <w:rFonts w:ascii="Garamond" w:hAnsi="Garamond"/>
          <w:sz w:val="20"/>
          <w:szCs w:val="20"/>
        </w:rPr>
        <w:t xml:space="preserve"> </w:t>
      </w:r>
      <w:r w:rsidRPr="00701CA1">
        <w:rPr>
          <w:rFonts w:ascii="Garamond" w:hAnsi="Garamond"/>
          <w:i/>
          <w:color w:val="333333"/>
          <w:sz w:val="20"/>
          <w:szCs w:val="20"/>
          <w:shd w:val="clear" w:color="auto" w:fill="FFFFFF"/>
        </w:rPr>
        <w:t>Reversing pension privatization: rebuilding public pension systems in Eastern Europe and Latin American countries</w:t>
      </w:r>
      <w:r w:rsidRPr="00701CA1">
        <w:rPr>
          <w:rFonts w:ascii="Garamond" w:hAnsi="Garamond"/>
          <w:color w:val="333333"/>
          <w:sz w:val="20"/>
          <w:szCs w:val="20"/>
          <w:shd w:val="clear" w:color="auto" w:fill="FFFFFF"/>
        </w:rPr>
        <w:t xml:space="preserve"> (2018), Fabio Dur</w:t>
      </w:r>
      <w:r w:rsidRPr="00701CA1">
        <w:rPr>
          <w:rFonts w:ascii="Garamond" w:hAnsi="Garamond" w:hint="eastAsia"/>
          <w:color w:val="333333"/>
          <w:sz w:val="20"/>
          <w:szCs w:val="20"/>
          <w:shd w:val="clear" w:color="auto" w:fill="FFFFFF"/>
        </w:rPr>
        <w:t>á</w:t>
      </w:r>
      <w:r w:rsidRPr="00701CA1">
        <w:rPr>
          <w:rFonts w:ascii="Garamond" w:hAnsi="Garamond"/>
          <w:color w:val="333333"/>
          <w:sz w:val="20"/>
          <w:szCs w:val="20"/>
          <w:shd w:val="clear" w:color="auto" w:fill="FFFFFF"/>
        </w:rPr>
        <w:t>n-Valverde</w:t>
      </w:r>
      <w:r w:rsidRPr="00701CA1">
        <w:rPr>
          <w:rFonts w:ascii="Garamond" w:hAnsi="Garamond"/>
          <w:sz w:val="20"/>
          <w:szCs w:val="20"/>
        </w:rPr>
        <w:t xml:space="preserve"> and others (2018), ILO, accessible </w:t>
      </w:r>
      <w:hyperlink r:id="rId136" w:history="1">
        <w:r w:rsidRPr="00701CA1">
          <w:rPr>
            <w:rStyle w:val="Hyperlink"/>
            <w:rFonts w:ascii="Garamond" w:hAnsi="Garamond"/>
            <w:sz w:val="20"/>
            <w:szCs w:val="20"/>
          </w:rPr>
          <w:t>here</w:t>
        </w:r>
      </w:hyperlink>
      <w:r w:rsidRPr="00701CA1">
        <w:rPr>
          <w:rFonts w:ascii="Garamond" w:hAnsi="Garamond"/>
          <w:sz w:val="20"/>
          <w:szCs w:val="20"/>
        </w:rPr>
        <w:t>.</w:t>
      </w:r>
    </w:p>
  </w:footnote>
  <w:footnote w:id="140">
    <w:p w14:paraId="76BDCFAA" w14:textId="77777777"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In </w:t>
      </w:r>
      <w:r w:rsidRPr="00043E1D">
        <w:rPr>
          <w:rFonts w:ascii="Garamond" w:hAnsi="Garamond"/>
          <w:i/>
          <w:sz w:val="20"/>
          <w:szCs w:val="20"/>
        </w:rPr>
        <w:t xml:space="preserve">Reassessing the impact of finance on growth </w:t>
      </w:r>
      <w:r w:rsidRPr="00043E1D">
        <w:rPr>
          <w:rFonts w:ascii="Garamond" w:hAnsi="Garamond"/>
          <w:sz w:val="20"/>
          <w:szCs w:val="20"/>
        </w:rPr>
        <w:t xml:space="preserve">(2012), Stephen Cecchetti and Enisse Kharroubi of the Bank For International Settlements (accessible </w:t>
      </w:r>
      <w:hyperlink r:id="rId137" w:history="1">
        <w:r w:rsidRPr="00043E1D">
          <w:rPr>
            <w:rStyle w:val="Hyperlink"/>
            <w:rFonts w:ascii="Garamond" w:hAnsi="Garamond"/>
            <w:sz w:val="20"/>
            <w:szCs w:val="20"/>
          </w:rPr>
          <w:t>here</w:t>
        </w:r>
      </w:hyperlink>
      <w:r w:rsidRPr="00043E1D">
        <w:rPr>
          <w:rFonts w:ascii="Garamond" w:hAnsi="Garamond"/>
          <w:sz w:val="20"/>
          <w:szCs w:val="20"/>
        </w:rPr>
        <w:t>) suggest that “…the level of financial development is good only up to a point, after which it becomes a drag on growth.  Second, focusing on advanced economies, we show that a fast-growing financial sector is detrimental to aggregate productivity growth.”  The tipping point seems to be about 6.5% of real GDP per worker.  Australia’s is more than 11%.</w:t>
      </w:r>
    </w:p>
  </w:footnote>
  <w:footnote w:id="141">
    <w:p w14:paraId="6774C098" w14:textId="3D915C21" w:rsidR="00CD6F06" w:rsidRPr="00891E0F" w:rsidRDefault="00CD6F06" w:rsidP="00891E0F">
      <w:pPr>
        <w:pStyle w:val="FootnoteText"/>
        <w:jc w:val="both"/>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sidRPr="00F66CFF">
        <w:rPr>
          <w:rFonts w:ascii="Garamond" w:hAnsi="Garamond"/>
          <w:sz w:val="20"/>
          <w:szCs w:val="20"/>
        </w:rPr>
        <w:t>It would also be nice to see whether the combination of compulsory Tier 2 savings and a means-test Tier 1 pension ha</w:t>
      </w:r>
      <w:r w:rsidRPr="00891E0F">
        <w:rPr>
          <w:rFonts w:ascii="Garamond" w:hAnsi="Garamond"/>
          <w:sz w:val="20"/>
          <w:szCs w:val="20"/>
        </w:rPr>
        <w:t>s</w:t>
      </w:r>
      <w:r w:rsidRPr="00F66CFF">
        <w:rPr>
          <w:rFonts w:ascii="Garamond" w:hAnsi="Garamond"/>
          <w:sz w:val="20"/>
          <w:szCs w:val="20"/>
        </w:rPr>
        <w:t xml:space="preserve"> made any difference to poverty levels in Australia.  International comparisons are difficult but local measures in Australia do not look encouraging.  Despite more than 25 years of full compulsion, poverty levels amongst the age 65+ range from 13% (before housing costs) to 8%, adjusting for housing costs (see </w:t>
      </w:r>
      <w:r w:rsidRPr="00F66CFF">
        <w:rPr>
          <w:rFonts w:ascii="Garamond" w:hAnsi="Garamond"/>
          <w:i/>
          <w:sz w:val="20"/>
          <w:szCs w:val="20"/>
        </w:rPr>
        <w:t>Why Australia’s old-age poverty rates are far lower than you think</w:t>
      </w:r>
      <w:r w:rsidRPr="00F66CFF">
        <w:rPr>
          <w:rFonts w:ascii="Garamond" w:hAnsi="Garamond"/>
          <w:sz w:val="20"/>
          <w:szCs w:val="20"/>
        </w:rPr>
        <w:t xml:space="preserve">, Grattan Institute, April 2019 (accessible </w:t>
      </w:r>
      <w:hyperlink r:id="rId138" w:history="1">
        <w:r w:rsidRPr="00F66CFF">
          <w:rPr>
            <w:rStyle w:val="Hyperlink"/>
            <w:rFonts w:ascii="Garamond" w:hAnsi="Garamond"/>
            <w:sz w:val="20"/>
            <w:szCs w:val="20"/>
          </w:rPr>
          <w:t>here</w:t>
        </w:r>
      </w:hyperlink>
      <w:r w:rsidRPr="00F66CFF">
        <w:rPr>
          <w:rFonts w:ascii="Garamond" w:hAnsi="Garamond"/>
          <w:sz w:val="20"/>
          <w:szCs w:val="20"/>
        </w:rPr>
        <w:t>).</w:t>
      </w:r>
    </w:p>
  </w:footnote>
  <w:footnote w:id="142">
    <w:p w14:paraId="41C19A1F" w14:textId="5CB8B63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Australia seems to have only recently formally decided that reducing future Tier 1 payments is actually a primary objective of the compulsory Tier 2.  A bill currently being considered by the Australian Parliament suggests that “the aim of superannuation is to provide income in retirement to substitute or supplement the Age Pension” – Clause 5(1) of the Superannuation (Objective) Bill 2016 (accessible </w:t>
      </w:r>
      <w:hyperlink r:id="rId139" w:history="1">
        <w:r w:rsidRPr="00E01A8F">
          <w:rPr>
            <w:rStyle w:val="Hyperlink"/>
            <w:rFonts w:ascii="Garamond" w:hAnsi="Garamond"/>
            <w:sz w:val="20"/>
            <w:szCs w:val="20"/>
          </w:rPr>
          <w:t>here</w:t>
        </w:r>
      </w:hyperlink>
      <w:r>
        <w:rPr>
          <w:rFonts w:ascii="Garamond" w:hAnsi="Garamond"/>
          <w:sz w:val="20"/>
          <w:szCs w:val="20"/>
        </w:rPr>
        <w:t>).</w:t>
      </w:r>
    </w:p>
  </w:footnote>
  <w:footnote w:id="143">
    <w:p w14:paraId="654F1B44" w14:textId="043DF97C"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KiwiSaver: where to from here?</w:t>
      </w:r>
      <w:r w:rsidRPr="00043E1D">
        <w:rPr>
          <w:rFonts w:ascii="Garamond" w:hAnsi="Garamond"/>
          <w:sz w:val="20"/>
          <w:szCs w:val="20"/>
        </w:rPr>
        <w:t xml:space="preserve">, speech to the Workplace Savings conference (November 2016), accessible </w:t>
      </w:r>
      <w:hyperlink r:id="rId140" w:history="1">
        <w:r w:rsidRPr="00043E1D">
          <w:rPr>
            <w:rStyle w:val="Hyperlink"/>
            <w:rFonts w:ascii="Garamond" w:hAnsi="Garamond"/>
            <w:sz w:val="20"/>
            <w:szCs w:val="20"/>
          </w:rPr>
          <w:t>here</w:t>
        </w:r>
      </w:hyperlink>
      <w:r w:rsidRPr="00043E1D">
        <w:rPr>
          <w:rFonts w:ascii="Garamond" w:hAnsi="Garamond"/>
          <w:sz w:val="20"/>
          <w:szCs w:val="20"/>
        </w:rPr>
        <w:t>, at page 4.</w:t>
      </w:r>
      <w:r>
        <w:rPr>
          <w:rFonts w:ascii="Garamond" w:hAnsi="Garamond"/>
          <w:sz w:val="20"/>
          <w:szCs w:val="20"/>
        </w:rPr>
        <w:t xml:space="preserve"> Michael Cullen does not discuss a means-test but does suggest something he called a “hypothecated superannuation tax” as a “return for the current level of subsidies and an easing of [Employer Superannuation </w:t>
      </w:r>
      <w:r w:rsidRPr="000411F0">
        <w:rPr>
          <w:rFonts w:ascii="Garamond" w:hAnsi="Garamond"/>
          <w:sz w:val="20"/>
          <w:szCs w:val="20"/>
        </w:rPr>
        <w:t xml:space="preserve">Contribution </w:t>
      </w:r>
      <w:r w:rsidRPr="00D30463">
        <w:rPr>
          <w:rFonts w:ascii="Garamond" w:hAnsi="Garamond"/>
          <w:sz w:val="20"/>
          <w:szCs w:val="20"/>
        </w:rPr>
        <w:t>Tax]”</w:t>
      </w:r>
      <w:r>
        <w:rPr>
          <w:rFonts w:ascii="Garamond" w:hAnsi="Garamond"/>
          <w:sz w:val="20"/>
          <w:szCs w:val="20"/>
        </w:rPr>
        <w:t xml:space="preserve"> (at page 5).  This new tax would be payable to the NZSF on the death or payment of a benefit to the member.  The author thought this “could have a dramatic impact on the long-term levels of other taxation required to fund New Zealand Superannuation.”  In other words, it would effectively be a tagged ‘tax cookie jar’ along similar lines to the NZSF itself.</w:t>
      </w:r>
    </w:p>
  </w:footnote>
  <w:footnote w:id="144">
    <w:p w14:paraId="1ECF6220" w14:textId="6B2328F1" w:rsidR="00CD6F06" w:rsidRPr="00043E1D" w:rsidRDefault="00CD6F06">
      <w:pPr>
        <w:jc w:val="both"/>
        <w:rPr>
          <w:rFonts w:ascii="Garamond" w:hAnsi="Garamond"/>
          <w:sz w:val="20"/>
          <w:szCs w:val="20"/>
        </w:rPr>
      </w:pPr>
      <w:r w:rsidRPr="00043E1D">
        <w:rPr>
          <w:rStyle w:val="FootnoteReference"/>
          <w:rFonts w:ascii="Garamond" w:hAnsi="Garamond"/>
        </w:rPr>
        <w:footnoteRef/>
      </w:r>
      <w:r w:rsidRPr="00043E1D">
        <w:rPr>
          <w:rFonts w:ascii="Garamond" w:hAnsi="Garamond"/>
        </w:rPr>
        <w:t xml:space="preserve"> </w:t>
      </w:r>
      <w:r w:rsidRPr="00043E1D">
        <w:rPr>
          <w:rFonts w:ascii="Garamond" w:hAnsi="Garamond"/>
          <w:sz w:val="20"/>
          <w:szCs w:val="20"/>
        </w:rPr>
        <w:t xml:space="preserve">This section is based on a submission by Michael Littlewood for the Retirement Commissioner’s 2016 Review: </w:t>
      </w:r>
      <w:r w:rsidRPr="00043E1D">
        <w:rPr>
          <w:rFonts w:ascii="Garamond" w:hAnsi="Garamond"/>
          <w:i/>
          <w:sz w:val="20"/>
          <w:szCs w:val="20"/>
        </w:rPr>
        <w:t>Ageing populations, retirement incomes and public policy: the four ‘first principles’ of policy-making - A submission to the Commission for Financial Capability</w:t>
      </w:r>
      <w:r w:rsidRPr="00043E1D">
        <w:rPr>
          <w:rFonts w:ascii="Garamond" w:hAnsi="Garamond"/>
          <w:sz w:val="20"/>
          <w:szCs w:val="20"/>
        </w:rPr>
        <w:t xml:space="preserve"> (accessible </w:t>
      </w:r>
      <w:hyperlink r:id="rId141" w:history="1">
        <w:r w:rsidRPr="00043E1D">
          <w:rPr>
            <w:rStyle w:val="Hyperlink"/>
            <w:rFonts w:ascii="Garamond" w:hAnsi="Garamond"/>
            <w:sz w:val="20"/>
            <w:szCs w:val="20"/>
          </w:rPr>
          <w:t>here</w:t>
        </w:r>
      </w:hyperlink>
      <w:r w:rsidRPr="00043E1D">
        <w:rPr>
          <w:rFonts w:ascii="Garamond" w:hAnsi="Garamond"/>
          <w:sz w:val="20"/>
          <w:szCs w:val="20"/>
        </w:rPr>
        <w:t>).</w:t>
      </w:r>
    </w:p>
  </w:footnote>
  <w:footnote w:id="145">
    <w:p w14:paraId="72541345" w14:textId="22567D33" w:rsidR="00CD6F06" w:rsidRPr="00043E1D" w:rsidRDefault="00CD6F06">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Financial literacy programmes can be part of this: see, for example </w:t>
      </w:r>
      <w:r w:rsidRPr="00043E1D">
        <w:rPr>
          <w:rFonts w:ascii="Garamond" w:hAnsi="Garamond"/>
          <w:i/>
          <w:sz w:val="20"/>
          <w:szCs w:val="20"/>
        </w:rPr>
        <w:t>Financial Literacy and Retirement Planning: New Evidence from the Rand American Life Panel</w:t>
      </w:r>
      <w:r w:rsidRPr="00043E1D">
        <w:rPr>
          <w:rFonts w:ascii="Garamond" w:hAnsi="Garamond"/>
          <w:sz w:val="20"/>
          <w:szCs w:val="20"/>
        </w:rPr>
        <w:t xml:space="preserve"> (2007), Annamaria Lusardi and Olivia Mitchell, Michigan Retirement Research Center (accessible </w:t>
      </w:r>
      <w:hyperlink r:id="rId142" w:history="1">
        <w:r w:rsidRPr="00043E1D">
          <w:rPr>
            <w:rStyle w:val="Hyperlink"/>
            <w:rFonts w:ascii="Garamond" w:hAnsi="Garamond"/>
            <w:sz w:val="20"/>
            <w:szCs w:val="20"/>
          </w:rPr>
          <w:t>here</w:t>
        </w:r>
      </w:hyperlink>
      <w:r w:rsidRPr="00043E1D">
        <w:rPr>
          <w:rFonts w:ascii="Garamond" w:hAnsi="Garamond"/>
          <w:sz w:val="20"/>
          <w:szCs w:val="20"/>
        </w:rPr>
        <w:t xml:space="preserve">).  Such programmes have much wider potential uses than helping people understand their retirement planning needs. </w:t>
      </w:r>
    </w:p>
  </w:footnote>
  <w:footnote w:id="146">
    <w:p w14:paraId="1E743A60" w14:textId="77777777"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For example, investors should have ready access to net, real returns across all comparable offerings on a regular, say, monthly basis over the last 5, 10, 15 and 20 years as well as for the current year.  Similar comparisons of fees would also be informative.  A public agency will be the most effective source of that data and the collection and comparisons should be subject to regular, public review.</w:t>
      </w:r>
    </w:p>
  </w:footnote>
  <w:footnote w:id="147">
    <w:p w14:paraId="6DE5DD12" w14:textId="228F101C"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One major difficulty with income and asset tests of the Tier 1 pension (as in Australia and in most countries with a Tier 2 scheme) is that savers must necessarily doubt whether they will receive any of the Tier 1 pension.  That doubt directly affects decisions about private provision for retirement and may lead to ‘over-saving’</w:t>
      </w:r>
      <w:r>
        <w:rPr>
          <w:rFonts w:ascii="Garamond" w:hAnsi="Garamond"/>
          <w:sz w:val="20"/>
          <w:szCs w:val="20"/>
        </w:rPr>
        <w:t xml:space="preserve"> and a misallocation of a country’s resources</w:t>
      </w:r>
      <w:r w:rsidRPr="00043E1D">
        <w:rPr>
          <w:rFonts w:ascii="Garamond" w:hAnsi="Garamond"/>
          <w:sz w:val="20"/>
          <w:szCs w:val="20"/>
        </w:rPr>
        <w:t>.</w:t>
      </w:r>
    </w:p>
  </w:footnote>
  <w:footnote w:id="148">
    <w:p w14:paraId="7602F4A8" w14:textId="7610565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r w:rsidRPr="00043E1D">
        <w:rPr>
          <w:rFonts w:ascii="Garamond" w:hAnsi="Garamond"/>
          <w:i/>
          <w:sz w:val="20"/>
          <w:szCs w:val="20"/>
        </w:rPr>
        <w:t>Behavioural economics: a brief introduction to the saving literature</w:t>
      </w:r>
      <w:r w:rsidRPr="00043E1D">
        <w:rPr>
          <w:rFonts w:ascii="Garamond" w:hAnsi="Garamond"/>
          <w:sz w:val="20"/>
          <w:szCs w:val="20"/>
        </w:rPr>
        <w:t xml:space="preserve">, Andrew Coleman (2010) accessible </w:t>
      </w:r>
      <w:hyperlink r:id="rId143" w:history="1">
        <w:r w:rsidRPr="00043E1D">
          <w:rPr>
            <w:rStyle w:val="Hyperlink"/>
            <w:rFonts w:ascii="Garamond" w:hAnsi="Garamond"/>
            <w:sz w:val="20"/>
            <w:szCs w:val="20"/>
          </w:rPr>
          <w:t>here</w:t>
        </w:r>
      </w:hyperlink>
      <w:r w:rsidRPr="00043E1D">
        <w:rPr>
          <w:rFonts w:ascii="Garamond" w:hAnsi="Garamond"/>
          <w:sz w:val="20"/>
          <w:szCs w:val="20"/>
        </w:rPr>
        <w:t>.  This gives “a very brief introduction to a vast literature”.</w:t>
      </w:r>
    </w:p>
  </w:footnote>
  <w:footnote w:id="149">
    <w:p w14:paraId="52EA7A96" w14:textId="3092B458" w:rsidR="00CD6F06" w:rsidRPr="00563816" w:rsidRDefault="00CD6F06">
      <w:pPr>
        <w:pStyle w:val="FootnoteText"/>
        <w:jc w:val="both"/>
        <w:rPr>
          <w:rFonts w:ascii="Garamond" w:hAnsi="Garamond"/>
          <w:sz w:val="20"/>
          <w:szCs w:val="20"/>
          <w:lang w:val="en-US"/>
        </w:rPr>
      </w:pPr>
      <w:r w:rsidRPr="00563816">
        <w:rPr>
          <w:rStyle w:val="FootnoteReference"/>
          <w:rFonts w:ascii="Garamond" w:hAnsi="Garamond"/>
          <w:sz w:val="20"/>
          <w:szCs w:val="20"/>
        </w:rPr>
        <w:footnoteRef/>
      </w:r>
      <w:r w:rsidRPr="00563816">
        <w:rPr>
          <w:rFonts w:ascii="Garamond" w:hAnsi="Garamond"/>
          <w:sz w:val="20"/>
          <w:szCs w:val="20"/>
        </w:rPr>
        <w:t xml:space="preserve"> </w:t>
      </w:r>
      <w:r>
        <w:rPr>
          <w:rFonts w:ascii="Garamond" w:hAnsi="Garamond"/>
          <w:sz w:val="20"/>
          <w:szCs w:val="20"/>
        </w:rPr>
        <w:t xml:space="preserve">This is the underlying premise of the design of KiwiSaver that was based on a deeply flawed 2004 report from the Savings Product Working Group, </w:t>
      </w:r>
      <w:r>
        <w:rPr>
          <w:rFonts w:ascii="Garamond" w:hAnsi="Garamond"/>
          <w:i/>
          <w:sz w:val="20"/>
          <w:szCs w:val="20"/>
        </w:rPr>
        <w:t>A Future for Work-based Savings in New Zealand</w:t>
      </w:r>
      <w:r>
        <w:rPr>
          <w:rFonts w:ascii="Garamond" w:hAnsi="Garamond"/>
          <w:sz w:val="20"/>
          <w:szCs w:val="20"/>
        </w:rPr>
        <w:t xml:space="preserve"> (accessible </w:t>
      </w:r>
      <w:hyperlink r:id="rId144" w:history="1">
        <w:r w:rsidRPr="00514724">
          <w:rPr>
            <w:rStyle w:val="Hyperlink"/>
            <w:rFonts w:ascii="Garamond" w:hAnsi="Garamond"/>
            <w:sz w:val="20"/>
            <w:szCs w:val="20"/>
          </w:rPr>
          <w:t>here</w:t>
        </w:r>
      </w:hyperlink>
      <w:r>
        <w:rPr>
          <w:rFonts w:ascii="Garamond" w:hAnsi="Garamond"/>
          <w:sz w:val="20"/>
          <w:szCs w:val="20"/>
        </w:rPr>
        <w:t>). It was flawed, because its recommendations were unsupported by any evidence of under-saving by New Zealanders and, in fact, ignored what evidence there was.  We have more to say on this in section 14 below (KiwiSaver in the new environment).</w:t>
      </w:r>
    </w:p>
  </w:footnote>
  <w:footnote w:id="150">
    <w:p w14:paraId="3D4B8BCD" w14:textId="229EAC4D" w:rsidR="00CD6F06" w:rsidRPr="00043E1D" w:rsidRDefault="00CD6F06">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Chris Field in </w:t>
      </w:r>
      <w:r w:rsidRPr="00043E1D">
        <w:rPr>
          <w:rFonts w:ascii="Garamond" w:hAnsi="Garamond"/>
          <w:i/>
          <w:sz w:val="20"/>
          <w:szCs w:val="20"/>
        </w:rPr>
        <w:t>Having One’s Cake And Eating It Too – An Analysis Of Behavioural Economics From A Consumer Policy Perspective</w:t>
      </w:r>
      <w:r w:rsidRPr="00043E1D">
        <w:rPr>
          <w:rFonts w:ascii="Garamond" w:hAnsi="Garamond"/>
          <w:sz w:val="20"/>
          <w:szCs w:val="20"/>
        </w:rPr>
        <w:t xml:space="preserve"> (2007) Australian Productivity Commission, accessible </w:t>
      </w:r>
      <w:hyperlink r:id="rId145" w:history="1">
        <w:r w:rsidRPr="00043E1D">
          <w:rPr>
            <w:rStyle w:val="Hyperlink"/>
            <w:rFonts w:ascii="Garamond" w:hAnsi="Garamond"/>
            <w:sz w:val="20"/>
            <w:szCs w:val="20"/>
          </w:rPr>
          <w:t>here</w:t>
        </w:r>
      </w:hyperlink>
      <w:r w:rsidRPr="00043E1D">
        <w:rPr>
          <w:rFonts w:ascii="Garamond" w:hAnsi="Garamond"/>
          <w:sz w:val="20"/>
          <w:szCs w:val="20"/>
        </w:rPr>
        <w:t xml:space="preserve"> (chapter in </w:t>
      </w:r>
      <w:r w:rsidRPr="00043E1D">
        <w:rPr>
          <w:rFonts w:ascii="Garamond" w:hAnsi="Garamond"/>
          <w:i/>
          <w:sz w:val="20"/>
          <w:szCs w:val="20"/>
        </w:rPr>
        <w:t>Behavioural Economics and Public Policy</w:t>
      </w:r>
      <w:r w:rsidRPr="00043E1D">
        <w:rPr>
          <w:rFonts w:ascii="Garamond" w:hAnsi="Garamond"/>
          <w:sz w:val="20"/>
          <w:szCs w:val="20"/>
        </w:rPr>
        <w:t>).</w:t>
      </w:r>
    </w:p>
    <w:p w14:paraId="613780B9" w14:textId="4E7D7057" w:rsidR="00CD6F06" w:rsidRPr="00043E1D" w:rsidRDefault="00CD6F06">
      <w:pPr>
        <w:pStyle w:val="FootnoteText"/>
        <w:jc w:val="both"/>
        <w:rPr>
          <w:rFonts w:ascii="Garamond" w:hAnsi="Garamond"/>
          <w:lang w:val="en-US"/>
        </w:rPr>
      </w:pPr>
    </w:p>
  </w:footnote>
  <w:footnote w:id="151">
    <w:p w14:paraId="3018B116" w14:textId="0DBCFEE0"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For the reasons stated in this section, Census information on home ownership at any age is incomplete.  Of all those over age 65 in 2013 who stated their ownership position, 74.5% ‘owned or partly owned’ their ‘usual residence’.  5.1% gave no or an ‘unidentifiable’ response – source: Stat</w:t>
      </w:r>
      <w:r>
        <w:rPr>
          <w:rFonts w:ascii="Garamond" w:hAnsi="Garamond"/>
          <w:sz w:val="20"/>
          <w:szCs w:val="20"/>
        </w:rPr>
        <w:t>s</w:t>
      </w:r>
      <w:r w:rsidRPr="00043E1D">
        <w:rPr>
          <w:rFonts w:ascii="Garamond" w:hAnsi="Garamond"/>
          <w:sz w:val="20"/>
          <w:szCs w:val="20"/>
        </w:rPr>
        <w:t xml:space="preserve">NZ </w:t>
      </w:r>
      <w:r w:rsidRPr="00043E1D">
        <w:rPr>
          <w:rFonts w:ascii="Garamond" w:hAnsi="Garamond"/>
          <w:i/>
          <w:sz w:val="20"/>
          <w:szCs w:val="20"/>
        </w:rPr>
        <w:t xml:space="preserve">2013 Census Quickstats about people age 65 and over </w:t>
      </w:r>
      <w:r w:rsidRPr="00043E1D">
        <w:rPr>
          <w:rFonts w:ascii="Garamond" w:hAnsi="Garamond"/>
          <w:sz w:val="20"/>
          <w:szCs w:val="20"/>
        </w:rPr>
        <w:t xml:space="preserve">(2015) accessible </w:t>
      </w:r>
      <w:hyperlink r:id="rId146" w:history="1">
        <w:r w:rsidRPr="00043E1D">
          <w:rPr>
            <w:rStyle w:val="Hyperlink"/>
            <w:rFonts w:ascii="Garamond" w:hAnsi="Garamond"/>
            <w:sz w:val="20"/>
            <w:szCs w:val="20"/>
          </w:rPr>
          <w:t>here</w:t>
        </w:r>
      </w:hyperlink>
      <w:r w:rsidRPr="00043E1D">
        <w:rPr>
          <w:rFonts w:ascii="Garamond" w:hAnsi="Garamond"/>
          <w:sz w:val="20"/>
          <w:szCs w:val="20"/>
        </w:rPr>
        <w:t>.</w:t>
      </w:r>
    </w:p>
  </w:footnote>
  <w:footnote w:id="152">
    <w:p w14:paraId="056CACD6" w14:textId="5707445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A century of censuses – dwellings and households</w:t>
      </w:r>
      <w:r w:rsidRPr="00043E1D">
        <w:rPr>
          <w:rFonts w:ascii="Garamond" w:hAnsi="Garamond"/>
          <w:sz w:val="20"/>
          <w:szCs w:val="20"/>
        </w:rPr>
        <w:t xml:space="preserve"> (2015) accessible </w:t>
      </w:r>
      <w:hyperlink r:id="rId147" w:history="1">
        <w:r w:rsidRPr="00043E1D">
          <w:rPr>
            <w:rStyle w:val="Hyperlink"/>
            <w:rFonts w:ascii="Garamond" w:hAnsi="Garamond"/>
            <w:sz w:val="20"/>
            <w:szCs w:val="20"/>
          </w:rPr>
          <w:t>here</w:t>
        </w:r>
      </w:hyperlink>
      <w:r w:rsidRPr="00043E1D">
        <w:rPr>
          <w:rFonts w:ascii="Garamond" w:hAnsi="Garamond"/>
          <w:sz w:val="20"/>
          <w:szCs w:val="20"/>
        </w:rPr>
        <w:t xml:space="preserve">. The chart shows ‘owned’ dwellings (including family trust ownership) as a proportion of all </w:t>
      </w:r>
      <w:r w:rsidRPr="00043E1D">
        <w:rPr>
          <w:rFonts w:ascii="Garamond" w:hAnsi="Garamond"/>
          <w:i/>
          <w:sz w:val="20"/>
          <w:szCs w:val="20"/>
        </w:rPr>
        <w:t>occupied</w:t>
      </w:r>
      <w:r w:rsidRPr="00043E1D">
        <w:rPr>
          <w:rFonts w:ascii="Garamond" w:hAnsi="Garamond"/>
          <w:sz w:val="20"/>
          <w:szCs w:val="20"/>
        </w:rPr>
        <w:t xml:space="preserve"> dwellings, including those where ownership status was unclear.</w:t>
      </w:r>
    </w:p>
  </w:footnote>
  <w:footnote w:id="153">
    <w:p w14:paraId="39F5BF76" w14:textId="268A9C16"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Again, from </w:t>
      </w:r>
      <w:r w:rsidRPr="00043E1D">
        <w:rPr>
          <w:rFonts w:ascii="Garamond" w:hAnsi="Garamond"/>
          <w:i/>
          <w:sz w:val="20"/>
          <w:szCs w:val="20"/>
        </w:rPr>
        <w:t>A century of censuses – dwellings and households</w:t>
      </w:r>
      <w:r w:rsidRPr="00043E1D">
        <w:rPr>
          <w:rFonts w:ascii="Garamond" w:hAnsi="Garamond"/>
          <w:sz w:val="20"/>
          <w:szCs w:val="20"/>
        </w:rPr>
        <w:t xml:space="preserve"> (2015) accessible </w:t>
      </w:r>
      <w:hyperlink r:id="rId148" w:history="1">
        <w:r w:rsidRPr="00043E1D">
          <w:rPr>
            <w:rStyle w:val="Hyperlink"/>
            <w:rFonts w:ascii="Garamond" w:hAnsi="Garamond"/>
            <w:sz w:val="20"/>
            <w:szCs w:val="20"/>
          </w:rPr>
          <w:t>here</w:t>
        </w:r>
      </w:hyperlink>
      <w:r w:rsidRPr="00043E1D">
        <w:rPr>
          <w:rFonts w:ascii="Garamond" w:hAnsi="Garamond"/>
          <w:sz w:val="20"/>
          <w:szCs w:val="20"/>
        </w:rPr>
        <w:t>.</w:t>
      </w:r>
    </w:p>
  </w:footnote>
  <w:footnote w:id="154">
    <w:p w14:paraId="38C43CC8" w14:textId="2D498874"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In 1991, unoccupied dwellings were 10.4% of all 1.30 million dwellings and ‘unknowns’ were 3.4% of all 1.18 million </w:t>
      </w:r>
      <w:r w:rsidRPr="00043E1D">
        <w:rPr>
          <w:rFonts w:ascii="Garamond" w:hAnsi="Garamond"/>
          <w:i/>
          <w:sz w:val="20"/>
          <w:szCs w:val="20"/>
          <w:lang w:val="en-US"/>
        </w:rPr>
        <w:t>occupied</w:t>
      </w:r>
      <w:r w:rsidRPr="00043E1D">
        <w:rPr>
          <w:rFonts w:ascii="Garamond" w:hAnsi="Garamond"/>
          <w:sz w:val="20"/>
          <w:szCs w:val="20"/>
          <w:lang w:val="en-US"/>
        </w:rPr>
        <w:t xml:space="preserve"> dwellings.  The 1991 Census was therefore missing data on a total of 162,750 dwellings or 12.5% of all dwellings.  That total had risen to 20.6% of all dwellings in 2013.</w:t>
      </w:r>
    </w:p>
  </w:footnote>
  <w:footnote w:id="155">
    <w:p w14:paraId="7DEB8495" w14:textId="5B94DB55"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There is considerable disquiet about the 2018 Census and the quality of the data it will eventually produce.  See, for example, </w:t>
      </w:r>
      <w:r>
        <w:rPr>
          <w:rFonts w:ascii="Garamond" w:hAnsi="Garamond"/>
          <w:i/>
          <w:sz w:val="20"/>
          <w:szCs w:val="20"/>
        </w:rPr>
        <w:t xml:space="preserve">2018 Census – what happened?, </w:t>
      </w:r>
      <w:r>
        <w:rPr>
          <w:rFonts w:ascii="Garamond" w:hAnsi="Garamond"/>
          <w:sz w:val="20"/>
          <w:szCs w:val="20"/>
        </w:rPr>
        <w:t xml:space="preserve">Leith Hufferdine for </w:t>
      </w:r>
      <w:r>
        <w:rPr>
          <w:rFonts w:ascii="Garamond" w:hAnsi="Garamond"/>
          <w:i/>
          <w:sz w:val="20"/>
          <w:szCs w:val="20"/>
        </w:rPr>
        <w:t>Stuff</w:t>
      </w:r>
      <w:r>
        <w:rPr>
          <w:rFonts w:ascii="Garamond" w:hAnsi="Garamond"/>
          <w:sz w:val="20"/>
          <w:szCs w:val="20"/>
        </w:rPr>
        <w:t xml:space="preserve">, 11 October 2018 (accessible </w:t>
      </w:r>
      <w:hyperlink r:id="rId149" w:history="1">
        <w:r w:rsidRPr="00D76A75">
          <w:rPr>
            <w:rStyle w:val="Hyperlink"/>
            <w:rFonts w:ascii="Garamond" w:hAnsi="Garamond"/>
            <w:sz w:val="20"/>
            <w:szCs w:val="20"/>
          </w:rPr>
          <w:t>here</w:t>
        </w:r>
      </w:hyperlink>
      <w:r>
        <w:rPr>
          <w:rFonts w:ascii="Garamond" w:hAnsi="Garamond"/>
          <w:sz w:val="20"/>
          <w:szCs w:val="20"/>
        </w:rPr>
        <w:t xml:space="preserve">).  Some suggest that the overall response rate was only about 90% - see </w:t>
      </w:r>
      <w:r>
        <w:rPr>
          <w:rFonts w:ascii="Garamond" w:hAnsi="Garamond"/>
          <w:i/>
          <w:sz w:val="20"/>
          <w:szCs w:val="20"/>
        </w:rPr>
        <w:t>Statistics NZ pushes Census 2019 deadline further as issues continue</w:t>
      </w:r>
      <w:r>
        <w:rPr>
          <w:rFonts w:ascii="Garamond" w:hAnsi="Garamond"/>
          <w:sz w:val="20"/>
          <w:szCs w:val="20"/>
        </w:rPr>
        <w:t xml:space="preserve">, Thomas Manch for </w:t>
      </w:r>
      <w:r>
        <w:rPr>
          <w:rFonts w:ascii="Garamond" w:hAnsi="Garamond"/>
          <w:i/>
          <w:sz w:val="20"/>
          <w:szCs w:val="20"/>
        </w:rPr>
        <w:t>Stuff</w:t>
      </w:r>
      <w:r>
        <w:rPr>
          <w:rFonts w:ascii="Garamond" w:hAnsi="Garamond"/>
          <w:sz w:val="20"/>
          <w:szCs w:val="20"/>
        </w:rPr>
        <w:t>, 12 December 2018 (accessible</w:t>
      </w:r>
      <w:r>
        <w:rPr>
          <w:rFonts w:ascii="Garamond" w:hAnsi="Garamond"/>
          <w:i/>
          <w:sz w:val="20"/>
          <w:szCs w:val="20"/>
        </w:rPr>
        <w:t xml:space="preserve"> </w:t>
      </w:r>
      <w:hyperlink r:id="rId150" w:history="1">
        <w:r w:rsidRPr="00D76A75">
          <w:rPr>
            <w:rStyle w:val="Hyperlink"/>
            <w:rFonts w:ascii="Garamond" w:hAnsi="Garamond"/>
            <w:sz w:val="20"/>
            <w:szCs w:val="20"/>
          </w:rPr>
          <w:t>here</w:t>
        </w:r>
      </w:hyperlink>
      <w:r>
        <w:rPr>
          <w:rFonts w:ascii="Garamond" w:hAnsi="Garamond"/>
          <w:sz w:val="20"/>
          <w:szCs w:val="20"/>
        </w:rPr>
        <w:t>).</w:t>
      </w:r>
    </w:p>
  </w:footnote>
  <w:footnote w:id="156">
    <w:p w14:paraId="6210EA2D" w14:textId="300636D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Loans should exclude intra-family debt to finance the transfer of the asset between family owned or controlled entities.</w:t>
      </w:r>
    </w:p>
  </w:footnote>
  <w:footnote w:id="157">
    <w:p w14:paraId="3E7F10D9" w14:textId="3F4DFB33"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section is based, in part on</w:t>
      </w:r>
      <w:r w:rsidRPr="00301223">
        <w:rPr>
          <w:rFonts w:ascii="Garamond" w:hAnsi="Garamond"/>
          <w:sz w:val="20"/>
          <w:szCs w:val="20"/>
        </w:rPr>
        <w:t xml:space="preserve"> Michael Littlewood’s </w:t>
      </w:r>
      <w:r w:rsidRPr="00043E1D">
        <w:rPr>
          <w:rFonts w:ascii="Garamond" w:hAnsi="Garamond"/>
          <w:i/>
          <w:sz w:val="20"/>
          <w:szCs w:val="20"/>
        </w:rPr>
        <w:t>‘Total compensation’: a new way of doing things</w:t>
      </w:r>
      <w:r w:rsidRPr="00043E1D">
        <w:rPr>
          <w:rFonts w:ascii="Garamond" w:hAnsi="Garamond"/>
          <w:sz w:val="20"/>
          <w:szCs w:val="20"/>
        </w:rPr>
        <w:t>, International HR Journal, Vol. 4/No.3, Fall 1995, 17-2</w:t>
      </w:r>
    </w:p>
  </w:footnote>
  <w:footnote w:id="158">
    <w:p w14:paraId="408F69AC" w14:textId="6FBA2ABB"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KiwiSaver is</w:t>
      </w:r>
      <w:r>
        <w:rPr>
          <w:rFonts w:ascii="Garamond" w:hAnsi="Garamond"/>
          <w:sz w:val="20"/>
          <w:szCs w:val="20"/>
        </w:rPr>
        <w:t>, currently,</w:t>
      </w:r>
      <w:r w:rsidRPr="00043E1D">
        <w:rPr>
          <w:rFonts w:ascii="Garamond" w:hAnsi="Garamond"/>
          <w:sz w:val="20"/>
          <w:szCs w:val="20"/>
        </w:rPr>
        <w:t xml:space="preserve"> a </w:t>
      </w:r>
      <w:r>
        <w:rPr>
          <w:rFonts w:ascii="Garamond" w:hAnsi="Garamond"/>
          <w:sz w:val="20"/>
          <w:szCs w:val="20"/>
        </w:rPr>
        <w:t xml:space="preserve">relatively </w:t>
      </w:r>
      <w:r w:rsidRPr="00043E1D">
        <w:rPr>
          <w:rFonts w:ascii="Garamond" w:hAnsi="Garamond"/>
          <w:sz w:val="20"/>
          <w:szCs w:val="20"/>
        </w:rPr>
        <w:t>modest exception to the TTE, tax-neutral treatmen</w:t>
      </w:r>
      <w:r>
        <w:rPr>
          <w:rFonts w:ascii="Garamond" w:hAnsi="Garamond"/>
          <w:sz w:val="20"/>
          <w:szCs w:val="20"/>
        </w:rPr>
        <w:t>t.  T</w:t>
      </w:r>
      <w:r w:rsidRPr="00043E1D">
        <w:rPr>
          <w:rFonts w:ascii="Garamond" w:hAnsi="Garamond"/>
          <w:sz w:val="20"/>
          <w:szCs w:val="20"/>
        </w:rPr>
        <w:t>here is an annual subsidy of</w:t>
      </w:r>
      <w:r>
        <w:rPr>
          <w:rFonts w:ascii="Garamond" w:hAnsi="Garamond"/>
          <w:sz w:val="20"/>
          <w:szCs w:val="20"/>
        </w:rPr>
        <w:t xml:space="preserve"> up to $521 a year</w:t>
      </w:r>
      <w:r w:rsidRPr="00043E1D">
        <w:rPr>
          <w:rFonts w:ascii="Garamond" w:hAnsi="Garamond"/>
          <w:sz w:val="20"/>
          <w:szCs w:val="20"/>
        </w:rPr>
        <w:t xml:space="preserve"> if the member alone saves at least twice that amount.</w:t>
      </w:r>
      <w:r>
        <w:rPr>
          <w:rFonts w:ascii="Garamond" w:hAnsi="Garamond"/>
          <w:sz w:val="20"/>
          <w:szCs w:val="20"/>
        </w:rPr>
        <w:t xml:space="preserve">  Also, investment income in the KiwiSaver scheme is taxed on a more favourable basis than had the investment income been received directly.  That applies to all superannuation schemes that are ‘Portfolio Investment Entities’ (PIEs).  However, the Tax Working Group has suggested significant increases in the advantageous tax treatment of KiwiSaver – see section 9 (Tax subsidies for retirement saving) for more.</w:t>
      </w:r>
    </w:p>
  </w:footnote>
  <w:footnote w:id="159">
    <w:p w14:paraId="6E0212B1" w14:textId="739A507E" w:rsidR="00CD6F06" w:rsidRPr="00043E1D" w:rsidRDefault="00CD6F06" w:rsidP="00701CA1">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i/>
          <w:sz w:val="20"/>
          <w:szCs w:val="20"/>
        </w:rPr>
        <w:t>Union membership return report 2017</w:t>
      </w:r>
      <w:r>
        <w:rPr>
          <w:rFonts w:ascii="Garamond" w:hAnsi="Garamond"/>
          <w:sz w:val="20"/>
          <w:szCs w:val="20"/>
        </w:rPr>
        <w:t xml:space="preserve">, New Zealand Companies Office, accessible </w:t>
      </w:r>
      <w:hyperlink r:id="rId151" w:history="1">
        <w:r w:rsidRPr="00502D79">
          <w:rPr>
            <w:rStyle w:val="Hyperlink"/>
            <w:rFonts w:ascii="Garamond" w:hAnsi="Garamond"/>
            <w:sz w:val="20"/>
            <w:szCs w:val="20"/>
          </w:rPr>
          <w:t>here</w:t>
        </w:r>
      </w:hyperlink>
      <w:r>
        <w:rPr>
          <w:rFonts w:ascii="Garamond" w:hAnsi="Garamond"/>
          <w:sz w:val="20"/>
          <w:szCs w:val="20"/>
        </w:rPr>
        <w:t xml:space="preserve">. </w:t>
      </w:r>
    </w:p>
  </w:footnote>
  <w:footnote w:id="160">
    <w:p w14:paraId="58D5B42A" w14:textId="373C86DF" w:rsidR="00CD6F06" w:rsidRPr="00043E1D" w:rsidRDefault="00CD6F06" w:rsidP="00701CA1">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i/>
          <w:sz w:val="20"/>
          <w:szCs w:val="20"/>
        </w:rPr>
        <w:t xml:space="preserve">Union membership and employment agreements – June 2016 quarter, </w:t>
      </w:r>
      <w:r>
        <w:rPr>
          <w:rFonts w:ascii="Garamond" w:hAnsi="Garamond"/>
          <w:sz w:val="20"/>
          <w:szCs w:val="20"/>
        </w:rPr>
        <w:t xml:space="preserve">Stats NZ, accessible </w:t>
      </w:r>
      <w:hyperlink r:id="rId152" w:history="1">
        <w:r w:rsidRPr="00312A20">
          <w:rPr>
            <w:rStyle w:val="Hyperlink"/>
            <w:rFonts w:ascii="Garamond" w:hAnsi="Garamond"/>
            <w:sz w:val="20"/>
            <w:szCs w:val="20"/>
          </w:rPr>
          <w:t>here</w:t>
        </w:r>
      </w:hyperlink>
      <w:r>
        <w:rPr>
          <w:rFonts w:ascii="Garamond" w:hAnsi="Garamond"/>
          <w:sz w:val="20"/>
          <w:szCs w:val="20"/>
        </w:rPr>
        <w:t>.</w:t>
      </w:r>
    </w:p>
  </w:footnote>
  <w:footnote w:id="161">
    <w:p w14:paraId="196D9071" w14:textId="05A774E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The business risk explains the intervention of accountants in the disclosure requirements for employers’ annual accounts.</w:t>
      </w:r>
    </w:p>
  </w:footnote>
  <w:footnote w:id="162">
    <w:p w14:paraId="7487139D" w14:textId="5EC0FF15" w:rsidR="00CD6F06" w:rsidRPr="00043E1D" w:rsidRDefault="00CD6F06" w:rsidP="00701CA1">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For example, specialised medical insurance cover for travel to less-developed countries.</w:t>
      </w:r>
    </w:p>
  </w:footnote>
  <w:footnote w:id="163">
    <w:p w14:paraId="0F25E8E1" w14:textId="2AD728E0" w:rsidR="00CD6F06" w:rsidRPr="00043E1D" w:rsidRDefault="00CD6F06" w:rsidP="00701CA1">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Source: </w:t>
      </w:r>
      <w:r>
        <w:rPr>
          <w:rFonts w:ascii="Garamond" w:hAnsi="Garamond"/>
          <w:i/>
          <w:sz w:val="20"/>
          <w:szCs w:val="20"/>
        </w:rPr>
        <w:t>Report of the Government Actuary for the year ended 30 June 2006</w:t>
      </w:r>
      <w:r>
        <w:rPr>
          <w:rFonts w:ascii="Garamond" w:hAnsi="Garamond"/>
          <w:sz w:val="20"/>
          <w:szCs w:val="20"/>
        </w:rPr>
        <w:t xml:space="preserve">, accessible </w:t>
      </w:r>
      <w:hyperlink r:id="rId153" w:history="1">
        <w:r w:rsidRPr="008B085D">
          <w:rPr>
            <w:rStyle w:val="Hyperlink"/>
            <w:rFonts w:ascii="Garamond" w:hAnsi="Garamond"/>
            <w:sz w:val="20"/>
            <w:szCs w:val="20"/>
          </w:rPr>
          <w:t>here</w:t>
        </w:r>
      </w:hyperlink>
      <w:r>
        <w:rPr>
          <w:rFonts w:ascii="Garamond" w:hAnsi="Garamond"/>
          <w:sz w:val="20"/>
          <w:szCs w:val="20"/>
        </w:rPr>
        <w:t xml:space="preserve"> at page 10.</w:t>
      </w:r>
    </w:p>
  </w:footnote>
  <w:footnote w:id="164">
    <w:p w14:paraId="0E0FE200" w14:textId="394E14DC"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As of February 2016, there were 182,277 ‘business units’ with employees but 6,678 of them employed 45% of all employees - source, </w:t>
      </w:r>
      <w:r>
        <w:rPr>
          <w:rFonts w:ascii="Garamond" w:hAnsi="Garamond"/>
          <w:i/>
          <w:sz w:val="20"/>
          <w:szCs w:val="20"/>
        </w:rPr>
        <w:t>New Zealand Business Demographic Statistics</w:t>
      </w:r>
      <w:r>
        <w:rPr>
          <w:rFonts w:ascii="Garamond" w:hAnsi="Garamond"/>
          <w:sz w:val="20"/>
          <w:szCs w:val="20"/>
        </w:rPr>
        <w:t xml:space="preserve">, Statistics New Zealand (2016) accessible </w:t>
      </w:r>
      <w:hyperlink r:id="rId154" w:history="1">
        <w:r w:rsidRPr="007E0DA9">
          <w:rPr>
            <w:rStyle w:val="Hyperlink"/>
            <w:rFonts w:ascii="Garamond" w:hAnsi="Garamond"/>
            <w:sz w:val="20"/>
            <w:szCs w:val="20"/>
          </w:rPr>
          <w:t>here</w:t>
        </w:r>
      </w:hyperlink>
      <w:r>
        <w:rPr>
          <w:rFonts w:ascii="Garamond" w:hAnsi="Garamond"/>
          <w:sz w:val="20"/>
          <w:szCs w:val="20"/>
        </w:rPr>
        <w:t>.  Even ‘addressing’ the 182,277 employers is more efficient than dealing with 2.1 million employees.</w:t>
      </w:r>
    </w:p>
  </w:footnote>
  <w:footnote w:id="165">
    <w:p w14:paraId="61009794" w14:textId="0DC75F4F" w:rsidR="00CD6F06" w:rsidRPr="00563816" w:rsidRDefault="00CD6F06" w:rsidP="00701CA1">
      <w:pPr>
        <w:pStyle w:val="FootnoteText"/>
        <w:jc w:val="both"/>
        <w:rPr>
          <w:rFonts w:ascii="Garamond" w:hAnsi="Garamond"/>
          <w:sz w:val="20"/>
          <w:szCs w:val="20"/>
          <w:lang w:val="en-US"/>
        </w:rPr>
      </w:pPr>
      <w:r w:rsidRPr="00563816">
        <w:rPr>
          <w:rStyle w:val="FootnoteReference"/>
          <w:rFonts w:ascii="Garamond" w:hAnsi="Garamond"/>
          <w:sz w:val="20"/>
          <w:szCs w:val="20"/>
        </w:rPr>
        <w:footnoteRef/>
      </w:r>
      <w:r w:rsidRPr="00563816">
        <w:rPr>
          <w:rFonts w:ascii="Garamond" w:hAnsi="Garamond"/>
          <w:sz w:val="20"/>
          <w:szCs w:val="20"/>
        </w:rPr>
        <w:t xml:space="preserve"> </w:t>
      </w:r>
      <w:r>
        <w:rPr>
          <w:rFonts w:ascii="Garamond" w:hAnsi="Garamond"/>
          <w:i/>
          <w:sz w:val="20"/>
          <w:szCs w:val="20"/>
        </w:rPr>
        <w:t xml:space="preserve">Submission to the Ministry of Business Innovation &amp; Employment on the Financial Markets Conduct Regulations – Discussion Paper, 12 December 2012 – the ‘problem’ with ‘superannuation’ </w:t>
      </w:r>
      <w:r>
        <w:rPr>
          <w:rFonts w:ascii="Garamond" w:hAnsi="Garamond"/>
          <w:sz w:val="20"/>
          <w:szCs w:val="20"/>
        </w:rPr>
        <w:t xml:space="preserve">by Michael Littlewood, February 2013, accessible </w:t>
      </w:r>
      <w:hyperlink r:id="rId155" w:history="1">
        <w:r w:rsidRPr="00AB0FE2">
          <w:rPr>
            <w:rStyle w:val="Hyperlink"/>
            <w:rFonts w:ascii="Garamond" w:hAnsi="Garamond"/>
            <w:sz w:val="20"/>
            <w:szCs w:val="20"/>
          </w:rPr>
          <w:t>here</w:t>
        </w:r>
      </w:hyperlink>
      <w:r>
        <w:rPr>
          <w:rFonts w:ascii="Garamond" w:hAnsi="Garamond"/>
          <w:sz w:val="20"/>
          <w:szCs w:val="20"/>
        </w:rPr>
        <w:t>.</w:t>
      </w:r>
    </w:p>
  </w:footnote>
  <w:footnote w:id="166">
    <w:p w14:paraId="353D273E" w14:textId="020EDF8C" w:rsidR="00CD6F06" w:rsidRPr="00E66631" w:rsidRDefault="00CD6F06" w:rsidP="00701CA1">
      <w:pPr>
        <w:pStyle w:val="FootnoteText"/>
        <w:jc w:val="both"/>
        <w:rPr>
          <w:rFonts w:ascii="Garamond" w:hAnsi="Garamond"/>
          <w:sz w:val="20"/>
          <w:szCs w:val="20"/>
          <w:lang w:val="en-US"/>
        </w:rPr>
      </w:pPr>
      <w:r w:rsidRPr="00E66631">
        <w:rPr>
          <w:rStyle w:val="FootnoteReference"/>
          <w:rFonts w:ascii="Garamond" w:hAnsi="Garamond"/>
          <w:sz w:val="20"/>
          <w:szCs w:val="20"/>
        </w:rPr>
        <w:footnoteRef/>
      </w:r>
      <w:r w:rsidRPr="00E66631">
        <w:rPr>
          <w:rFonts w:ascii="Garamond" w:hAnsi="Garamond"/>
          <w:sz w:val="20"/>
          <w:szCs w:val="20"/>
        </w:rPr>
        <w:t xml:space="preserve"> </w:t>
      </w:r>
      <w:r w:rsidRPr="00E66631">
        <w:rPr>
          <w:rFonts w:ascii="Garamond" w:hAnsi="Garamond"/>
          <w:i/>
          <w:sz w:val="20"/>
          <w:szCs w:val="20"/>
        </w:rPr>
        <w:t>Tier 2 Retirement Savings: Employers’ and Employees’ Attitudes and Practices</w:t>
      </w:r>
      <w:r w:rsidRPr="00E66631">
        <w:rPr>
          <w:rFonts w:ascii="Garamond" w:hAnsi="Garamond"/>
          <w:sz w:val="20"/>
          <w:szCs w:val="20"/>
        </w:rPr>
        <w:t xml:space="preserve">, 2003 ESR Consortium accessible </w:t>
      </w:r>
      <w:hyperlink r:id="rId156" w:history="1">
        <w:r w:rsidRPr="00E66631">
          <w:rPr>
            <w:rStyle w:val="Hyperlink"/>
            <w:rFonts w:ascii="Garamond" w:hAnsi="Garamond"/>
            <w:sz w:val="20"/>
            <w:szCs w:val="20"/>
          </w:rPr>
          <w:t>here</w:t>
        </w:r>
      </w:hyperlink>
      <w:r w:rsidRPr="00E66631">
        <w:rPr>
          <w:rFonts w:ascii="Garamond" w:hAnsi="Garamond"/>
          <w:sz w:val="20"/>
          <w:szCs w:val="20"/>
        </w:rPr>
        <w:t>.  We were two of the three authors of that report.</w:t>
      </w:r>
    </w:p>
  </w:footnote>
  <w:footnote w:id="167">
    <w:p w14:paraId="7399A1E9" w14:textId="245EAFD6"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Section 3(1) of the KiwiSaver Act 2006.</w:t>
      </w:r>
    </w:p>
  </w:footnote>
  <w:footnote w:id="168">
    <w:p w14:paraId="7B9EF15A" w14:textId="70153AEE"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The history of KiwiSaver’s introduction is summarised in the RPRC’s 2014 report </w:t>
      </w:r>
      <w:r w:rsidRPr="00043E1D">
        <w:rPr>
          <w:rFonts w:ascii="Garamond" w:hAnsi="Garamond"/>
          <w:i/>
          <w:sz w:val="20"/>
          <w:szCs w:val="20"/>
          <w:lang w:val="en-US"/>
        </w:rPr>
        <w:t>Now we are six – Lessons from New Zealand’s KiwiSaver</w:t>
      </w:r>
      <w:r w:rsidRPr="00043E1D">
        <w:rPr>
          <w:rFonts w:ascii="Garamond" w:hAnsi="Garamond"/>
          <w:sz w:val="20"/>
          <w:szCs w:val="20"/>
          <w:lang w:val="en-US"/>
        </w:rPr>
        <w:t xml:space="preserve">, Susan St John, Michael Littlewood and Claire Dale (accessible </w:t>
      </w:r>
      <w:hyperlink r:id="rId157" w:history="1">
        <w:r w:rsidRPr="00043E1D">
          <w:rPr>
            <w:rStyle w:val="Hyperlink"/>
            <w:rFonts w:ascii="Garamond" w:hAnsi="Garamond"/>
            <w:sz w:val="20"/>
            <w:szCs w:val="20"/>
            <w:lang w:val="en-US"/>
          </w:rPr>
          <w:t>here</w:t>
        </w:r>
      </w:hyperlink>
      <w:r w:rsidRPr="00043E1D">
        <w:rPr>
          <w:rFonts w:ascii="Garamond" w:hAnsi="Garamond"/>
          <w:sz w:val="20"/>
          <w:szCs w:val="20"/>
          <w:lang w:val="en-US"/>
        </w:rPr>
        <w:t>).  After only 1</w:t>
      </w:r>
      <w:r>
        <w:rPr>
          <w:rFonts w:ascii="Garamond" w:hAnsi="Garamond"/>
          <w:sz w:val="20"/>
          <w:szCs w:val="20"/>
          <w:lang w:val="en-US"/>
        </w:rPr>
        <w:t>2</w:t>
      </w:r>
      <w:r w:rsidRPr="00043E1D">
        <w:rPr>
          <w:rFonts w:ascii="Garamond" w:hAnsi="Garamond"/>
          <w:sz w:val="20"/>
          <w:szCs w:val="20"/>
          <w:lang w:val="en-US"/>
        </w:rPr>
        <w:t xml:space="preserve"> years, we are already at KiwiSaver Mark IV and look destined for Mark V</w:t>
      </w:r>
      <w:r>
        <w:rPr>
          <w:rFonts w:ascii="Garamond" w:hAnsi="Garamond"/>
          <w:sz w:val="20"/>
          <w:szCs w:val="20"/>
          <w:lang w:val="en-US"/>
        </w:rPr>
        <w:t>; and that counts only the major changes</w:t>
      </w:r>
    </w:p>
  </w:footnote>
  <w:footnote w:id="169">
    <w:p w14:paraId="17643B62" w14:textId="7176CF23" w:rsidR="00CD6F06" w:rsidRPr="00891E0F" w:rsidRDefault="00CD6F06" w:rsidP="00891E0F">
      <w:pPr>
        <w:pStyle w:val="FootnoteText"/>
        <w:jc w:val="both"/>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sidRPr="00F66CFF">
        <w:rPr>
          <w:rFonts w:ascii="Garamond" w:hAnsi="Garamond"/>
          <w:sz w:val="20"/>
          <w:szCs w:val="20"/>
        </w:rPr>
        <w:t>Other disclosure initiatives, currently being implemented by the Financial Markets Authority, will require more detailed disclosure of fees from 1 April 2020 – see Section 18 below (Disclosure – both initial and  ongoing).</w:t>
      </w:r>
    </w:p>
  </w:footnote>
  <w:footnote w:id="170">
    <w:p w14:paraId="768D9D8C" w14:textId="72B4A581" w:rsidR="00CD6F06" w:rsidRPr="0041203F" w:rsidRDefault="00CD6F06" w:rsidP="0041203F">
      <w:pPr>
        <w:pStyle w:val="FootnoteText"/>
        <w:jc w:val="both"/>
        <w:rPr>
          <w:rFonts w:ascii="Garamond" w:hAnsi="Garamond"/>
          <w:sz w:val="20"/>
          <w:szCs w:val="20"/>
          <w:lang w:val="en-US"/>
        </w:rPr>
      </w:pPr>
      <w:r w:rsidRPr="0041203F">
        <w:rPr>
          <w:rStyle w:val="FootnoteReference"/>
          <w:rFonts w:ascii="Garamond" w:hAnsi="Garamond"/>
          <w:sz w:val="20"/>
          <w:szCs w:val="20"/>
        </w:rPr>
        <w:footnoteRef/>
      </w:r>
      <w:r w:rsidRPr="0041203F">
        <w:rPr>
          <w:rFonts w:ascii="Garamond" w:hAnsi="Garamond"/>
          <w:sz w:val="20"/>
          <w:szCs w:val="20"/>
        </w:rPr>
        <w:t xml:space="preserve"> </w:t>
      </w:r>
      <w:r>
        <w:rPr>
          <w:rFonts w:ascii="Garamond" w:hAnsi="Garamond"/>
          <w:sz w:val="20"/>
          <w:szCs w:val="20"/>
        </w:rPr>
        <w:t xml:space="preserve">The government’s own KiwiSaver web site still refers to the original rule – that over-65s cannot join - see </w:t>
      </w:r>
      <w:hyperlink r:id="rId158" w:history="1">
        <w:r w:rsidRPr="00E408E0">
          <w:rPr>
            <w:rStyle w:val="Hyperlink"/>
            <w:rFonts w:ascii="Garamond" w:hAnsi="Garamond"/>
            <w:sz w:val="20"/>
            <w:szCs w:val="20"/>
          </w:rPr>
          <w:t>here</w:t>
        </w:r>
      </w:hyperlink>
      <w:r>
        <w:rPr>
          <w:rFonts w:ascii="Garamond" w:hAnsi="Garamond"/>
          <w:sz w:val="20"/>
          <w:szCs w:val="20"/>
        </w:rPr>
        <w:t>.</w:t>
      </w:r>
    </w:p>
  </w:footnote>
  <w:footnote w:id="171">
    <w:p w14:paraId="61F3AD73" w14:textId="7982B47E"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w:t>
      </w:r>
      <w:r>
        <w:rPr>
          <w:rFonts w:ascii="Garamond" w:hAnsi="Garamond"/>
          <w:sz w:val="20"/>
          <w:szCs w:val="20"/>
        </w:rPr>
        <w:t>the last government’s</w:t>
      </w:r>
      <w:r w:rsidRPr="00043E1D">
        <w:rPr>
          <w:rFonts w:ascii="Garamond" w:hAnsi="Garamond"/>
          <w:sz w:val="20"/>
          <w:szCs w:val="20"/>
        </w:rPr>
        <w:t xml:space="preserve"> response to the Retirement Commissioner’s recommendation (letter of 7 June 2017 accessible </w:t>
      </w:r>
      <w:hyperlink r:id="rId159" w:history="1">
        <w:r w:rsidRPr="00043E1D">
          <w:rPr>
            <w:rStyle w:val="Hyperlink"/>
            <w:rFonts w:ascii="Garamond" w:hAnsi="Garamond"/>
            <w:sz w:val="20"/>
            <w:szCs w:val="20"/>
          </w:rPr>
          <w:t>here</w:t>
        </w:r>
      </w:hyperlink>
      <w:r w:rsidRPr="00043E1D">
        <w:rPr>
          <w:rFonts w:ascii="Garamond" w:hAnsi="Garamond"/>
          <w:sz w:val="20"/>
          <w:szCs w:val="20"/>
        </w:rPr>
        <w:t>), the Minister replied: “The Government is not proposing any immediate change to the minimum employer and employee KiwiSaver contribution rates.  There is limited evidence that this recommendation would raise savings rates.  It could also make it more difficult for low-income workers to contribute to KiwiSaver, while increasing costs to employers.”.  While we agree that higher KiwiSaver contributions probably won’t increase savings, there is actually no evidence that New Zealanders need to save more.  So</w:t>
      </w:r>
      <w:r>
        <w:rPr>
          <w:rFonts w:ascii="Garamond" w:hAnsi="Garamond"/>
          <w:sz w:val="20"/>
          <w:szCs w:val="20"/>
        </w:rPr>
        <w:t>,</w:t>
      </w:r>
      <w:r w:rsidRPr="00043E1D">
        <w:rPr>
          <w:rFonts w:ascii="Garamond" w:hAnsi="Garamond"/>
          <w:sz w:val="20"/>
          <w:szCs w:val="20"/>
        </w:rPr>
        <w:t xml:space="preserve"> the </w:t>
      </w:r>
      <w:r>
        <w:rPr>
          <w:rFonts w:ascii="Garamond" w:hAnsi="Garamond"/>
          <w:sz w:val="20"/>
          <w:szCs w:val="20"/>
        </w:rPr>
        <w:t xml:space="preserve">last </w:t>
      </w:r>
      <w:r w:rsidRPr="00043E1D">
        <w:rPr>
          <w:rFonts w:ascii="Garamond" w:hAnsi="Garamond"/>
          <w:sz w:val="20"/>
          <w:szCs w:val="20"/>
        </w:rPr>
        <w:t xml:space="preserve">government’s ‘answer’ </w:t>
      </w:r>
      <w:r>
        <w:rPr>
          <w:rFonts w:ascii="Garamond" w:hAnsi="Garamond"/>
          <w:sz w:val="20"/>
          <w:szCs w:val="20"/>
        </w:rPr>
        <w:t>was</w:t>
      </w:r>
      <w:r w:rsidRPr="00043E1D">
        <w:rPr>
          <w:rFonts w:ascii="Garamond" w:hAnsi="Garamond"/>
          <w:sz w:val="20"/>
          <w:szCs w:val="20"/>
        </w:rPr>
        <w:t xml:space="preserve"> to the wrong, or rather, the unnecessary question.  As we have explained in section 11 above (The role of the government), governments seem to have little influence on citizens’ overall decisions whether or how much to save for retirement.</w:t>
      </w:r>
    </w:p>
  </w:footnote>
  <w:footnote w:id="172">
    <w:p w14:paraId="1E72AA2E" w14:textId="25217E43"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Saving for Retirement: New Evidence for New Zealand</w:t>
      </w:r>
      <w:r w:rsidRPr="00043E1D">
        <w:rPr>
          <w:rFonts w:ascii="Garamond" w:hAnsi="Garamond"/>
          <w:sz w:val="20"/>
          <w:szCs w:val="20"/>
        </w:rPr>
        <w:t xml:space="preserve">, Grant Scobie, John Gibson and Trinh Le, New Zealand Treasury, 2004, accessible </w:t>
      </w:r>
      <w:hyperlink r:id="rId160" w:history="1">
        <w:r w:rsidRPr="00043E1D">
          <w:rPr>
            <w:rStyle w:val="Hyperlink"/>
            <w:rFonts w:ascii="Garamond" w:hAnsi="Garamond"/>
            <w:sz w:val="20"/>
            <w:szCs w:val="20"/>
          </w:rPr>
          <w:t>here</w:t>
        </w:r>
      </w:hyperlink>
      <w:r w:rsidRPr="00043E1D">
        <w:rPr>
          <w:rFonts w:ascii="Garamond" w:hAnsi="Garamond"/>
          <w:sz w:val="20"/>
          <w:szCs w:val="20"/>
        </w:rPr>
        <w:t>.</w:t>
      </w:r>
    </w:p>
  </w:footnote>
  <w:footnote w:id="173">
    <w:p w14:paraId="6FB3FDA8" w14:textId="265345AE"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Are Kiwis saving enough for retirement?  Preliminary evidence from SoFIE</w:t>
      </w:r>
      <w:r w:rsidRPr="00043E1D">
        <w:rPr>
          <w:rFonts w:ascii="Garamond" w:hAnsi="Garamond"/>
          <w:sz w:val="20"/>
          <w:szCs w:val="20"/>
        </w:rPr>
        <w:t xml:space="preserve">, Grant Scobie and John Gibson, New Zealand Treasury, March 2007, accessible </w:t>
      </w:r>
      <w:hyperlink r:id="rId161" w:history="1">
        <w:r w:rsidRPr="00043E1D">
          <w:rPr>
            <w:rStyle w:val="Hyperlink"/>
            <w:rFonts w:ascii="Garamond" w:hAnsi="Garamond"/>
            <w:sz w:val="20"/>
            <w:szCs w:val="20"/>
          </w:rPr>
          <w:t>here</w:t>
        </w:r>
      </w:hyperlink>
      <w:r w:rsidRPr="00043E1D">
        <w:rPr>
          <w:rFonts w:ascii="Garamond" w:hAnsi="Garamond"/>
          <w:sz w:val="20"/>
          <w:szCs w:val="20"/>
        </w:rPr>
        <w:t>.</w:t>
      </w:r>
    </w:p>
  </w:footnote>
  <w:footnote w:id="174">
    <w:p w14:paraId="7EDF2DD5" w14:textId="63A4DA1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Saving Rates of New Zealanders: A Net Wealth Approach</w:t>
      </w:r>
      <w:r w:rsidRPr="00043E1D">
        <w:rPr>
          <w:rFonts w:ascii="Garamond" w:hAnsi="Garamond"/>
          <w:sz w:val="20"/>
          <w:szCs w:val="20"/>
        </w:rPr>
        <w:t xml:space="preserve">, Grant Scobie and Katherine Henderson, New Zealand Treasury, 2009, (accessible </w:t>
      </w:r>
      <w:hyperlink r:id="rId162" w:history="1">
        <w:r w:rsidRPr="00043E1D">
          <w:rPr>
            <w:rStyle w:val="Hyperlink"/>
            <w:rFonts w:ascii="Garamond" w:hAnsi="Garamond"/>
            <w:sz w:val="20"/>
            <w:szCs w:val="20"/>
          </w:rPr>
          <w:t>here</w:t>
        </w:r>
      </w:hyperlink>
      <w:r w:rsidRPr="00043E1D">
        <w:rPr>
          <w:rFonts w:ascii="Garamond" w:hAnsi="Garamond"/>
          <w:sz w:val="20"/>
          <w:szCs w:val="20"/>
        </w:rPr>
        <w:t>).</w:t>
      </w:r>
    </w:p>
  </w:footnote>
  <w:footnote w:id="175">
    <w:p w14:paraId="5CC509A1" w14:textId="5CDB6DCC"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KiwiSaver: An Initial Evaluation of the Impact on Retirement Saving</w:t>
      </w:r>
      <w:r w:rsidRPr="00043E1D">
        <w:rPr>
          <w:rFonts w:ascii="Garamond" w:hAnsi="Garamond"/>
          <w:sz w:val="20"/>
          <w:szCs w:val="20"/>
        </w:rPr>
        <w:t xml:space="preserve">, David Law, Lisa Meehan and Grant Scobie, New Zealand Treasury (2011) accessible </w:t>
      </w:r>
      <w:hyperlink r:id="rId163" w:history="1">
        <w:r w:rsidRPr="00043E1D">
          <w:rPr>
            <w:rStyle w:val="Hyperlink"/>
            <w:rFonts w:ascii="Garamond" w:hAnsi="Garamond"/>
            <w:sz w:val="20"/>
            <w:szCs w:val="20"/>
          </w:rPr>
          <w:t>here</w:t>
        </w:r>
      </w:hyperlink>
      <w:r w:rsidRPr="00043E1D">
        <w:rPr>
          <w:rFonts w:ascii="Garamond" w:hAnsi="Garamond"/>
          <w:sz w:val="20"/>
          <w:szCs w:val="20"/>
        </w:rPr>
        <w:t xml:space="preserve">.  Care though has to be taken with SoFIE data as participants’ recall of basic information seems at variance with IRD data – see </w:t>
      </w:r>
      <w:r w:rsidRPr="00043E1D">
        <w:rPr>
          <w:rFonts w:ascii="Garamond" w:hAnsi="Garamond"/>
          <w:i/>
          <w:sz w:val="20"/>
          <w:szCs w:val="20"/>
        </w:rPr>
        <w:t>KiwiSaver: Comparing Survey and Administrative Data</w:t>
      </w:r>
      <w:r w:rsidRPr="00043E1D">
        <w:rPr>
          <w:rFonts w:ascii="Garamond" w:hAnsi="Garamond"/>
          <w:sz w:val="20"/>
          <w:szCs w:val="20"/>
        </w:rPr>
        <w:t xml:space="preserve">, Anton Samoilenka and David Law, New Zealand Treasury (2014) accessible </w:t>
      </w:r>
      <w:hyperlink r:id="rId164" w:history="1">
        <w:r w:rsidRPr="00043E1D">
          <w:rPr>
            <w:rStyle w:val="Hyperlink"/>
            <w:rFonts w:ascii="Garamond" w:hAnsi="Garamond"/>
            <w:sz w:val="20"/>
            <w:szCs w:val="20"/>
          </w:rPr>
          <w:t>here</w:t>
        </w:r>
      </w:hyperlink>
      <w:r w:rsidRPr="00043E1D">
        <w:rPr>
          <w:rFonts w:ascii="Garamond" w:hAnsi="Garamond"/>
          <w:sz w:val="20"/>
          <w:szCs w:val="20"/>
        </w:rPr>
        <w:t>.</w:t>
      </w:r>
    </w:p>
  </w:footnote>
  <w:footnote w:id="176">
    <w:p w14:paraId="26BE3C64" w14:textId="69101056"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KiwiSaver and the Accumulation of Net Wealth</w:t>
      </w:r>
      <w:r w:rsidRPr="00043E1D">
        <w:rPr>
          <w:rFonts w:ascii="Garamond" w:hAnsi="Garamond"/>
          <w:sz w:val="20"/>
          <w:szCs w:val="20"/>
        </w:rPr>
        <w:t xml:space="preserve">, David Law and Grant Scobie, New Zealand Treasury (2014) accessible </w:t>
      </w:r>
      <w:hyperlink r:id="rId165" w:history="1">
        <w:r w:rsidRPr="00043E1D">
          <w:rPr>
            <w:rStyle w:val="Hyperlink"/>
            <w:rFonts w:ascii="Garamond" w:hAnsi="Garamond"/>
            <w:sz w:val="20"/>
            <w:szCs w:val="20"/>
          </w:rPr>
          <w:t>here</w:t>
        </w:r>
      </w:hyperlink>
      <w:r w:rsidRPr="00043E1D">
        <w:rPr>
          <w:rFonts w:ascii="Garamond" w:hAnsi="Garamond"/>
          <w:sz w:val="20"/>
          <w:szCs w:val="20"/>
        </w:rPr>
        <w:t>.</w:t>
      </w:r>
    </w:p>
  </w:footnote>
  <w:footnote w:id="177">
    <w:p w14:paraId="7580BB02" w14:textId="06875813"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r w:rsidRPr="00043E1D">
        <w:rPr>
          <w:rFonts w:ascii="Garamond" w:hAnsi="Garamond"/>
          <w:i/>
          <w:sz w:val="20"/>
          <w:szCs w:val="20"/>
        </w:rPr>
        <w:t>Household Incomes in New Zealand - Trends in Indicators of Inequality and Hardship 1982 to 2004</w:t>
      </w:r>
      <w:r w:rsidRPr="00043E1D">
        <w:rPr>
          <w:rFonts w:ascii="Garamond" w:hAnsi="Garamond"/>
          <w:sz w:val="20"/>
          <w:szCs w:val="20"/>
        </w:rPr>
        <w:t xml:space="preserve"> (2007), Bryan Perry, Ministry of Social Development (accessible </w:t>
      </w:r>
      <w:hyperlink r:id="rId166" w:history="1">
        <w:r w:rsidRPr="00043E1D">
          <w:rPr>
            <w:rStyle w:val="Hyperlink"/>
            <w:rFonts w:ascii="Garamond" w:hAnsi="Garamond"/>
            <w:sz w:val="20"/>
            <w:szCs w:val="20"/>
          </w:rPr>
          <w:t>here</w:t>
        </w:r>
      </w:hyperlink>
      <w:r w:rsidRPr="00043E1D">
        <w:rPr>
          <w:rFonts w:ascii="Garamond" w:hAnsi="Garamond"/>
          <w:sz w:val="20"/>
          <w:szCs w:val="20"/>
        </w:rPr>
        <w:t xml:space="preserve">).  By 2008, however, the income-based measure had worsened from 7% in 2004 to 14% (see </w:t>
      </w:r>
      <w:r w:rsidRPr="00043E1D">
        <w:rPr>
          <w:rFonts w:ascii="Garamond" w:hAnsi="Garamond"/>
          <w:i/>
          <w:sz w:val="20"/>
          <w:szCs w:val="20"/>
        </w:rPr>
        <w:t xml:space="preserve">Household Incomes in New Zealand - trends in indicators of inequality and hardship 1982 to 2008 </w:t>
      </w:r>
      <w:r w:rsidRPr="00043E1D">
        <w:rPr>
          <w:rFonts w:ascii="Garamond" w:hAnsi="Garamond"/>
          <w:sz w:val="20"/>
          <w:szCs w:val="20"/>
        </w:rPr>
        <w:t xml:space="preserve">(2009), Bryan Perry, Ministry of Social Development (accessible </w:t>
      </w:r>
      <w:hyperlink r:id="rId167" w:history="1">
        <w:r w:rsidRPr="00043E1D">
          <w:rPr>
            <w:rStyle w:val="Hyperlink"/>
            <w:rFonts w:ascii="Garamond" w:hAnsi="Garamond"/>
            <w:sz w:val="20"/>
            <w:szCs w:val="20"/>
          </w:rPr>
          <w:t>here</w:t>
        </w:r>
      </w:hyperlink>
      <w:r w:rsidRPr="00043E1D">
        <w:rPr>
          <w:rFonts w:ascii="Garamond" w:hAnsi="Garamond"/>
          <w:sz w:val="20"/>
          <w:szCs w:val="20"/>
        </w:rPr>
        <w:t xml:space="preserve">).  By 2012, the position had improved again: to 6% of all over age 65 in “low income households” – see </w:t>
      </w:r>
      <w:r w:rsidRPr="00043E1D">
        <w:rPr>
          <w:rFonts w:ascii="Garamond" w:hAnsi="Garamond"/>
          <w:i/>
          <w:sz w:val="20"/>
          <w:szCs w:val="20"/>
        </w:rPr>
        <w:t xml:space="preserve">Household Incomes in New Zealand - trends in indicators of inequality and hardship 1982 to 2012 </w:t>
      </w:r>
      <w:r w:rsidRPr="00043E1D">
        <w:rPr>
          <w:rFonts w:ascii="Garamond" w:hAnsi="Garamond"/>
          <w:sz w:val="20"/>
          <w:szCs w:val="20"/>
        </w:rPr>
        <w:t xml:space="preserve">(2013) Bryan Perry, Ministry of Social Development (accessible </w:t>
      </w:r>
      <w:hyperlink r:id="rId168" w:history="1">
        <w:r w:rsidRPr="00043E1D">
          <w:rPr>
            <w:rStyle w:val="Hyperlink"/>
            <w:rFonts w:ascii="Garamond" w:hAnsi="Garamond"/>
            <w:sz w:val="20"/>
            <w:szCs w:val="20"/>
          </w:rPr>
          <w:t>here</w:t>
        </w:r>
      </w:hyperlink>
      <w:r>
        <w:rPr>
          <w:rStyle w:val="Hyperlink"/>
          <w:rFonts w:ascii="Garamond" w:hAnsi="Garamond"/>
          <w:sz w:val="20"/>
          <w:szCs w:val="20"/>
        </w:rPr>
        <w:t>;</w:t>
      </w:r>
      <w:r w:rsidRPr="00891E0F">
        <w:rPr>
          <w:rStyle w:val="Hyperlink"/>
          <w:rFonts w:ascii="Garamond" w:hAnsi="Garamond"/>
          <w:color w:val="000000" w:themeColor="text1"/>
          <w:sz w:val="20"/>
          <w:szCs w:val="20"/>
          <w:u w:val="none"/>
        </w:rPr>
        <w:t xml:space="preserve"> the most recent numbers from 2017 are </w:t>
      </w:r>
      <w:hyperlink r:id="rId169" w:history="1">
        <w:r w:rsidRPr="002A0BA5">
          <w:rPr>
            <w:rStyle w:val="Hyperlink"/>
            <w:rFonts w:ascii="Garamond" w:hAnsi="Garamond"/>
            <w:sz w:val="20"/>
            <w:szCs w:val="20"/>
          </w:rPr>
          <w:t>here</w:t>
        </w:r>
      </w:hyperlink>
      <w:r w:rsidRPr="00043E1D">
        <w:rPr>
          <w:rFonts w:ascii="Garamond" w:hAnsi="Garamond"/>
          <w:sz w:val="20"/>
          <w:szCs w:val="20"/>
        </w:rPr>
        <w:t xml:space="preserve">).  That volatility illustrates the close relationship between the 60% of income ‘poverty’ measure and the annual amount of New Zealand Superannuation; also that many old people have little private income.  </w:t>
      </w:r>
      <w:r>
        <w:rPr>
          <w:rFonts w:ascii="Garamond" w:hAnsi="Garamond"/>
          <w:sz w:val="20"/>
          <w:szCs w:val="20"/>
        </w:rPr>
        <w:t xml:space="preserve">The income-based comparisons are also affected by the difference between the national average wage (used in the calculation of NZS) and household incomes (used in income-based poverty measures).  Household incomes have grown at a faster rate than the average wage so superannuitant households with little ‘other income’ (including wages) will seem to have fallen behind, relatively speaking.  </w:t>
      </w:r>
      <w:r w:rsidRPr="00043E1D">
        <w:rPr>
          <w:rFonts w:ascii="Garamond" w:hAnsi="Garamond"/>
          <w:sz w:val="20"/>
          <w:szCs w:val="20"/>
        </w:rPr>
        <w:t>We should expect less volatility in deprivation-based measures of poverty.</w:t>
      </w:r>
      <w:r>
        <w:rPr>
          <w:rFonts w:ascii="Garamond" w:hAnsi="Garamond"/>
          <w:sz w:val="20"/>
          <w:szCs w:val="20"/>
        </w:rPr>
        <w:t xml:space="preserve">  </w:t>
      </w:r>
    </w:p>
  </w:footnote>
  <w:footnote w:id="178">
    <w:p w14:paraId="4847B1ED" w14:textId="467DEF86"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Growing Unequal? Income Distribution and Poverty in OECD Countries</w:t>
      </w:r>
      <w:r w:rsidRPr="00043E1D">
        <w:rPr>
          <w:rFonts w:ascii="Garamond" w:hAnsi="Garamond"/>
          <w:sz w:val="20"/>
          <w:szCs w:val="20"/>
        </w:rPr>
        <w:t xml:space="preserve">, OECD (2008).  New Zealand was one of the three countries that show an overall incidence of poverty in the “mid 2000s” amongst all people “of retirement age” of about 2% (rounded up from 1.53% in New Zealand’s case).  The other two countries were the Czech Republic and the Netherlands.  The report itself is not accessible online but was looked at in the RPRC’s </w:t>
      </w:r>
      <w:r w:rsidRPr="00043E1D">
        <w:rPr>
          <w:rFonts w:ascii="Garamond" w:hAnsi="Garamond"/>
          <w:i/>
          <w:sz w:val="20"/>
          <w:szCs w:val="20"/>
        </w:rPr>
        <w:t>PensionBriefing, 2009-1, International comparison of poverty amongst the elderly</w:t>
      </w:r>
      <w:r w:rsidRPr="00043E1D">
        <w:rPr>
          <w:rFonts w:ascii="Garamond" w:hAnsi="Garamond"/>
          <w:sz w:val="20"/>
          <w:szCs w:val="20"/>
        </w:rPr>
        <w:t xml:space="preserve"> – accessible </w:t>
      </w:r>
      <w:hyperlink r:id="rId170" w:history="1">
        <w:r w:rsidRPr="00043E1D">
          <w:rPr>
            <w:rStyle w:val="Hyperlink"/>
            <w:rFonts w:ascii="Garamond" w:hAnsi="Garamond"/>
            <w:sz w:val="20"/>
            <w:szCs w:val="20"/>
          </w:rPr>
          <w:t>here</w:t>
        </w:r>
      </w:hyperlink>
      <w:r w:rsidRPr="00043E1D">
        <w:rPr>
          <w:rFonts w:ascii="Garamond" w:hAnsi="Garamond"/>
          <w:sz w:val="20"/>
          <w:szCs w:val="20"/>
        </w:rPr>
        <w:t>.</w:t>
      </w:r>
    </w:p>
  </w:footnote>
  <w:footnote w:id="179">
    <w:p w14:paraId="1782D45B" w14:textId="392BF5E4"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r w:rsidRPr="00043E1D">
        <w:rPr>
          <w:rFonts w:ascii="Garamond" w:hAnsi="Garamond"/>
          <w:i/>
          <w:sz w:val="20"/>
          <w:szCs w:val="20"/>
        </w:rPr>
        <w:t>The material wellbeing of New Zealand households: trends and relativities using non-income measures, with international comparisons</w:t>
      </w:r>
      <w:r w:rsidRPr="00043E1D">
        <w:rPr>
          <w:rFonts w:ascii="Garamond" w:hAnsi="Garamond"/>
          <w:sz w:val="20"/>
          <w:szCs w:val="20"/>
        </w:rPr>
        <w:t xml:space="preserve">, Bryan Perry (Ministry of Social Development) 2016, accessible </w:t>
      </w:r>
      <w:hyperlink r:id="rId171" w:history="1">
        <w:r w:rsidRPr="00043E1D">
          <w:rPr>
            <w:rStyle w:val="Hyperlink"/>
            <w:rFonts w:ascii="Garamond" w:hAnsi="Garamond"/>
            <w:sz w:val="20"/>
            <w:szCs w:val="20"/>
          </w:rPr>
          <w:t>here</w:t>
        </w:r>
      </w:hyperlink>
      <w:r w:rsidRPr="00043E1D">
        <w:rPr>
          <w:rFonts w:ascii="Garamond" w:hAnsi="Garamond"/>
          <w:sz w:val="20"/>
          <w:szCs w:val="20"/>
        </w:rPr>
        <w:t>, at page 19.</w:t>
      </w:r>
    </w:p>
  </w:footnote>
  <w:footnote w:id="180">
    <w:p w14:paraId="07896492" w14:textId="54F3CB2A"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Pensions at a Glance 2015</w:t>
      </w:r>
      <w:r w:rsidRPr="00043E1D">
        <w:rPr>
          <w:rFonts w:ascii="Garamond" w:hAnsi="Garamond"/>
          <w:sz w:val="20"/>
          <w:szCs w:val="20"/>
        </w:rPr>
        <w:t xml:space="preserve">, OECD (accessible </w:t>
      </w:r>
      <w:hyperlink r:id="rId172" w:history="1">
        <w:r w:rsidRPr="00043E1D">
          <w:rPr>
            <w:rStyle w:val="Hyperlink"/>
            <w:rFonts w:ascii="Garamond" w:hAnsi="Garamond"/>
            <w:sz w:val="20"/>
            <w:szCs w:val="20"/>
          </w:rPr>
          <w:t>here</w:t>
        </w:r>
      </w:hyperlink>
      <w:r w:rsidRPr="00043E1D">
        <w:rPr>
          <w:rFonts w:ascii="Garamond" w:hAnsi="Garamond"/>
          <w:sz w:val="20"/>
          <w:szCs w:val="20"/>
        </w:rPr>
        <w:t>) at page 181.  Of 34 OECD countries, the net cost of NZS is 7</w:t>
      </w:r>
      <w:r w:rsidRPr="00043E1D">
        <w:rPr>
          <w:rFonts w:ascii="Garamond" w:hAnsi="Garamond"/>
          <w:sz w:val="20"/>
          <w:szCs w:val="20"/>
          <w:vertAlign w:val="superscript"/>
        </w:rPr>
        <w:t>th</w:t>
      </w:r>
      <w:r w:rsidRPr="00043E1D">
        <w:rPr>
          <w:rFonts w:ascii="Garamond" w:hAnsi="Garamond"/>
          <w:sz w:val="20"/>
          <w:szCs w:val="20"/>
        </w:rPr>
        <w:t xml:space="preserve"> lowest.  However, that ignores compulsory ‘private’ schemes and also the cost of tax breaks for private provision.  Australia, for example, spends </w:t>
      </w:r>
      <w:r>
        <w:rPr>
          <w:rFonts w:ascii="Garamond" w:hAnsi="Garamond"/>
          <w:sz w:val="20"/>
          <w:szCs w:val="20"/>
        </w:rPr>
        <w:t>about 80%</w:t>
      </w:r>
      <w:r w:rsidRPr="00043E1D">
        <w:rPr>
          <w:rFonts w:ascii="Garamond" w:hAnsi="Garamond"/>
          <w:sz w:val="20"/>
          <w:szCs w:val="20"/>
        </w:rPr>
        <w:t xml:space="preserve"> as much on tax breaks for retirement saving as it does on the Age Pension itself</w:t>
      </w:r>
      <w:r>
        <w:rPr>
          <w:rFonts w:ascii="Garamond" w:hAnsi="Garamond"/>
          <w:sz w:val="20"/>
          <w:szCs w:val="20"/>
        </w:rPr>
        <w:t xml:space="preserve"> (</w:t>
      </w:r>
      <w:r w:rsidRPr="00563816">
        <w:rPr>
          <w:rFonts w:ascii="Garamond" w:hAnsi="Garamond"/>
          <w:i/>
          <w:sz w:val="20"/>
          <w:szCs w:val="20"/>
        </w:rPr>
        <w:t>Tax Expenditures Statement</w:t>
      </w:r>
      <w:r>
        <w:rPr>
          <w:rFonts w:ascii="Garamond" w:hAnsi="Garamond"/>
          <w:i/>
          <w:sz w:val="20"/>
          <w:szCs w:val="20"/>
        </w:rPr>
        <w:t xml:space="preserve"> 2017</w:t>
      </w:r>
      <w:r>
        <w:rPr>
          <w:rFonts w:ascii="Garamond" w:hAnsi="Garamond"/>
          <w:sz w:val="20"/>
          <w:szCs w:val="20"/>
        </w:rPr>
        <w:t xml:space="preserve">, Australian Government, accessible </w:t>
      </w:r>
      <w:hyperlink r:id="rId173" w:history="1">
        <w:r w:rsidRPr="000753BD">
          <w:rPr>
            <w:rStyle w:val="Hyperlink"/>
            <w:rFonts w:ascii="Garamond" w:hAnsi="Garamond"/>
            <w:sz w:val="20"/>
            <w:szCs w:val="20"/>
          </w:rPr>
          <w:t>here</w:t>
        </w:r>
      </w:hyperlink>
      <w:r>
        <w:rPr>
          <w:rFonts w:ascii="Garamond" w:hAnsi="Garamond"/>
          <w:sz w:val="20"/>
          <w:szCs w:val="20"/>
        </w:rPr>
        <w:t>)</w:t>
      </w:r>
      <w:r w:rsidRPr="00043E1D">
        <w:rPr>
          <w:rFonts w:ascii="Garamond" w:hAnsi="Garamond"/>
          <w:sz w:val="20"/>
          <w:szCs w:val="20"/>
        </w:rPr>
        <w:t>.</w:t>
      </w:r>
      <w:r>
        <w:rPr>
          <w:rFonts w:ascii="Garamond" w:hAnsi="Garamond"/>
          <w:sz w:val="20"/>
          <w:szCs w:val="20"/>
        </w:rPr>
        <w:t xml:space="preserve">  The cost of concessions in 2017 was $A38.2 bn or 2.2% of GDP; the cost of the Age Pension in 2017 was 2.7% of GDP.</w:t>
      </w:r>
    </w:p>
  </w:footnote>
  <w:footnote w:id="181">
    <w:p w14:paraId="138FD9CB" w14:textId="71B4B7BF"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 xml:space="preserve">New Zealand General Social Survey, </w:t>
      </w:r>
      <w:r w:rsidRPr="00043E1D">
        <w:rPr>
          <w:rFonts w:ascii="Garamond" w:hAnsi="Garamond"/>
          <w:sz w:val="20"/>
          <w:szCs w:val="20"/>
        </w:rPr>
        <w:t>Statistics New Zealand (201</w:t>
      </w:r>
      <w:r>
        <w:rPr>
          <w:rFonts w:ascii="Garamond" w:hAnsi="Garamond"/>
          <w:sz w:val="20"/>
          <w:szCs w:val="20"/>
        </w:rPr>
        <w:t>6</w:t>
      </w:r>
      <w:r w:rsidRPr="00043E1D">
        <w:rPr>
          <w:rFonts w:ascii="Garamond" w:hAnsi="Garamond"/>
          <w:sz w:val="20"/>
          <w:szCs w:val="20"/>
        </w:rPr>
        <w:t xml:space="preserve">) accessible </w:t>
      </w:r>
      <w:hyperlink r:id="rId174" w:history="1">
        <w:r w:rsidRPr="00043E1D">
          <w:rPr>
            <w:rStyle w:val="Hyperlink"/>
            <w:rFonts w:ascii="Garamond" w:hAnsi="Garamond"/>
            <w:sz w:val="20"/>
            <w:szCs w:val="20"/>
          </w:rPr>
          <w:t>here</w:t>
        </w:r>
      </w:hyperlink>
      <w:r w:rsidRPr="00043E1D">
        <w:rPr>
          <w:rFonts w:ascii="Garamond" w:hAnsi="Garamond"/>
          <w:sz w:val="20"/>
          <w:szCs w:val="20"/>
        </w:rPr>
        <w:t>.</w:t>
      </w:r>
    </w:p>
  </w:footnote>
  <w:footnote w:id="182">
    <w:p w14:paraId="18F92601" w14:textId="3CFA0B74"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A 2015 Treasury review suggests that, even with growing KiwiSaver balances, total ‘managed fund’ assets owned by New Zealand households (life insurance, other superannuation, managed funds and KiwiSaver), measured as a percentage of GDP, had by May 2014 only just returned to levels seen in November 2006, before KiwiSaver started.  Growing KiwiSaver balances had, over the eight years measured, displaced falling levels of ‘managed funds’, other superannuation and life insurance – see </w:t>
      </w:r>
      <w:r w:rsidRPr="00043E1D">
        <w:rPr>
          <w:rFonts w:ascii="Garamond" w:hAnsi="Garamond"/>
          <w:i/>
          <w:sz w:val="20"/>
          <w:szCs w:val="20"/>
          <w:lang w:val="en-US"/>
        </w:rPr>
        <w:t>Review of the KiwiSaver Fund Manager Market Dynamics and Allocation of Assets</w:t>
      </w:r>
      <w:r w:rsidRPr="00043E1D">
        <w:rPr>
          <w:rFonts w:ascii="Garamond" w:hAnsi="Garamond"/>
          <w:sz w:val="20"/>
          <w:szCs w:val="20"/>
          <w:lang w:val="en-US"/>
        </w:rPr>
        <w:t xml:space="preserve">, Andreas Heuser and others (2015) </w:t>
      </w:r>
      <w:hyperlink r:id="rId175" w:history="1">
        <w:r w:rsidRPr="00043E1D">
          <w:rPr>
            <w:rStyle w:val="Hyperlink"/>
            <w:rFonts w:ascii="Garamond" w:hAnsi="Garamond"/>
            <w:sz w:val="20"/>
            <w:szCs w:val="20"/>
            <w:lang w:val="en-US"/>
          </w:rPr>
          <w:t>here</w:t>
        </w:r>
      </w:hyperlink>
      <w:r w:rsidRPr="00043E1D">
        <w:rPr>
          <w:rFonts w:ascii="Garamond" w:hAnsi="Garamond"/>
          <w:sz w:val="20"/>
          <w:szCs w:val="20"/>
          <w:lang w:val="en-US"/>
        </w:rPr>
        <w:t xml:space="preserve"> at page 11.  As the report notes (page 15), “The evidence also suggests that the effect of KiwiSaver on increasing net wealth is poor.”</w:t>
      </w:r>
    </w:p>
  </w:footnote>
  <w:footnote w:id="183">
    <w:p w14:paraId="7BF599A0" w14:textId="10DC1A7D" w:rsidR="00CD6F06" w:rsidRPr="00043E1D" w:rsidRDefault="00CD6F06">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Sources: </w:t>
      </w:r>
      <w:r w:rsidRPr="00043E1D">
        <w:rPr>
          <w:rFonts w:ascii="Garamond" w:hAnsi="Garamond"/>
          <w:sz w:val="20"/>
          <w:szCs w:val="20"/>
        </w:rPr>
        <w:t xml:space="preserve">Inland Revenue Department, </w:t>
      </w:r>
      <w:r w:rsidRPr="00043E1D">
        <w:rPr>
          <w:rFonts w:ascii="Garamond" w:hAnsi="Garamond"/>
          <w:i/>
          <w:sz w:val="20"/>
          <w:szCs w:val="20"/>
        </w:rPr>
        <w:t>KiwiSaver Annual Report 6. 1 July 2012 - 30 June 2013</w:t>
      </w:r>
      <w:r w:rsidRPr="00043E1D">
        <w:rPr>
          <w:rFonts w:ascii="Garamond" w:hAnsi="Garamond"/>
          <w:sz w:val="20"/>
          <w:szCs w:val="20"/>
        </w:rPr>
        <w:t xml:space="preserve"> plus costs for 2014-1</w:t>
      </w:r>
      <w:r>
        <w:rPr>
          <w:rFonts w:ascii="Garamond" w:hAnsi="Garamond"/>
          <w:sz w:val="20"/>
          <w:szCs w:val="20"/>
        </w:rPr>
        <w:t>9</w:t>
      </w:r>
      <w:r w:rsidRPr="00043E1D">
        <w:rPr>
          <w:rFonts w:ascii="Garamond" w:hAnsi="Garamond"/>
          <w:sz w:val="20"/>
          <w:szCs w:val="20"/>
        </w:rPr>
        <w:t xml:space="preserve"> from the Treasury’s </w:t>
      </w:r>
      <w:r w:rsidRPr="00043E1D">
        <w:rPr>
          <w:rFonts w:ascii="Garamond" w:hAnsi="Garamond"/>
          <w:i/>
          <w:sz w:val="20"/>
          <w:szCs w:val="20"/>
        </w:rPr>
        <w:t>Long Term Fiscal Model 2016.</w:t>
      </w:r>
      <w:r w:rsidRPr="00043E1D">
        <w:rPr>
          <w:rFonts w:ascii="Garamond" w:hAnsi="Garamond"/>
          <w:sz w:val="20"/>
          <w:szCs w:val="20"/>
        </w:rPr>
        <w:t xml:space="preserve"> </w:t>
      </w:r>
      <w:r w:rsidRPr="00F66CFF">
        <w:rPr>
          <w:rFonts w:ascii="Garamond" w:hAnsi="Garamond"/>
          <w:sz w:val="20"/>
          <w:szCs w:val="20"/>
        </w:rPr>
        <w:t>These numbers ignore</w:t>
      </w:r>
      <w:r w:rsidRPr="00043E1D">
        <w:rPr>
          <w:rFonts w:ascii="Garamond" w:hAnsi="Garamond"/>
          <w:sz w:val="20"/>
          <w:szCs w:val="20"/>
        </w:rPr>
        <w:t xml:space="preserve"> the favourable tax treatment given to funds in KiwiSaver schemes, given their status as ‘portfolio investment entities’ (PIEs).  We have more to say on this in section 17 below (Income tax and saving vehicles).</w:t>
      </w:r>
    </w:p>
  </w:footnote>
  <w:footnote w:id="184">
    <w:p w14:paraId="2B07AEE2" w14:textId="436F0BE0"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Source </w:t>
      </w:r>
      <w:r>
        <w:rPr>
          <w:rFonts w:ascii="Garamond" w:hAnsi="Garamond"/>
          <w:i/>
          <w:sz w:val="20"/>
          <w:szCs w:val="20"/>
        </w:rPr>
        <w:t>KiwiSaver Annual Report 2018</w:t>
      </w:r>
      <w:r>
        <w:rPr>
          <w:rFonts w:ascii="Garamond" w:hAnsi="Garamond"/>
          <w:sz w:val="20"/>
          <w:szCs w:val="20"/>
        </w:rPr>
        <w:t xml:space="preserve">, Financial Markets Authority, accessible </w:t>
      </w:r>
      <w:hyperlink r:id="rId176" w:history="1">
        <w:r w:rsidRPr="00304047">
          <w:rPr>
            <w:rStyle w:val="Hyperlink"/>
            <w:rFonts w:ascii="Garamond" w:hAnsi="Garamond"/>
            <w:sz w:val="20"/>
            <w:szCs w:val="20"/>
          </w:rPr>
          <w:t>here</w:t>
        </w:r>
      </w:hyperlink>
      <w:r>
        <w:rPr>
          <w:rFonts w:ascii="Garamond" w:hAnsi="Garamond"/>
          <w:sz w:val="20"/>
          <w:szCs w:val="20"/>
        </w:rPr>
        <w:t>.</w:t>
      </w:r>
    </w:p>
  </w:footnote>
  <w:footnote w:id="185">
    <w:p w14:paraId="5293451A" w14:textId="4198FA2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Source: </w:t>
      </w:r>
      <w:r w:rsidRPr="00043E1D">
        <w:rPr>
          <w:rFonts w:ascii="Garamond" w:hAnsi="Garamond"/>
          <w:i/>
          <w:sz w:val="20"/>
          <w:szCs w:val="20"/>
        </w:rPr>
        <w:t>Budget 2016 forecast from 2015/16 onwards; Long Term Fiscal Model 2016</w:t>
      </w:r>
      <w:r w:rsidRPr="00043E1D">
        <w:rPr>
          <w:rFonts w:ascii="Garamond" w:hAnsi="Garamond"/>
          <w:sz w:val="20"/>
          <w:szCs w:val="20"/>
        </w:rPr>
        <w:t>, The Treasury.</w:t>
      </w:r>
    </w:p>
  </w:footnote>
  <w:footnote w:id="186">
    <w:p w14:paraId="0C8E334B" w14:textId="21F13A64"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A Treasury report (</w:t>
      </w:r>
      <w:r w:rsidRPr="00043E1D">
        <w:rPr>
          <w:rFonts w:ascii="Garamond" w:hAnsi="Garamond"/>
          <w:i/>
          <w:sz w:val="20"/>
          <w:szCs w:val="20"/>
          <w:lang w:val="en-US"/>
        </w:rPr>
        <w:t>KiwiSaver and the Accumulation of Net Wealth</w:t>
      </w:r>
      <w:r w:rsidRPr="00043E1D">
        <w:rPr>
          <w:rFonts w:ascii="Garamond" w:hAnsi="Garamond"/>
          <w:sz w:val="20"/>
          <w:szCs w:val="20"/>
          <w:lang w:val="en-US"/>
        </w:rPr>
        <w:t xml:space="preserve"> David Law and Grant Scobie, 2014 accessible </w:t>
      </w:r>
      <w:hyperlink r:id="rId177" w:history="1">
        <w:r w:rsidRPr="00043E1D">
          <w:rPr>
            <w:rStyle w:val="Hyperlink"/>
            <w:rFonts w:ascii="Garamond" w:hAnsi="Garamond"/>
            <w:sz w:val="20"/>
            <w:szCs w:val="20"/>
            <w:lang w:val="en-US"/>
          </w:rPr>
          <w:t>here</w:t>
        </w:r>
      </w:hyperlink>
      <w:r w:rsidRPr="00043E1D">
        <w:rPr>
          <w:rFonts w:ascii="Garamond" w:hAnsi="Garamond"/>
          <w:sz w:val="20"/>
          <w:szCs w:val="20"/>
          <w:lang w:val="en-US"/>
        </w:rPr>
        <w:t>) looked at changes in net wealth and “various panel regression techniques” and concluded “Neither approach suggests KiwiSaver membership has been associated with any positive effect on net wealth accumulation.”</w:t>
      </w:r>
    </w:p>
  </w:footnote>
  <w:footnote w:id="187">
    <w:p w14:paraId="4710CD26" w14:textId="0C897769" w:rsidR="00CD6F06" w:rsidRPr="00043E1D" w:rsidRDefault="00CD6F06">
      <w:pPr>
        <w:pStyle w:val="FootnoteText"/>
        <w:jc w:val="both"/>
        <w:rPr>
          <w:rFonts w:ascii="Garamond" w:hAnsi="Garamond"/>
          <w:lang w:val="en-US"/>
        </w:rPr>
      </w:pPr>
      <w:r w:rsidRPr="00043E1D">
        <w:rPr>
          <w:rStyle w:val="FootnoteReference"/>
          <w:rFonts w:ascii="Garamond" w:hAnsi="Garamond"/>
        </w:rPr>
        <w:footnoteRef/>
      </w:r>
      <w:r w:rsidRPr="00043E1D">
        <w:rPr>
          <w:rFonts w:ascii="Garamond" w:hAnsi="Garamond"/>
        </w:rPr>
        <w:t xml:space="preserve"> </w:t>
      </w:r>
      <w:r w:rsidRPr="00043E1D">
        <w:rPr>
          <w:rFonts w:ascii="Garamond" w:hAnsi="Garamond"/>
          <w:i/>
          <w:sz w:val="20"/>
          <w:szCs w:val="20"/>
          <w:lang w:val="en-US"/>
        </w:rPr>
        <w:t>2016 Review of Retirement Income Policies</w:t>
      </w:r>
      <w:r w:rsidRPr="00043E1D">
        <w:rPr>
          <w:rFonts w:ascii="Garamond" w:hAnsi="Garamond"/>
          <w:sz w:val="20"/>
          <w:szCs w:val="20"/>
          <w:lang w:val="en-US"/>
        </w:rPr>
        <w:t xml:space="preserve"> accessible </w:t>
      </w:r>
      <w:hyperlink r:id="rId178" w:history="1">
        <w:r w:rsidRPr="00043E1D">
          <w:rPr>
            <w:rStyle w:val="Hyperlink"/>
            <w:rFonts w:ascii="Garamond" w:hAnsi="Garamond"/>
            <w:sz w:val="20"/>
            <w:szCs w:val="20"/>
            <w:lang w:val="en-US"/>
          </w:rPr>
          <w:t>here</w:t>
        </w:r>
      </w:hyperlink>
      <w:r w:rsidRPr="00043E1D">
        <w:rPr>
          <w:rFonts w:ascii="Garamond" w:hAnsi="Garamond"/>
          <w:sz w:val="20"/>
          <w:szCs w:val="20"/>
          <w:lang w:val="en-US"/>
        </w:rPr>
        <w:t xml:space="preserve"> at page 17.</w:t>
      </w:r>
    </w:p>
  </w:footnote>
  <w:footnote w:id="188">
    <w:p w14:paraId="61E09A16" w14:textId="2453F4B3"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w:t>
      </w:r>
      <w:r>
        <w:rPr>
          <w:rFonts w:ascii="Garamond" w:hAnsi="Garamond"/>
          <w:sz w:val="20"/>
          <w:szCs w:val="20"/>
        </w:rPr>
        <w:t xml:space="preserve">last </w:t>
      </w:r>
      <w:r w:rsidRPr="00043E1D">
        <w:rPr>
          <w:rFonts w:ascii="Garamond" w:hAnsi="Garamond"/>
          <w:sz w:val="20"/>
          <w:szCs w:val="20"/>
        </w:rPr>
        <w:t>government also disagree</w:t>
      </w:r>
      <w:r>
        <w:rPr>
          <w:rFonts w:ascii="Garamond" w:hAnsi="Garamond"/>
          <w:sz w:val="20"/>
          <w:szCs w:val="20"/>
        </w:rPr>
        <w:t>d</w:t>
      </w:r>
      <w:r w:rsidRPr="00043E1D">
        <w:rPr>
          <w:rFonts w:ascii="Garamond" w:hAnsi="Garamond"/>
          <w:sz w:val="20"/>
          <w:szCs w:val="20"/>
        </w:rPr>
        <w:t xml:space="preserve"> with the Retirement Commissioner.  In its letter of 7 June 2017 (accessible </w:t>
      </w:r>
      <w:hyperlink r:id="rId179" w:history="1">
        <w:r w:rsidRPr="00043E1D">
          <w:rPr>
            <w:rStyle w:val="Hyperlink"/>
            <w:rFonts w:ascii="Garamond" w:hAnsi="Garamond"/>
            <w:sz w:val="20"/>
            <w:szCs w:val="20"/>
          </w:rPr>
          <w:t>here</w:t>
        </w:r>
      </w:hyperlink>
      <w:r w:rsidRPr="00043E1D">
        <w:rPr>
          <w:rFonts w:ascii="Garamond" w:hAnsi="Garamond"/>
          <w:sz w:val="20"/>
          <w:szCs w:val="20"/>
        </w:rPr>
        <w:t xml:space="preserve">), the Minister of Commerce and Consumer Affairs said “the Government is not considering changing the total remuneration approach as it applies to KiwiSaver at this time.  The Government considers that the current approach is satisfactory as it provides flexibility to employers and employees.”  We </w:t>
      </w:r>
      <w:r>
        <w:rPr>
          <w:rFonts w:ascii="Garamond" w:hAnsi="Garamond"/>
          <w:sz w:val="20"/>
          <w:szCs w:val="20"/>
        </w:rPr>
        <w:t>hope</w:t>
      </w:r>
      <w:r w:rsidRPr="00043E1D">
        <w:rPr>
          <w:rFonts w:ascii="Garamond" w:hAnsi="Garamond"/>
          <w:sz w:val="20"/>
          <w:szCs w:val="20"/>
        </w:rPr>
        <w:t xml:space="preserve"> this mean</w:t>
      </w:r>
      <w:r>
        <w:rPr>
          <w:rFonts w:ascii="Garamond" w:hAnsi="Garamond"/>
          <w:sz w:val="20"/>
          <w:szCs w:val="20"/>
        </w:rPr>
        <w:t>t</w:t>
      </w:r>
      <w:r w:rsidRPr="00043E1D">
        <w:rPr>
          <w:rFonts w:ascii="Garamond" w:hAnsi="Garamond"/>
          <w:sz w:val="20"/>
          <w:szCs w:val="20"/>
        </w:rPr>
        <w:t xml:space="preserve"> </w:t>
      </w:r>
      <w:r>
        <w:rPr>
          <w:rFonts w:ascii="Garamond" w:hAnsi="Garamond"/>
          <w:sz w:val="20"/>
          <w:szCs w:val="20"/>
        </w:rPr>
        <w:t xml:space="preserve">that </w:t>
      </w:r>
      <w:r w:rsidRPr="00043E1D">
        <w:rPr>
          <w:rFonts w:ascii="Garamond" w:hAnsi="Garamond"/>
          <w:sz w:val="20"/>
          <w:szCs w:val="20"/>
        </w:rPr>
        <w:t xml:space="preserve">the Retirement Commissioner </w:t>
      </w:r>
      <w:r>
        <w:rPr>
          <w:rFonts w:ascii="Garamond" w:hAnsi="Garamond"/>
          <w:sz w:val="20"/>
          <w:szCs w:val="20"/>
        </w:rPr>
        <w:t>undertook no</w:t>
      </w:r>
      <w:r w:rsidRPr="00043E1D">
        <w:rPr>
          <w:rFonts w:ascii="Garamond" w:hAnsi="Garamond"/>
          <w:sz w:val="20"/>
          <w:szCs w:val="20"/>
        </w:rPr>
        <w:t xml:space="preserve"> further work on this topic</w:t>
      </w:r>
      <w:r>
        <w:rPr>
          <w:rFonts w:ascii="Garamond" w:hAnsi="Garamond"/>
          <w:sz w:val="20"/>
          <w:szCs w:val="20"/>
        </w:rPr>
        <w:t xml:space="preserve"> since the 2016 Review</w:t>
      </w:r>
      <w:r w:rsidRPr="00043E1D">
        <w:rPr>
          <w:rFonts w:ascii="Garamond" w:hAnsi="Garamond"/>
          <w:sz w:val="20"/>
          <w:szCs w:val="20"/>
        </w:rPr>
        <w:t>.</w:t>
      </w:r>
    </w:p>
  </w:footnote>
  <w:footnote w:id="189">
    <w:p w14:paraId="6BEC98CC" w14:textId="43DF427B"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According to the </w:t>
      </w:r>
      <w:r>
        <w:rPr>
          <w:rFonts w:ascii="Garamond" w:hAnsi="Garamond"/>
          <w:sz w:val="20"/>
          <w:szCs w:val="20"/>
          <w:lang w:val="en-US"/>
        </w:rPr>
        <w:t xml:space="preserve">2016 </w:t>
      </w:r>
      <w:r w:rsidRPr="00043E1D">
        <w:rPr>
          <w:rFonts w:ascii="Garamond" w:hAnsi="Garamond"/>
          <w:sz w:val="20"/>
          <w:szCs w:val="20"/>
          <w:lang w:val="en-US"/>
        </w:rPr>
        <w:t xml:space="preserve">annual report of the Financial Markets Authority (graph accessible </w:t>
      </w:r>
      <w:hyperlink r:id="rId180" w:history="1">
        <w:r w:rsidRPr="00043E1D">
          <w:rPr>
            <w:rStyle w:val="Hyperlink"/>
            <w:rFonts w:ascii="Garamond" w:hAnsi="Garamond"/>
            <w:sz w:val="20"/>
            <w:szCs w:val="20"/>
            <w:lang w:val="en-US"/>
          </w:rPr>
          <w:t>here</w:t>
        </w:r>
      </w:hyperlink>
      <w:r w:rsidRPr="00043E1D">
        <w:rPr>
          <w:rFonts w:ascii="Garamond" w:hAnsi="Garamond"/>
          <w:sz w:val="20"/>
          <w:szCs w:val="20"/>
          <w:lang w:val="en-US"/>
        </w:rPr>
        <w:t xml:space="preserve">; report accessible </w:t>
      </w:r>
      <w:hyperlink r:id="rId181" w:history="1">
        <w:r w:rsidRPr="00043E1D">
          <w:rPr>
            <w:rStyle w:val="Hyperlink"/>
            <w:rFonts w:ascii="Garamond" w:hAnsi="Garamond"/>
            <w:sz w:val="20"/>
            <w:szCs w:val="20"/>
            <w:lang w:val="en-US"/>
          </w:rPr>
          <w:t>here</w:t>
        </w:r>
      </w:hyperlink>
      <w:r w:rsidRPr="00043E1D">
        <w:rPr>
          <w:rFonts w:ascii="Garamond" w:hAnsi="Garamond"/>
          <w:sz w:val="20"/>
          <w:szCs w:val="20"/>
          <w:lang w:val="en-US"/>
        </w:rPr>
        <w:t>), the trading banks had 1.8 million of 2.6 million total members at 31 March 2016 (69%) and $21 billion of $29.6 billion in total assets (71%).  Eight KiwiSaver schemes ha</w:t>
      </w:r>
      <w:r>
        <w:rPr>
          <w:rFonts w:ascii="Garamond" w:hAnsi="Garamond"/>
          <w:sz w:val="20"/>
          <w:szCs w:val="20"/>
          <w:lang w:val="en-US"/>
        </w:rPr>
        <w:t>d</w:t>
      </w:r>
      <w:r w:rsidRPr="00043E1D">
        <w:rPr>
          <w:rFonts w:ascii="Garamond" w:hAnsi="Garamond"/>
          <w:sz w:val="20"/>
          <w:szCs w:val="20"/>
          <w:lang w:val="en-US"/>
        </w:rPr>
        <w:t xml:space="preserve"> 87% of all members and that concentration will probably increase.</w:t>
      </w:r>
      <w:r>
        <w:rPr>
          <w:rFonts w:ascii="Garamond" w:hAnsi="Garamond"/>
          <w:sz w:val="20"/>
          <w:szCs w:val="20"/>
          <w:lang w:val="en-US"/>
        </w:rPr>
        <w:t xml:space="preserve">  The only equivalent number we could find for 2018 was that the four largest schemes (presumably from the trading banks though that was not mentioned) had 61% of all members.  Thirteen schemes had 94% of all members (</w:t>
      </w:r>
      <w:r>
        <w:rPr>
          <w:rFonts w:ascii="Garamond" w:hAnsi="Garamond"/>
          <w:sz w:val="20"/>
          <w:szCs w:val="20"/>
        </w:rPr>
        <w:t xml:space="preserve">Source </w:t>
      </w:r>
      <w:r>
        <w:rPr>
          <w:rFonts w:ascii="Garamond" w:hAnsi="Garamond"/>
          <w:i/>
          <w:sz w:val="20"/>
          <w:szCs w:val="20"/>
        </w:rPr>
        <w:t>KiwiSaver Annual Report 2018</w:t>
      </w:r>
      <w:r>
        <w:rPr>
          <w:rFonts w:ascii="Garamond" w:hAnsi="Garamond"/>
          <w:sz w:val="20"/>
          <w:szCs w:val="20"/>
        </w:rPr>
        <w:t xml:space="preserve">, Financial Markets Authority, accessible </w:t>
      </w:r>
      <w:hyperlink r:id="rId182" w:history="1">
        <w:r w:rsidRPr="00304047">
          <w:rPr>
            <w:rStyle w:val="Hyperlink"/>
            <w:rFonts w:ascii="Garamond" w:hAnsi="Garamond"/>
            <w:sz w:val="20"/>
            <w:szCs w:val="20"/>
          </w:rPr>
          <w:t>here</w:t>
        </w:r>
      </w:hyperlink>
      <w:r>
        <w:rPr>
          <w:rFonts w:ascii="Garamond" w:hAnsi="Garamond"/>
          <w:sz w:val="20"/>
          <w:szCs w:val="20"/>
        </w:rPr>
        <w:t>, at page 7).</w:t>
      </w:r>
    </w:p>
  </w:footnote>
  <w:footnote w:id="190">
    <w:p w14:paraId="78614766" w14:textId="3675190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Reserve Bank of New Zealand, </w:t>
      </w:r>
      <w:r w:rsidRPr="00043E1D">
        <w:rPr>
          <w:rFonts w:ascii="Garamond" w:hAnsi="Garamond"/>
          <w:i/>
          <w:sz w:val="20"/>
          <w:szCs w:val="20"/>
        </w:rPr>
        <w:t>Household balance sheet</w:t>
      </w:r>
      <w:r w:rsidRPr="00043E1D">
        <w:rPr>
          <w:rFonts w:ascii="Garamond" w:hAnsi="Garamond"/>
          <w:sz w:val="20"/>
          <w:szCs w:val="20"/>
        </w:rPr>
        <w:t xml:space="preserve">, Table C22 as of </w:t>
      </w:r>
      <w:r>
        <w:rPr>
          <w:rFonts w:ascii="Garamond" w:hAnsi="Garamond"/>
          <w:sz w:val="20"/>
          <w:szCs w:val="20"/>
        </w:rPr>
        <w:t>September</w:t>
      </w:r>
      <w:r w:rsidRPr="00043E1D">
        <w:rPr>
          <w:rFonts w:ascii="Garamond" w:hAnsi="Garamond"/>
          <w:sz w:val="20"/>
          <w:szCs w:val="20"/>
        </w:rPr>
        <w:t xml:space="preserve"> 201</w:t>
      </w:r>
      <w:r>
        <w:rPr>
          <w:rFonts w:ascii="Garamond" w:hAnsi="Garamond"/>
          <w:sz w:val="20"/>
          <w:szCs w:val="20"/>
        </w:rPr>
        <w:t>8</w:t>
      </w:r>
      <w:r w:rsidRPr="00043E1D">
        <w:rPr>
          <w:rFonts w:ascii="Garamond" w:hAnsi="Garamond"/>
          <w:sz w:val="20"/>
          <w:szCs w:val="20"/>
        </w:rPr>
        <w:t xml:space="preserve"> (accessible </w:t>
      </w:r>
      <w:hyperlink r:id="rId183" w:history="1">
        <w:r w:rsidRPr="00043E1D">
          <w:rPr>
            <w:rStyle w:val="Hyperlink"/>
            <w:rFonts w:ascii="Garamond" w:hAnsi="Garamond"/>
            <w:sz w:val="20"/>
            <w:szCs w:val="20"/>
          </w:rPr>
          <w:t>here</w:t>
        </w:r>
      </w:hyperlink>
      <w:r w:rsidRPr="00043E1D">
        <w:rPr>
          <w:rFonts w:ascii="Garamond" w:hAnsi="Garamond"/>
          <w:sz w:val="20"/>
          <w:szCs w:val="20"/>
        </w:rPr>
        <w:t>).</w:t>
      </w:r>
    </w:p>
  </w:footnote>
  <w:footnote w:id="191">
    <w:p w14:paraId="653EE1F3" w14:textId="3AAEAC7E"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Reserve Bank notes that this is an under-estimate of households’ total wealth holdings as it ignores overseas assets and non-life insurance reserves.  It also makes no attempt to measure human capital though it does count the student debt ($15.</w:t>
      </w:r>
      <w:r>
        <w:rPr>
          <w:rFonts w:ascii="Garamond" w:hAnsi="Garamond"/>
          <w:sz w:val="20"/>
          <w:szCs w:val="20"/>
        </w:rPr>
        <w:t>8</w:t>
      </w:r>
      <w:r w:rsidRPr="00043E1D">
        <w:rPr>
          <w:rFonts w:ascii="Garamond" w:hAnsi="Garamond"/>
          <w:sz w:val="20"/>
          <w:szCs w:val="20"/>
        </w:rPr>
        <w:t xml:space="preserve"> billion or </w:t>
      </w:r>
      <w:r>
        <w:rPr>
          <w:rFonts w:ascii="Garamond" w:hAnsi="Garamond"/>
          <w:sz w:val="20"/>
          <w:szCs w:val="20"/>
        </w:rPr>
        <w:t>7.3</w:t>
      </w:r>
      <w:r w:rsidRPr="00043E1D">
        <w:rPr>
          <w:rFonts w:ascii="Garamond" w:hAnsi="Garamond"/>
          <w:sz w:val="20"/>
          <w:szCs w:val="20"/>
        </w:rPr>
        <w:t>% of all ‘financial liabilities’) that represents part of the cost of acquiring that capital.</w:t>
      </w:r>
    </w:p>
  </w:footnote>
  <w:footnote w:id="192">
    <w:p w14:paraId="10E48BE1" w14:textId="433996DC"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‘debt to gross asset’ number was 12.4% in 2006, unchanged in real terms over the </w:t>
      </w:r>
      <w:r>
        <w:rPr>
          <w:rFonts w:ascii="Garamond" w:hAnsi="Garamond"/>
          <w:sz w:val="20"/>
          <w:szCs w:val="20"/>
        </w:rPr>
        <w:t>12</w:t>
      </w:r>
      <w:r w:rsidRPr="00043E1D">
        <w:rPr>
          <w:rFonts w:ascii="Garamond" w:hAnsi="Garamond"/>
          <w:sz w:val="20"/>
          <w:szCs w:val="20"/>
        </w:rPr>
        <w:t xml:space="preserve"> years to 201</w:t>
      </w:r>
      <w:r>
        <w:rPr>
          <w:rFonts w:ascii="Garamond" w:hAnsi="Garamond"/>
          <w:sz w:val="20"/>
          <w:szCs w:val="20"/>
        </w:rPr>
        <w:t>8</w:t>
      </w:r>
      <w:r w:rsidRPr="00043E1D">
        <w:rPr>
          <w:rFonts w:ascii="Garamond" w:hAnsi="Garamond"/>
          <w:sz w:val="20"/>
          <w:szCs w:val="20"/>
        </w:rPr>
        <w:t>.</w:t>
      </w:r>
    </w:p>
  </w:footnote>
  <w:footnote w:id="193">
    <w:p w14:paraId="39AB6EB2" w14:textId="4863777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These business investments (2</w:t>
      </w:r>
      <w:r>
        <w:rPr>
          <w:rFonts w:ascii="Garamond" w:hAnsi="Garamond"/>
          <w:sz w:val="20"/>
          <w:szCs w:val="20"/>
        </w:rPr>
        <w:t>4.4</w:t>
      </w:r>
      <w:r w:rsidRPr="00043E1D">
        <w:rPr>
          <w:rFonts w:ascii="Garamond" w:hAnsi="Garamond"/>
          <w:sz w:val="20"/>
          <w:szCs w:val="20"/>
        </w:rPr>
        <w:t xml:space="preserve">% of gross assets) were </w:t>
      </w:r>
      <w:r>
        <w:rPr>
          <w:rFonts w:ascii="Garamond" w:hAnsi="Garamond"/>
          <w:sz w:val="20"/>
          <w:szCs w:val="20"/>
        </w:rPr>
        <w:t>greater than the</w:t>
      </w:r>
      <w:r w:rsidRPr="00043E1D">
        <w:rPr>
          <w:rFonts w:ascii="Garamond" w:hAnsi="Garamond"/>
          <w:sz w:val="20"/>
          <w:szCs w:val="20"/>
        </w:rPr>
        <w:t xml:space="preserve"> total assets in bank deposits, securities other than shares, loans, investment fund </w:t>
      </w:r>
      <w:r>
        <w:rPr>
          <w:rFonts w:ascii="Garamond" w:hAnsi="Garamond"/>
          <w:sz w:val="20"/>
          <w:szCs w:val="20"/>
        </w:rPr>
        <w:t>shares</w:t>
      </w:r>
      <w:r w:rsidRPr="00043E1D">
        <w:rPr>
          <w:rFonts w:ascii="Garamond" w:hAnsi="Garamond"/>
          <w:sz w:val="20"/>
          <w:szCs w:val="20"/>
        </w:rPr>
        <w:t xml:space="preserve"> and life insurance/superannuation at 2</w:t>
      </w:r>
      <w:r>
        <w:rPr>
          <w:rFonts w:ascii="Garamond" w:hAnsi="Garamond"/>
          <w:sz w:val="20"/>
          <w:szCs w:val="20"/>
        </w:rPr>
        <w:t>1.9</w:t>
      </w:r>
      <w:r w:rsidRPr="00043E1D">
        <w:rPr>
          <w:rFonts w:ascii="Garamond" w:hAnsi="Garamond"/>
          <w:sz w:val="20"/>
          <w:szCs w:val="20"/>
        </w:rPr>
        <w:t>% of gross assets.</w:t>
      </w:r>
    </w:p>
  </w:footnote>
  <w:footnote w:id="194">
    <w:p w14:paraId="7C63779D" w14:textId="2AE9FDE6"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mobility between quintiles of wealth of SoFIE participants was examined in </w:t>
      </w:r>
      <w:r w:rsidRPr="00043E1D">
        <w:rPr>
          <w:rFonts w:ascii="Garamond" w:hAnsi="Garamond"/>
          <w:i/>
          <w:sz w:val="20"/>
          <w:szCs w:val="20"/>
        </w:rPr>
        <w:t>Wealth Disparities in New Zealand – Final Report</w:t>
      </w:r>
      <w:r w:rsidRPr="00043E1D">
        <w:rPr>
          <w:rFonts w:ascii="Garamond" w:hAnsi="Garamond"/>
          <w:sz w:val="20"/>
          <w:szCs w:val="20"/>
        </w:rPr>
        <w:t xml:space="preserve"> (2017) by Geoff Rashbrooke, Max Rashbrooke and Wilma Malano, Institute for Governance and Policy Studies – accessible </w:t>
      </w:r>
      <w:hyperlink r:id="rId184" w:history="1">
        <w:r w:rsidRPr="00043E1D">
          <w:rPr>
            <w:rStyle w:val="Hyperlink"/>
            <w:rFonts w:ascii="Garamond" w:hAnsi="Garamond"/>
            <w:sz w:val="20"/>
            <w:szCs w:val="20"/>
          </w:rPr>
          <w:t>here</w:t>
        </w:r>
      </w:hyperlink>
      <w:r w:rsidRPr="00043E1D">
        <w:rPr>
          <w:rFonts w:ascii="Garamond" w:hAnsi="Garamond"/>
          <w:sz w:val="20"/>
          <w:szCs w:val="20"/>
        </w:rPr>
        <w:t>.  In summary, about two-thirds of those in the top and bottom quintiles of wealth stayed there over the eight years measured and about two-thirds of those in the other three quintiles moved (up or down).  For such a short period, that seems a relatively high level of mobility.  Quintiles of wealth were measured as snapshots in each of 2004, 2006, 2008 and 2010.  The groupings are relative to the others at each measurement and do not track overall rises or falls in absolute measures of wealth.</w:t>
      </w:r>
    </w:p>
  </w:footnote>
  <w:footnote w:id="195">
    <w:p w14:paraId="7157FC80" w14:textId="68E1A761" w:rsidR="00CD6F06" w:rsidRPr="00891E0F" w:rsidRDefault="00CD6F06" w:rsidP="00701CA1">
      <w:pPr>
        <w:pStyle w:val="FootnoteText"/>
        <w:jc w:val="both"/>
        <w:rPr>
          <w:rFonts w:ascii="Garamond" w:hAnsi="Garamond"/>
          <w:color w:val="000000" w:themeColor="text1"/>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The latest Reserve Bank’s </w:t>
      </w:r>
      <w:r w:rsidRPr="00043E1D">
        <w:rPr>
          <w:rFonts w:ascii="Garamond" w:hAnsi="Garamond"/>
          <w:sz w:val="20"/>
          <w:szCs w:val="20"/>
        </w:rPr>
        <w:t xml:space="preserve">Table C22 as of </w:t>
      </w:r>
      <w:r>
        <w:rPr>
          <w:rFonts w:ascii="Garamond" w:hAnsi="Garamond"/>
          <w:sz w:val="20"/>
          <w:szCs w:val="20"/>
        </w:rPr>
        <w:t>September</w:t>
      </w:r>
      <w:r w:rsidRPr="00043E1D">
        <w:rPr>
          <w:rFonts w:ascii="Garamond" w:hAnsi="Garamond"/>
          <w:sz w:val="20"/>
          <w:szCs w:val="20"/>
        </w:rPr>
        <w:t xml:space="preserve"> 201</w:t>
      </w:r>
      <w:r>
        <w:rPr>
          <w:rFonts w:ascii="Garamond" w:hAnsi="Garamond"/>
          <w:sz w:val="20"/>
          <w:szCs w:val="20"/>
        </w:rPr>
        <w:t>8</w:t>
      </w:r>
      <w:r w:rsidRPr="00043E1D">
        <w:rPr>
          <w:rFonts w:ascii="Garamond" w:hAnsi="Garamond"/>
          <w:sz w:val="20"/>
          <w:szCs w:val="20"/>
        </w:rPr>
        <w:t xml:space="preserve"> (accessible </w:t>
      </w:r>
      <w:hyperlink r:id="rId185" w:history="1">
        <w:r w:rsidRPr="00043E1D">
          <w:rPr>
            <w:rStyle w:val="Hyperlink"/>
            <w:rFonts w:ascii="Garamond" w:hAnsi="Garamond"/>
            <w:sz w:val="20"/>
            <w:szCs w:val="20"/>
          </w:rPr>
          <w:t>here</w:t>
        </w:r>
      </w:hyperlink>
      <w:r>
        <w:rPr>
          <w:rStyle w:val="Hyperlink"/>
          <w:rFonts w:ascii="Garamond" w:hAnsi="Garamond"/>
          <w:sz w:val="20"/>
          <w:szCs w:val="20"/>
        </w:rPr>
        <w:t>)</w:t>
      </w:r>
      <w:r w:rsidRPr="00891E0F">
        <w:rPr>
          <w:rStyle w:val="Hyperlink"/>
          <w:rFonts w:ascii="Garamond" w:hAnsi="Garamond"/>
          <w:color w:val="000000" w:themeColor="text1"/>
          <w:sz w:val="20"/>
          <w:szCs w:val="20"/>
          <w:u w:val="none"/>
        </w:rPr>
        <w:t xml:space="preserve"> sees that proportion as virtually unchanged over the 12 years 2006 (46%) to 2018 (47%). </w:t>
      </w:r>
    </w:p>
  </w:footnote>
  <w:footnote w:id="196">
    <w:p w14:paraId="6D5BED66" w14:textId="6A52AB35"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The latest Reserve Bank’s </w:t>
      </w:r>
      <w:r w:rsidRPr="00043E1D">
        <w:rPr>
          <w:rFonts w:ascii="Garamond" w:hAnsi="Garamond"/>
          <w:sz w:val="20"/>
          <w:szCs w:val="20"/>
        </w:rPr>
        <w:t xml:space="preserve">Table C22 as of </w:t>
      </w:r>
      <w:r>
        <w:rPr>
          <w:rFonts w:ascii="Garamond" w:hAnsi="Garamond"/>
          <w:sz w:val="20"/>
          <w:szCs w:val="20"/>
        </w:rPr>
        <w:t>September</w:t>
      </w:r>
      <w:r w:rsidRPr="00043E1D">
        <w:rPr>
          <w:rFonts w:ascii="Garamond" w:hAnsi="Garamond"/>
          <w:sz w:val="20"/>
          <w:szCs w:val="20"/>
        </w:rPr>
        <w:t xml:space="preserve"> 201</w:t>
      </w:r>
      <w:r>
        <w:rPr>
          <w:rFonts w:ascii="Garamond" w:hAnsi="Garamond"/>
          <w:sz w:val="20"/>
          <w:szCs w:val="20"/>
        </w:rPr>
        <w:t>8</w:t>
      </w:r>
      <w:r w:rsidRPr="00891E0F">
        <w:rPr>
          <w:rStyle w:val="Hyperlink"/>
          <w:rFonts w:ascii="Garamond" w:hAnsi="Garamond"/>
          <w:color w:val="000000" w:themeColor="text1"/>
          <w:sz w:val="20"/>
          <w:szCs w:val="20"/>
          <w:u w:val="none"/>
        </w:rPr>
        <w:t xml:space="preserve"> sees that proportion as having reduced over the 12 years 2006 (14%) to 2018 (12.4%).</w:t>
      </w:r>
    </w:p>
  </w:footnote>
  <w:footnote w:id="197">
    <w:p w14:paraId="2AAAB0D8" w14:textId="635BFFDF"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Given Australia’s huge intervention in retirement savings with the ‘Superannuation Guarantee’ that was introduced over the 1986-92 period, it seems that Australia had no idea whether Australians needed a compulsory savings scheme.  New Zealand did at least have SoFIE data before KiwiSaver started in 2007; it’s just that the government ignored SoFIE’s findings.</w:t>
      </w:r>
    </w:p>
  </w:footnote>
  <w:footnote w:id="198">
    <w:p w14:paraId="40C820EC" w14:textId="1FDCDB79" w:rsidR="00CD6F06" w:rsidRPr="00043E1D" w:rsidRDefault="00CD6F06">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Families, Incomes and Jobs: A Statistical Report on Waves 1 to 6 of the HILDA Survey</w:t>
      </w:r>
      <w:r w:rsidRPr="00043E1D">
        <w:rPr>
          <w:rFonts w:ascii="Garamond" w:hAnsi="Garamond"/>
          <w:sz w:val="20"/>
          <w:szCs w:val="20"/>
        </w:rPr>
        <w:t xml:space="preserve">, Roger Wilkins, Diana Warren, Marcus Hahn and Brendan Houng (2009), Melbourne Institute of Applied Economic and Social Research (accessible </w:t>
      </w:r>
      <w:hyperlink r:id="rId186" w:history="1">
        <w:r w:rsidRPr="00043E1D">
          <w:rPr>
            <w:rStyle w:val="Hyperlink"/>
            <w:rFonts w:ascii="Garamond" w:hAnsi="Garamond"/>
            <w:sz w:val="20"/>
            <w:szCs w:val="20"/>
          </w:rPr>
          <w:t>here</w:t>
        </w:r>
      </w:hyperlink>
      <w:r w:rsidRPr="00043E1D">
        <w:rPr>
          <w:rFonts w:ascii="Garamond" w:hAnsi="Garamond"/>
          <w:sz w:val="20"/>
          <w:szCs w:val="20"/>
        </w:rPr>
        <w:t>).</w:t>
      </w:r>
    </w:p>
  </w:footnote>
  <w:footnote w:id="199">
    <w:p w14:paraId="259100E9" w14:textId="50531F1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Household Wealth and Saving in New Zealand: Evidence from the Longitudinal Survey of Family, Income and Employment</w:t>
      </w:r>
      <w:r w:rsidRPr="00043E1D">
        <w:rPr>
          <w:rFonts w:ascii="Garamond" w:hAnsi="Garamond"/>
          <w:sz w:val="20"/>
          <w:szCs w:val="20"/>
        </w:rPr>
        <w:t xml:space="preserve">, Trinh Le, John Gibson and Steven Stillman, Motu Working Paper, Motu Economic and Public Policy Research 10-09 (2010) (accessible </w:t>
      </w:r>
      <w:hyperlink r:id="rId187" w:history="1">
        <w:r w:rsidRPr="00043E1D">
          <w:rPr>
            <w:rStyle w:val="Hyperlink"/>
            <w:rFonts w:ascii="Garamond" w:hAnsi="Garamond"/>
            <w:sz w:val="20"/>
            <w:szCs w:val="20"/>
          </w:rPr>
          <w:t>here</w:t>
        </w:r>
      </w:hyperlink>
      <w:r w:rsidRPr="00043E1D">
        <w:rPr>
          <w:rFonts w:ascii="Garamond" w:hAnsi="Garamond"/>
          <w:sz w:val="20"/>
          <w:szCs w:val="20"/>
        </w:rPr>
        <w:t>).</w:t>
      </w:r>
    </w:p>
  </w:footnote>
  <w:footnote w:id="200">
    <w:p w14:paraId="376030A9" w14:textId="318BD7A3" w:rsidR="00CD6F06" w:rsidRPr="00043E1D" w:rsidRDefault="00CD6F06" w:rsidP="0041529F">
      <w:pPr>
        <w:pStyle w:val="FootnoteText"/>
        <w:jc w:val="both"/>
        <w:rPr>
          <w:rFonts w:ascii="Garamond" w:hAnsi="Garamond"/>
          <w:lang w:val="en-US"/>
        </w:rPr>
      </w:pPr>
      <w:r w:rsidRPr="00043E1D">
        <w:rPr>
          <w:rStyle w:val="FootnoteReference"/>
          <w:rFonts w:ascii="Garamond" w:hAnsi="Garamond"/>
        </w:rPr>
        <w:footnoteRef/>
      </w:r>
      <w:r w:rsidRPr="00043E1D">
        <w:rPr>
          <w:rFonts w:ascii="Garamond" w:hAnsi="Garamond"/>
        </w:rPr>
        <w:t xml:space="preserve"> </w:t>
      </w:r>
      <w:r w:rsidRPr="00043E1D">
        <w:rPr>
          <w:rFonts w:ascii="Garamond" w:hAnsi="Garamond"/>
          <w:i/>
          <w:sz w:val="20"/>
          <w:szCs w:val="20"/>
        </w:rPr>
        <w:t>Saving Rates of New Zealanders: A Net Wealth Approach</w:t>
      </w:r>
      <w:r w:rsidRPr="00043E1D">
        <w:rPr>
          <w:rFonts w:ascii="Garamond" w:hAnsi="Garamond"/>
          <w:sz w:val="20"/>
          <w:szCs w:val="20"/>
        </w:rPr>
        <w:t xml:space="preserve">, Grant Scobie and Katherine Henderson New Zealand Treasury, (2009) accessible </w:t>
      </w:r>
      <w:hyperlink r:id="rId188" w:history="1">
        <w:r w:rsidRPr="00043E1D">
          <w:rPr>
            <w:rStyle w:val="Hyperlink"/>
            <w:rFonts w:ascii="Garamond" w:hAnsi="Garamond"/>
            <w:sz w:val="20"/>
            <w:szCs w:val="20"/>
          </w:rPr>
          <w:t>here</w:t>
        </w:r>
      </w:hyperlink>
      <w:r w:rsidRPr="00043E1D">
        <w:rPr>
          <w:rFonts w:ascii="Garamond" w:hAnsi="Garamond"/>
          <w:sz w:val="20"/>
          <w:szCs w:val="20"/>
        </w:rPr>
        <w:t>.</w:t>
      </w:r>
    </w:p>
  </w:footnote>
  <w:footnote w:id="201">
    <w:p w14:paraId="4A96E5F3" w14:textId="5CDC5EE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We have made the point above that ‘administrative data’ are not rich enough to capture what is happening at a household level.  The ‘primary’ residence is usually a household’s most valuable asset.  The most recent Reserve Bank’s </w:t>
      </w:r>
      <w:r w:rsidRPr="00043E1D">
        <w:rPr>
          <w:rFonts w:ascii="Garamond" w:hAnsi="Garamond"/>
          <w:i/>
          <w:sz w:val="20"/>
          <w:szCs w:val="20"/>
        </w:rPr>
        <w:t>Household balance sheet</w:t>
      </w:r>
      <w:r w:rsidRPr="00043E1D">
        <w:rPr>
          <w:rFonts w:ascii="Garamond" w:hAnsi="Garamond"/>
          <w:sz w:val="20"/>
          <w:szCs w:val="20"/>
        </w:rPr>
        <w:t xml:space="preserve"> </w:t>
      </w:r>
      <w:hyperlink r:id="rId189" w:history="1">
        <w:r w:rsidRPr="00043E1D">
          <w:rPr>
            <w:rStyle w:val="Hyperlink"/>
            <w:rFonts w:ascii="Garamond" w:hAnsi="Garamond"/>
            <w:sz w:val="20"/>
            <w:szCs w:val="20"/>
          </w:rPr>
          <w:t>here</w:t>
        </w:r>
      </w:hyperlink>
      <w:r w:rsidRPr="00043E1D">
        <w:rPr>
          <w:rFonts w:ascii="Garamond" w:hAnsi="Garamond"/>
          <w:sz w:val="20"/>
          <w:szCs w:val="20"/>
        </w:rPr>
        <w:t xml:space="preserve"> says that, across all households, all ‘housing and land value’ (excluding, for some reason, vacant land) was </w:t>
      </w:r>
      <w:r>
        <w:rPr>
          <w:rFonts w:ascii="Garamond" w:hAnsi="Garamond"/>
          <w:sz w:val="20"/>
          <w:szCs w:val="20"/>
        </w:rPr>
        <w:t>47.0</w:t>
      </w:r>
      <w:r w:rsidRPr="00043E1D">
        <w:rPr>
          <w:rFonts w:ascii="Garamond" w:hAnsi="Garamond"/>
          <w:sz w:val="20"/>
          <w:szCs w:val="20"/>
        </w:rPr>
        <w:t>% of gross assets.  The equivalent number in 2010 was 49.2%.  SoFIE data for 2009/2010 (as reported by Rashbrooke, Rashbrooke and Malano (</w:t>
      </w:r>
      <w:r w:rsidRPr="00043E1D">
        <w:rPr>
          <w:rFonts w:ascii="Garamond" w:hAnsi="Garamond"/>
          <w:i/>
          <w:sz w:val="20"/>
          <w:szCs w:val="20"/>
        </w:rPr>
        <w:t xml:space="preserve">op cit </w:t>
      </w:r>
      <w:hyperlink r:id="rId190" w:history="1">
        <w:r w:rsidRPr="00043E1D">
          <w:rPr>
            <w:rStyle w:val="Hyperlink"/>
            <w:rFonts w:ascii="Garamond" w:hAnsi="Garamond"/>
            <w:sz w:val="20"/>
            <w:szCs w:val="20"/>
          </w:rPr>
          <w:t>here</w:t>
        </w:r>
      </w:hyperlink>
      <w:r w:rsidRPr="00043E1D">
        <w:rPr>
          <w:rFonts w:ascii="Garamond" w:hAnsi="Garamond"/>
          <w:sz w:val="20"/>
          <w:szCs w:val="20"/>
        </w:rPr>
        <w:t>, page 17) had respondents’ ‘own home’ as 36.3% of gross assets.  The difference between the two numbers (49.2% to 36.3%) is significant and deserves analysis.</w:t>
      </w:r>
    </w:p>
  </w:footnote>
  <w:footnote w:id="202">
    <w:p w14:paraId="7DEF8216" w14:textId="2BECD66E"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Even the primary residence can enter this equation if trading down to a cheaper retirement home is a realistic option.  Lifestyle assets could also be sold.  Leaving these possibilities aside is a conservative approach.</w:t>
      </w:r>
    </w:p>
  </w:footnote>
  <w:footnote w:id="203">
    <w:p w14:paraId="685E71BD" w14:textId="77777777"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When tax incentives for retirement saving started their phase-out (completed in 1990).</w:t>
      </w:r>
    </w:p>
  </w:footnote>
  <w:footnote w:id="204">
    <w:p w14:paraId="05CD4212" w14:textId="46C854FF"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In Australia, for example, actuaries Milliman Inc have used data to see what pensioners actually spend in retirement.  In </w:t>
      </w:r>
      <w:r>
        <w:rPr>
          <w:rFonts w:ascii="Garamond" w:hAnsi="Garamond"/>
          <w:i/>
          <w:sz w:val="20"/>
          <w:szCs w:val="20"/>
        </w:rPr>
        <w:t>Big data finally reveals how retirees really live</w:t>
      </w:r>
      <w:r>
        <w:rPr>
          <w:rFonts w:ascii="Garamond" w:hAnsi="Garamond"/>
          <w:sz w:val="20"/>
          <w:szCs w:val="20"/>
        </w:rPr>
        <w:t xml:space="preserve"> (August 2017, </w:t>
      </w:r>
      <w:hyperlink r:id="rId191" w:history="1">
        <w:r w:rsidRPr="009503ED">
          <w:rPr>
            <w:rStyle w:val="Hyperlink"/>
            <w:rFonts w:ascii="Garamond" w:hAnsi="Garamond"/>
            <w:sz w:val="20"/>
            <w:szCs w:val="20"/>
          </w:rPr>
          <w:t>here</w:t>
        </w:r>
      </w:hyperlink>
      <w:r>
        <w:rPr>
          <w:rFonts w:ascii="Garamond" w:hAnsi="Garamond"/>
          <w:sz w:val="20"/>
          <w:szCs w:val="20"/>
        </w:rPr>
        <w:t>), retirees aged 65-69 spent $A31,068 in mid-2017.  To fund that from all sources, including state benefits, “with 75% certainty” requires capital of about $A130,000 invested in a ‘balanced’ fund.  That is a good deal less than many in the financial services industry say is needed.</w:t>
      </w:r>
    </w:p>
  </w:footnote>
  <w:footnote w:id="205">
    <w:p w14:paraId="6DFE1FB6" w14:textId="5478E9F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w:t>
      </w:r>
      <w:r w:rsidRPr="00043E1D">
        <w:rPr>
          <w:rFonts w:ascii="Garamond" w:hAnsi="Garamond"/>
          <w:i/>
          <w:sz w:val="20"/>
          <w:szCs w:val="20"/>
        </w:rPr>
        <w:t>Prepared for Retirement? The Adequacy and Distribution of Retirement Resources in England</w:t>
      </w:r>
      <w:r w:rsidRPr="00043E1D">
        <w:rPr>
          <w:rFonts w:ascii="Garamond" w:hAnsi="Garamond"/>
          <w:sz w:val="20"/>
          <w:szCs w:val="20"/>
        </w:rPr>
        <w:t xml:space="preserve">, James Banks, Carl Emmerson, Zoe Oldfield and Gemma Tetlow, Institute for Fiscal Studies (2006 - accessible </w:t>
      </w:r>
      <w:hyperlink r:id="rId192" w:history="1">
        <w:r w:rsidRPr="00043E1D">
          <w:rPr>
            <w:rStyle w:val="Hyperlink"/>
            <w:rFonts w:ascii="Garamond" w:hAnsi="Garamond"/>
            <w:sz w:val="20"/>
            <w:szCs w:val="20"/>
          </w:rPr>
          <w:t>here</w:t>
        </w:r>
      </w:hyperlink>
      <w:r w:rsidRPr="00043E1D">
        <w:rPr>
          <w:rFonts w:ascii="Garamond" w:hAnsi="Garamond"/>
          <w:sz w:val="20"/>
          <w:szCs w:val="20"/>
        </w:rPr>
        <w:t>), the authors used ELSA data to conclude that most (57%) participants aged between 51 and the state pension age in 2001-02, if they retired immediately, would still have ‘enough’ to live on once they reached state pension age.</w:t>
      </w:r>
    </w:p>
  </w:footnote>
  <w:footnote w:id="206">
    <w:p w14:paraId="5847DB4B" w14:textId="3717EBC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US HRS has a new sample for each survey.  While each sample might be representative, it is not a longitudinal survey of the kind we discuss here.</w:t>
      </w:r>
    </w:p>
  </w:footnote>
  <w:footnote w:id="207">
    <w:p w14:paraId="0A8FDEA0" w14:textId="0EFCE703" w:rsidR="00CD6F06" w:rsidRPr="00891E0F" w:rsidRDefault="00CD6F06">
      <w:pPr>
        <w:pStyle w:val="FootnoteText"/>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Pr>
          <w:rFonts w:ascii="Garamond" w:hAnsi="Garamond"/>
          <w:i/>
          <w:sz w:val="20"/>
          <w:szCs w:val="20"/>
        </w:rPr>
        <w:t>The Future of Tax: Final Report Volume 1 – Recommendations</w:t>
      </w:r>
      <w:r>
        <w:rPr>
          <w:rFonts w:ascii="Garamond" w:hAnsi="Garamond"/>
          <w:sz w:val="20"/>
          <w:szCs w:val="20"/>
        </w:rPr>
        <w:t xml:space="preserve">, Tax Working Group, February 2019, accessible </w:t>
      </w:r>
      <w:hyperlink r:id="rId193" w:history="1">
        <w:r w:rsidRPr="00575FDF">
          <w:rPr>
            <w:rStyle w:val="Hyperlink"/>
            <w:rFonts w:ascii="Garamond" w:hAnsi="Garamond"/>
            <w:sz w:val="20"/>
            <w:szCs w:val="20"/>
          </w:rPr>
          <w:t>here</w:t>
        </w:r>
      </w:hyperlink>
      <w:r>
        <w:rPr>
          <w:rFonts w:ascii="Garamond" w:hAnsi="Garamond"/>
          <w:sz w:val="20"/>
          <w:szCs w:val="20"/>
        </w:rPr>
        <w:t>.</w:t>
      </w:r>
    </w:p>
  </w:footnote>
  <w:footnote w:id="208">
    <w:p w14:paraId="7514B8B1" w14:textId="69067A5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Interestingly, even though the US state pension age is increasing to age 67 by 2027, there has been no change to the early payment age (from 62) and the late payment age (70).  Details are </w:t>
      </w:r>
      <w:hyperlink r:id="rId194" w:history="1">
        <w:r w:rsidRPr="00043E1D">
          <w:rPr>
            <w:rStyle w:val="Hyperlink"/>
            <w:rFonts w:ascii="Garamond" w:hAnsi="Garamond"/>
            <w:sz w:val="20"/>
            <w:szCs w:val="20"/>
          </w:rPr>
          <w:t>here</w:t>
        </w:r>
      </w:hyperlink>
      <w:r w:rsidRPr="00043E1D">
        <w:rPr>
          <w:rFonts w:ascii="Garamond" w:hAnsi="Garamond"/>
          <w:sz w:val="20"/>
          <w:szCs w:val="20"/>
        </w:rPr>
        <w:t>.</w:t>
      </w:r>
    </w:p>
  </w:footnote>
  <w:footnote w:id="209">
    <w:p w14:paraId="1DB83CAB" w14:textId="326AE1F4" w:rsidR="00CD6F06" w:rsidRPr="00043E1D" w:rsidRDefault="00CD6F06">
      <w:pPr>
        <w:autoSpaceDE w:val="0"/>
        <w:autoSpaceDN w:val="0"/>
        <w:adjustRightInd w:val="0"/>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For example, in Europe, the</w:t>
      </w:r>
      <w:r w:rsidRPr="00043E1D">
        <w:rPr>
          <w:rFonts w:ascii="Garamond" w:hAnsi="Garamond"/>
          <w:sz w:val="20"/>
          <w:szCs w:val="20"/>
          <w:lang w:val="en-US"/>
        </w:rPr>
        <w:t xml:space="preserve"> employment rate of the 55-64 age group increased in the EU-27 from 37.7% in 2001 to 46.3% in 2010 – see </w:t>
      </w:r>
      <w:r w:rsidRPr="00043E1D">
        <w:rPr>
          <w:rFonts w:ascii="Garamond" w:hAnsi="Garamond"/>
          <w:i/>
          <w:sz w:val="20"/>
          <w:szCs w:val="20"/>
        </w:rPr>
        <w:t>White Paper: An Agenda for Adequate, Safe and Sustainable Pensions</w:t>
      </w:r>
      <w:r w:rsidRPr="00043E1D">
        <w:rPr>
          <w:rFonts w:ascii="Garamond" w:hAnsi="Garamond"/>
          <w:sz w:val="20"/>
          <w:szCs w:val="20"/>
        </w:rPr>
        <w:t xml:space="preserve">, </w:t>
      </w:r>
      <w:r w:rsidRPr="00043E1D">
        <w:rPr>
          <w:rFonts w:ascii="Garamond" w:hAnsi="Garamond"/>
          <w:sz w:val="20"/>
          <w:szCs w:val="20"/>
          <w:lang w:val="en-US"/>
        </w:rPr>
        <w:t xml:space="preserve">(2012) European Commission </w:t>
      </w:r>
      <w:r w:rsidRPr="00043E1D">
        <w:rPr>
          <w:rFonts w:ascii="Garamond" w:hAnsi="Garamond"/>
          <w:sz w:val="20"/>
          <w:szCs w:val="20"/>
        </w:rPr>
        <w:t xml:space="preserve">(accessible </w:t>
      </w:r>
      <w:hyperlink r:id="rId195" w:history="1">
        <w:r w:rsidRPr="00043E1D">
          <w:rPr>
            <w:rStyle w:val="Hyperlink"/>
            <w:rFonts w:ascii="Garamond" w:hAnsi="Garamond"/>
            <w:sz w:val="20"/>
            <w:szCs w:val="20"/>
          </w:rPr>
          <w:t>here</w:t>
        </w:r>
      </w:hyperlink>
      <w:r w:rsidRPr="00043E1D">
        <w:rPr>
          <w:rFonts w:ascii="Garamond" w:hAnsi="Garamond"/>
          <w:sz w:val="20"/>
          <w:szCs w:val="20"/>
        </w:rPr>
        <w:t xml:space="preserve">).  New Zealand’s 2010 equivalent was 75.9% - see </w:t>
      </w:r>
      <w:r w:rsidRPr="00043E1D">
        <w:rPr>
          <w:rFonts w:ascii="Garamond" w:hAnsi="Garamond"/>
          <w:i/>
          <w:sz w:val="20"/>
          <w:szCs w:val="20"/>
        </w:rPr>
        <w:t>Comparison of the New Zealand and Australian Retirement Income Systems</w:t>
      </w:r>
      <w:r w:rsidRPr="00043E1D">
        <w:rPr>
          <w:rFonts w:ascii="Garamond" w:hAnsi="Garamond"/>
          <w:sz w:val="20"/>
          <w:szCs w:val="20"/>
        </w:rPr>
        <w:t xml:space="preserve">, Ross Guest (2013) accessible </w:t>
      </w:r>
      <w:hyperlink r:id="rId196" w:history="1">
        <w:r w:rsidRPr="00043E1D">
          <w:rPr>
            <w:rStyle w:val="Hyperlink"/>
            <w:rFonts w:ascii="Garamond" w:hAnsi="Garamond"/>
            <w:sz w:val="20"/>
            <w:szCs w:val="20"/>
          </w:rPr>
          <w:t>here</w:t>
        </w:r>
      </w:hyperlink>
      <w:r w:rsidRPr="00043E1D">
        <w:rPr>
          <w:rFonts w:ascii="Garamond" w:hAnsi="Garamond"/>
          <w:sz w:val="20"/>
          <w:szCs w:val="20"/>
        </w:rPr>
        <w:t xml:space="preserve"> at page 15 (citing ILO data)  Australia’s 2010 equivalent number was 62.6%.  The latest European data (2015, accessible </w:t>
      </w:r>
      <w:hyperlink r:id="rId197" w:anchor="Employment_rates_by_sex.2C_age_and_educational_attainment" w:history="1">
        <w:r w:rsidRPr="00043E1D">
          <w:rPr>
            <w:rStyle w:val="Hyperlink"/>
            <w:rFonts w:ascii="Garamond" w:hAnsi="Garamond"/>
            <w:sz w:val="20"/>
            <w:szCs w:val="20"/>
          </w:rPr>
          <w:t>here</w:t>
        </w:r>
      </w:hyperlink>
      <w:r w:rsidRPr="00043E1D">
        <w:rPr>
          <w:rFonts w:ascii="Garamond" w:hAnsi="Garamond"/>
          <w:sz w:val="20"/>
          <w:szCs w:val="20"/>
        </w:rPr>
        <w:t xml:space="preserve">) show that the age 55-64 employment rate is now 53.3%.  </w:t>
      </w:r>
    </w:p>
  </w:footnote>
  <w:footnote w:id="210">
    <w:p w14:paraId="56EF3709" w14:textId="0D31CA31" w:rsidR="00CD6F06" w:rsidRPr="00043E1D" w:rsidRDefault="00CD6F06" w:rsidP="00063DDE">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People ‘participate’ in the workforce if they work at least one hour a week. In 2013, 52% of those aged 65 and over who were employed (about 69,000 people in 2013) worked for at least 30 hours a week.  Of the 130,000 in all who worked at least one hour a week in 2013, 62% of men and 40% of women worked at least 30 hours. (Census data accessible </w:t>
      </w:r>
      <w:hyperlink r:id="rId198" w:history="1">
        <w:r w:rsidRPr="00043E1D">
          <w:rPr>
            <w:rStyle w:val="Hyperlink"/>
            <w:rFonts w:ascii="Garamond" w:hAnsi="Garamond"/>
            <w:sz w:val="20"/>
            <w:szCs w:val="20"/>
          </w:rPr>
          <w:t>here</w:t>
        </w:r>
      </w:hyperlink>
      <w:r w:rsidRPr="00043E1D">
        <w:rPr>
          <w:rFonts w:ascii="Garamond" w:hAnsi="Garamond"/>
          <w:sz w:val="20"/>
          <w:szCs w:val="20"/>
        </w:rPr>
        <w:t>).</w:t>
      </w:r>
    </w:p>
  </w:footnote>
  <w:footnote w:id="211">
    <w:p w14:paraId="2AE30524" w14:textId="6F49D4BD"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Section 22 of the Human Rights Act (accessible </w:t>
      </w:r>
      <w:hyperlink r:id="rId199" w:history="1">
        <w:r w:rsidRPr="00043E1D">
          <w:rPr>
            <w:rStyle w:val="Hyperlink"/>
            <w:rFonts w:ascii="Garamond" w:hAnsi="Garamond"/>
            <w:sz w:val="20"/>
            <w:szCs w:val="20"/>
          </w:rPr>
          <w:t>here</w:t>
        </w:r>
      </w:hyperlink>
      <w:r w:rsidRPr="00043E1D">
        <w:rPr>
          <w:rFonts w:ascii="Garamond" w:hAnsi="Garamond"/>
          <w:sz w:val="20"/>
          <w:szCs w:val="20"/>
        </w:rPr>
        <w:t>) outlaws the retirement of an employee on account of age.</w:t>
      </w:r>
    </w:p>
  </w:footnote>
  <w:footnote w:id="212">
    <w:p w14:paraId="25B6F16B" w14:textId="4A268075" w:rsidR="00CD6F06" w:rsidRPr="00043E1D" w:rsidRDefault="00CD6F06" w:rsidP="00063DDE">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noProof/>
          <w:sz w:val="20"/>
          <w:szCs w:val="20"/>
        </w:rPr>
        <w:t>Health and Retirement of Older New Zealanders</w:t>
      </w:r>
      <w:r w:rsidRPr="00043E1D">
        <w:rPr>
          <w:rFonts w:ascii="Garamond" w:hAnsi="Garamond"/>
          <w:noProof/>
          <w:sz w:val="20"/>
          <w:szCs w:val="20"/>
        </w:rPr>
        <w:t xml:space="preserve">, Emma Gorman, Grant Scobie and Andy Towers, New Zealand Treasury Working Paper 12/02 (2012) accessible </w:t>
      </w:r>
      <w:hyperlink r:id="rId200" w:history="1">
        <w:r w:rsidRPr="00043E1D">
          <w:rPr>
            <w:rStyle w:val="Hyperlink"/>
            <w:rFonts w:ascii="Garamond" w:hAnsi="Garamond"/>
            <w:noProof/>
            <w:sz w:val="20"/>
            <w:szCs w:val="20"/>
          </w:rPr>
          <w:t>here</w:t>
        </w:r>
      </w:hyperlink>
      <w:r w:rsidRPr="00043E1D">
        <w:rPr>
          <w:rFonts w:ascii="Garamond" w:hAnsi="Garamond"/>
          <w:noProof/>
          <w:sz w:val="20"/>
          <w:szCs w:val="20"/>
        </w:rPr>
        <w:t xml:space="preserve"> at page 34.</w:t>
      </w:r>
    </w:p>
  </w:footnote>
  <w:footnote w:id="213">
    <w:p w14:paraId="1BC2F7F6" w14:textId="21A86F4A"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bCs/>
          <w:i/>
          <w:sz w:val="20"/>
          <w:szCs w:val="20"/>
        </w:rPr>
        <w:t>Too Early to Retire? Growing Participation of Older New Zealanders in the Labour Force</w:t>
      </w:r>
      <w:r w:rsidRPr="00043E1D">
        <w:rPr>
          <w:rFonts w:ascii="Garamond" w:hAnsi="Garamond"/>
          <w:bCs/>
          <w:sz w:val="20"/>
          <w:szCs w:val="20"/>
        </w:rPr>
        <w:t xml:space="preserve">, Mansoor Khawaja and Bill Boddington, New Zealand Population Review, 35:75-93 (accessible </w:t>
      </w:r>
      <w:hyperlink r:id="rId201" w:history="1">
        <w:r w:rsidRPr="00043E1D">
          <w:rPr>
            <w:rStyle w:val="Hyperlink"/>
            <w:rFonts w:ascii="Garamond" w:hAnsi="Garamond"/>
            <w:bCs/>
            <w:sz w:val="20"/>
            <w:szCs w:val="20"/>
          </w:rPr>
          <w:t>here</w:t>
        </w:r>
      </w:hyperlink>
      <w:r w:rsidRPr="00043E1D">
        <w:rPr>
          <w:rFonts w:ascii="Garamond" w:hAnsi="Garamond"/>
          <w:bCs/>
          <w:sz w:val="20"/>
          <w:szCs w:val="20"/>
        </w:rPr>
        <w:t>).</w:t>
      </w:r>
    </w:p>
  </w:footnote>
  <w:footnote w:id="214">
    <w:p w14:paraId="7BC9CC98" w14:textId="105FC836" w:rsidR="00CD6F06" w:rsidRPr="00043E1D" w:rsidRDefault="00CD6F06">
      <w:pPr>
        <w:pStyle w:val="FootnoteText"/>
        <w:jc w:val="both"/>
        <w:rPr>
          <w:rFonts w:ascii="Garamond" w:hAnsi="Garamond"/>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Identifying Local Differences in Retirement Patterns</w:t>
      </w:r>
      <w:r w:rsidRPr="00043E1D">
        <w:rPr>
          <w:rFonts w:ascii="Garamond" w:hAnsi="Garamond"/>
          <w:sz w:val="20"/>
          <w:szCs w:val="20"/>
        </w:rPr>
        <w:t xml:space="preserve">, Leora Friedberg, Michael Owyang and Anthony Webb, (2008) Center for Retirement Research, Boston (accessible </w:t>
      </w:r>
      <w:hyperlink r:id="rId202" w:history="1">
        <w:r w:rsidRPr="00043E1D">
          <w:rPr>
            <w:rStyle w:val="Hyperlink"/>
            <w:rFonts w:ascii="Garamond" w:hAnsi="Garamond"/>
            <w:sz w:val="20"/>
            <w:szCs w:val="20"/>
          </w:rPr>
          <w:t>here</w:t>
        </w:r>
      </w:hyperlink>
      <w:r w:rsidRPr="00043E1D">
        <w:rPr>
          <w:rFonts w:ascii="Garamond" w:hAnsi="Garamond"/>
          <w:sz w:val="20"/>
          <w:szCs w:val="20"/>
        </w:rPr>
        <w:t>)</w:t>
      </w:r>
    </w:p>
  </w:footnote>
  <w:footnote w:id="215">
    <w:p w14:paraId="4F083DC3" w14:textId="6890D46A"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noProof/>
          <w:sz w:val="20"/>
          <w:szCs w:val="20"/>
        </w:rPr>
        <w:t>The effect of New Zealand Superannuation eligibility age on the labour force participation of older people</w:t>
      </w:r>
      <w:r w:rsidRPr="00043E1D">
        <w:rPr>
          <w:rFonts w:ascii="Garamond" w:hAnsi="Garamond"/>
          <w:noProof/>
          <w:sz w:val="20"/>
          <w:szCs w:val="20"/>
        </w:rPr>
        <w:t xml:space="preserve">, Roger Hurnard, (2005) New Zealand Treasury Working Paper 05/09, Wellington (accessible </w:t>
      </w:r>
      <w:hyperlink r:id="rId203" w:history="1">
        <w:r w:rsidRPr="00043E1D">
          <w:rPr>
            <w:rStyle w:val="Hyperlink"/>
            <w:rFonts w:ascii="Garamond" w:hAnsi="Garamond"/>
            <w:noProof/>
            <w:sz w:val="20"/>
            <w:szCs w:val="20"/>
          </w:rPr>
          <w:t>here</w:t>
        </w:r>
      </w:hyperlink>
      <w:r w:rsidRPr="00043E1D">
        <w:rPr>
          <w:rFonts w:ascii="Garamond" w:hAnsi="Garamond"/>
          <w:noProof/>
          <w:sz w:val="20"/>
          <w:szCs w:val="20"/>
        </w:rPr>
        <w:t>).</w:t>
      </w:r>
    </w:p>
  </w:footnote>
  <w:footnote w:id="216">
    <w:p w14:paraId="499332DC" w14:textId="25B7656A"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chart shows that the proportion of all those age 65+ who participate in the workforce has grown from a low of 5.3% in 1993 to 22.1% in 2015.  </w:t>
      </w:r>
      <w:r>
        <w:rPr>
          <w:rFonts w:ascii="Garamond" w:hAnsi="Garamond"/>
          <w:sz w:val="20"/>
          <w:szCs w:val="20"/>
        </w:rPr>
        <w:t xml:space="preserve">The latest number on this (accessible </w:t>
      </w:r>
      <w:hyperlink r:id="rId204" w:history="1">
        <w:r w:rsidRPr="0084642F">
          <w:rPr>
            <w:rStyle w:val="Hyperlink"/>
            <w:rFonts w:ascii="Garamond" w:hAnsi="Garamond"/>
            <w:sz w:val="20"/>
            <w:szCs w:val="20"/>
          </w:rPr>
          <w:t>here</w:t>
        </w:r>
      </w:hyperlink>
      <w:r>
        <w:rPr>
          <w:rFonts w:ascii="Garamond" w:hAnsi="Garamond"/>
          <w:sz w:val="20"/>
          <w:szCs w:val="20"/>
        </w:rPr>
        <w:t xml:space="preserve">) has the New Zealand participation rate for age 65+ at 23.4%.  </w:t>
      </w:r>
      <w:r w:rsidRPr="00043E1D">
        <w:rPr>
          <w:rFonts w:ascii="Garamond" w:hAnsi="Garamond"/>
          <w:sz w:val="20"/>
          <w:szCs w:val="20"/>
        </w:rPr>
        <w:t>Also, the proportion of those age 60-64 has grown from a low of 23.9% in 1989 to 72.9% in 2015.  The state pension age was 60 until 1992 but rose to 65 by 2002.</w:t>
      </w:r>
    </w:p>
  </w:footnote>
  <w:footnote w:id="217">
    <w:p w14:paraId="1240E186" w14:textId="1E10A8A2" w:rsidR="00CD6F06" w:rsidRPr="00043E1D" w:rsidRDefault="00CD6F06" w:rsidP="001D550C">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Some suggest though that the demographic future might not be as grim for productivity as feared.  Ross Guest concluded in </w:t>
      </w:r>
      <w:r w:rsidRPr="00043E1D">
        <w:rPr>
          <w:rFonts w:ascii="Garamond" w:hAnsi="Garamond"/>
          <w:i/>
          <w:sz w:val="20"/>
          <w:szCs w:val="20"/>
        </w:rPr>
        <w:t>Good News about an Ageing Workforce</w:t>
      </w:r>
      <w:r w:rsidRPr="00043E1D">
        <w:rPr>
          <w:rFonts w:ascii="Garamond" w:hAnsi="Garamond"/>
          <w:sz w:val="20"/>
          <w:szCs w:val="20"/>
        </w:rPr>
        <w:t xml:space="preserve"> (for a 2005 Treasury workshop and accessible </w:t>
      </w:r>
      <w:hyperlink r:id="rId205" w:history="1">
        <w:r w:rsidRPr="00043E1D">
          <w:rPr>
            <w:rStyle w:val="Hyperlink"/>
            <w:rFonts w:ascii="Garamond" w:hAnsi="Garamond"/>
            <w:sz w:val="20"/>
            <w:szCs w:val="20"/>
          </w:rPr>
          <w:t>here</w:t>
        </w:r>
      </w:hyperlink>
      <w:r w:rsidRPr="00043E1D">
        <w:rPr>
          <w:rFonts w:ascii="Garamond" w:hAnsi="Garamond"/>
          <w:sz w:val="20"/>
          <w:szCs w:val="20"/>
        </w:rPr>
        <w:t>) that there could be a ‘dividend’ from the change in the age distribution of the workforce that raises labour productivity ‘naturally’.  “The gains could be sufficient to substantially offset the effect on output per capita of the decline in the worker to population ratio that will occur with no increase in [labour force productivity ratios].” (at page 12).  As ever though, the author says we need more information on this issue.</w:t>
      </w:r>
    </w:p>
  </w:footnote>
  <w:footnote w:id="218">
    <w:p w14:paraId="70486B2C" w14:textId="710D3187"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eastAsia="Times New Roman" w:hAnsi="Garamond"/>
          <w:sz w:val="20"/>
          <w:szCs w:val="20"/>
          <w:lang w:eastAsia="en-GB"/>
        </w:rPr>
        <w:t xml:space="preserve">This section is based on our Working Paper 2010-1 for the Retirement Policy and Research Centre: </w:t>
      </w:r>
      <w:r w:rsidRPr="00043E1D">
        <w:rPr>
          <w:rFonts w:ascii="Garamond" w:eastAsia="Times New Roman" w:hAnsi="Garamond"/>
          <w:i/>
          <w:sz w:val="20"/>
          <w:szCs w:val="20"/>
          <w:lang w:eastAsia="en-GB"/>
        </w:rPr>
        <w:t xml:space="preserve">Towards a more rational tax treatment of collective investment vehicles and their investors </w:t>
      </w:r>
      <w:r w:rsidRPr="00043E1D">
        <w:rPr>
          <w:rFonts w:ascii="Garamond" w:eastAsia="Times New Roman" w:hAnsi="Garamond"/>
          <w:sz w:val="20"/>
          <w:szCs w:val="20"/>
          <w:lang w:eastAsia="en-GB"/>
        </w:rPr>
        <w:t>(accessible</w:t>
      </w:r>
      <w:hyperlink r:id="rId206" w:history="1">
        <w:r w:rsidRPr="00043E1D">
          <w:rPr>
            <w:rStyle w:val="Hyperlink"/>
            <w:rFonts w:ascii="Garamond" w:eastAsia="Times New Roman" w:hAnsi="Garamond"/>
            <w:sz w:val="20"/>
            <w:szCs w:val="20"/>
            <w:lang w:eastAsia="en-GB"/>
          </w:rPr>
          <w:t xml:space="preserve"> here</w:t>
        </w:r>
      </w:hyperlink>
      <w:r w:rsidRPr="00043E1D">
        <w:rPr>
          <w:rFonts w:ascii="Garamond" w:eastAsia="Times New Roman" w:hAnsi="Garamond"/>
          <w:sz w:val="20"/>
          <w:szCs w:val="20"/>
          <w:lang w:eastAsia="en-GB"/>
        </w:rPr>
        <w:t>).</w:t>
      </w:r>
    </w:p>
  </w:footnote>
  <w:footnote w:id="219">
    <w:p w14:paraId="01E956BB" w14:textId="10892738" w:rsidR="00CD6F06" w:rsidRPr="00891E0F" w:rsidRDefault="00CD6F06">
      <w:pPr>
        <w:pStyle w:val="FootnoteText"/>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Pr>
          <w:rFonts w:ascii="Garamond" w:hAnsi="Garamond"/>
          <w:i/>
          <w:sz w:val="20"/>
          <w:szCs w:val="20"/>
        </w:rPr>
        <w:t>Govt responds to Tax Working Group repot</w:t>
      </w:r>
      <w:r>
        <w:rPr>
          <w:rFonts w:ascii="Garamond" w:hAnsi="Garamond"/>
          <w:sz w:val="20"/>
          <w:szCs w:val="20"/>
        </w:rPr>
        <w:t xml:space="preserve">, 17 April 2019, accessible </w:t>
      </w:r>
      <w:hyperlink r:id="rId207" w:history="1">
        <w:r w:rsidRPr="00F66CFF">
          <w:rPr>
            <w:rStyle w:val="Hyperlink"/>
            <w:rFonts w:ascii="Garamond" w:hAnsi="Garamond"/>
            <w:sz w:val="20"/>
            <w:szCs w:val="20"/>
          </w:rPr>
          <w:t>here</w:t>
        </w:r>
      </w:hyperlink>
      <w:r>
        <w:rPr>
          <w:rFonts w:ascii="Garamond" w:hAnsi="Garamond"/>
          <w:sz w:val="20"/>
          <w:szCs w:val="20"/>
        </w:rPr>
        <w:t>.</w:t>
      </w:r>
    </w:p>
  </w:footnote>
  <w:footnote w:id="220">
    <w:p w14:paraId="3A8ACF35" w14:textId="1D221F2B" w:rsidR="00CD6F06" w:rsidRPr="00891E0F" w:rsidRDefault="00CD6F06">
      <w:pPr>
        <w:pStyle w:val="FootnoteText"/>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Pr>
          <w:rFonts w:ascii="Garamond" w:hAnsi="Garamond"/>
          <w:i/>
          <w:sz w:val="20"/>
          <w:szCs w:val="20"/>
        </w:rPr>
        <w:t>The Future of Tax: Final Report Volume 1</w:t>
      </w:r>
      <w:r>
        <w:rPr>
          <w:rFonts w:ascii="Garamond" w:hAnsi="Garamond"/>
          <w:sz w:val="20"/>
          <w:szCs w:val="20"/>
        </w:rPr>
        <w:t xml:space="preserve">, Tax Working Group, February 2019 accessible </w:t>
      </w:r>
      <w:hyperlink r:id="rId208" w:history="1">
        <w:r w:rsidRPr="00371BD5">
          <w:rPr>
            <w:rStyle w:val="Hyperlink"/>
            <w:rFonts w:ascii="Garamond" w:hAnsi="Garamond"/>
            <w:sz w:val="20"/>
            <w:szCs w:val="20"/>
          </w:rPr>
          <w:t>here</w:t>
        </w:r>
      </w:hyperlink>
      <w:r>
        <w:rPr>
          <w:rFonts w:ascii="Garamond" w:hAnsi="Garamond"/>
          <w:sz w:val="20"/>
          <w:szCs w:val="20"/>
        </w:rPr>
        <w:t xml:space="preserve"> at page 28</w:t>
      </w:r>
    </w:p>
  </w:footnote>
  <w:footnote w:id="221">
    <w:p w14:paraId="3D22B6C5" w14:textId="01DB3E54"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Taxation of investment income - The treatment of collective investment vehicles and offshore portfolio investments in shares</w:t>
      </w:r>
      <w:r w:rsidRPr="00043E1D">
        <w:rPr>
          <w:rFonts w:ascii="Garamond" w:hAnsi="Garamond"/>
          <w:sz w:val="20"/>
          <w:szCs w:val="20"/>
        </w:rPr>
        <w:t xml:space="preserve"> (2005) Inland Revenue Department, accessible </w:t>
      </w:r>
      <w:hyperlink r:id="rId209" w:history="1">
        <w:r w:rsidRPr="00043E1D">
          <w:rPr>
            <w:rStyle w:val="Hyperlink"/>
            <w:rFonts w:ascii="Garamond" w:hAnsi="Garamond"/>
            <w:sz w:val="20"/>
            <w:szCs w:val="20"/>
          </w:rPr>
          <w:t>here</w:t>
        </w:r>
      </w:hyperlink>
      <w:r w:rsidRPr="00043E1D">
        <w:rPr>
          <w:rFonts w:ascii="Garamond" w:hAnsi="Garamond"/>
          <w:sz w:val="20"/>
          <w:szCs w:val="20"/>
        </w:rPr>
        <w:t>.</w:t>
      </w:r>
    </w:p>
  </w:footnote>
  <w:footnote w:id="222">
    <w:p w14:paraId="4D12FD62" w14:textId="0B21058B"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There is also a trust (such as a family trust) where undistributed income is taxed at 33%, the top personal marginal rate of tax.</w:t>
      </w:r>
    </w:p>
  </w:footnote>
  <w:footnote w:id="223">
    <w:p w14:paraId="11A76069" w14:textId="5CDC297D" w:rsidR="00CD6F06" w:rsidRPr="00891E0F" w:rsidRDefault="00CD6F06" w:rsidP="00891E0F">
      <w:pPr>
        <w:pStyle w:val="FootnoteText"/>
        <w:jc w:val="both"/>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Pr>
          <w:rFonts w:ascii="Garamond" w:hAnsi="Garamond"/>
          <w:sz w:val="20"/>
          <w:szCs w:val="20"/>
        </w:rPr>
        <w:t>This ‘saver-choice’ facility seems directly at odds with the general principle stated above that investors’ decisions should be made for investment, rather than tax reasons.</w:t>
      </w:r>
    </w:p>
  </w:footnote>
  <w:footnote w:id="224">
    <w:p w14:paraId="501C2F2F" w14:textId="2A02B12F"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‘Workplace saving schemes’ are registered under the Financial Markets Conduct Act 2013</w:t>
      </w:r>
    </w:p>
  </w:footnote>
  <w:footnote w:id="225">
    <w:p w14:paraId="4FD18D51" w14:textId="1F913794"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Though sometimes capital receipts are deemed to be ‘income’ if they are received on a basis that will be applied for an “income-related purpose”: paragraphs (b) and (c) (“whether capital or not”); also paragraph f(xiv)(C) of the definition of ‘income’ in section 3(1) if the Social Security Act 1964 (accessible </w:t>
      </w:r>
      <w:hyperlink r:id="rId210" w:history="1">
        <w:r w:rsidRPr="00043E1D">
          <w:rPr>
            <w:rStyle w:val="Hyperlink"/>
            <w:rFonts w:ascii="Garamond" w:hAnsi="Garamond"/>
            <w:sz w:val="20"/>
            <w:szCs w:val="20"/>
          </w:rPr>
          <w:t>here</w:t>
        </w:r>
      </w:hyperlink>
      <w:r w:rsidRPr="00043E1D">
        <w:rPr>
          <w:rFonts w:ascii="Garamond" w:hAnsi="Garamond"/>
          <w:sz w:val="20"/>
          <w:szCs w:val="20"/>
        </w:rPr>
        <w:t>) can include payments from a superannuation scheme.</w:t>
      </w:r>
    </w:p>
  </w:footnote>
  <w:footnote w:id="226">
    <w:p w14:paraId="3F2EA3AD" w14:textId="23B39220"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 xml:space="preserve">A Tax System for New Zealand’s Future </w:t>
      </w:r>
      <w:r w:rsidRPr="00043E1D">
        <w:rPr>
          <w:rFonts w:ascii="Garamond" w:hAnsi="Garamond"/>
          <w:sz w:val="20"/>
          <w:szCs w:val="20"/>
        </w:rPr>
        <w:t xml:space="preserve">(2009) Victoria University Tax Working Group, accessible </w:t>
      </w:r>
      <w:hyperlink r:id="rId211" w:history="1">
        <w:r w:rsidRPr="00043E1D">
          <w:rPr>
            <w:rStyle w:val="Hyperlink"/>
            <w:rFonts w:ascii="Garamond" w:hAnsi="Garamond"/>
            <w:sz w:val="20"/>
            <w:szCs w:val="20"/>
          </w:rPr>
          <w:t>here</w:t>
        </w:r>
      </w:hyperlink>
      <w:r w:rsidRPr="00043E1D">
        <w:rPr>
          <w:rFonts w:ascii="Garamond" w:hAnsi="Garamond"/>
          <w:sz w:val="20"/>
          <w:szCs w:val="20"/>
        </w:rPr>
        <w:t>, at page 9.</w:t>
      </w:r>
    </w:p>
  </w:footnote>
  <w:footnote w:id="227">
    <w:p w14:paraId="0EA78E8E" w14:textId="45B3BAD0" w:rsidR="00CD6F06" w:rsidRPr="00043E1D" w:rsidRDefault="00CD6F06">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The relationship between ‘income’ earned overseas, any tax paid overseas</w:t>
      </w:r>
      <w:r>
        <w:rPr>
          <w:rFonts w:ascii="Garamond" w:hAnsi="Garamond"/>
          <w:sz w:val="20"/>
          <w:szCs w:val="20"/>
        </w:rPr>
        <w:t>,</w:t>
      </w:r>
      <w:r w:rsidRPr="00043E1D">
        <w:rPr>
          <w:rFonts w:ascii="Garamond" w:hAnsi="Garamond"/>
          <w:sz w:val="20"/>
          <w:szCs w:val="20"/>
        </w:rPr>
        <w:t xml:space="preserve"> and the New Zealand tax regime will never be simple, especially where imputation credits are involved.  The principle should be that New Zealand taxes the gross income and makes allowance for any tax already paid by the investor.</w:t>
      </w:r>
    </w:p>
  </w:footnote>
  <w:footnote w:id="228">
    <w:p w14:paraId="670F29DC" w14:textId="002209E6"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personal rates of tax are 10.5% on income to $14,</w:t>
      </w:r>
      <w:r>
        <w:rPr>
          <w:rFonts w:ascii="Garamond" w:hAnsi="Garamond"/>
          <w:sz w:val="20"/>
          <w:szCs w:val="20"/>
        </w:rPr>
        <w:t>0</w:t>
      </w:r>
      <w:r w:rsidRPr="00043E1D">
        <w:rPr>
          <w:rFonts w:ascii="Garamond" w:hAnsi="Garamond"/>
          <w:sz w:val="20"/>
          <w:szCs w:val="20"/>
        </w:rPr>
        <w:t>00; 17.5% on income between $14,001 and $48,000; 30% on income between $48,001 and $70,000 and 33% on income over 33%.  We think all ‘income’ whether directly or indirectly received should be taxed at these rates.</w:t>
      </w:r>
    </w:p>
  </w:footnote>
  <w:footnote w:id="229">
    <w:p w14:paraId="653A9DFF" w14:textId="109B83B0" w:rsidR="00CD6F06" w:rsidRPr="00563816" w:rsidRDefault="00CD6F06">
      <w:pPr>
        <w:pStyle w:val="FootnoteText"/>
        <w:jc w:val="both"/>
        <w:rPr>
          <w:rFonts w:ascii="Garamond" w:hAnsi="Garamond"/>
          <w:sz w:val="20"/>
          <w:szCs w:val="20"/>
          <w:lang w:val="en-US"/>
        </w:rPr>
      </w:pPr>
      <w:r w:rsidRPr="00563816">
        <w:rPr>
          <w:rStyle w:val="FootnoteReference"/>
          <w:rFonts w:ascii="Garamond" w:hAnsi="Garamond"/>
          <w:sz w:val="20"/>
          <w:szCs w:val="20"/>
        </w:rPr>
        <w:footnoteRef/>
      </w:r>
      <w:r w:rsidRPr="00563816">
        <w:rPr>
          <w:rFonts w:ascii="Garamond" w:hAnsi="Garamond"/>
          <w:sz w:val="20"/>
          <w:szCs w:val="20"/>
        </w:rPr>
        <w:t xml:space="preserve"> </w:t>
      </w:r>
      <w:r>
        <w:rPr>
          <w:rFonts w:ascii="Garamond" w:hAnsi="Garamond"/>
          <w:sz w:val="20"/>
          <w:szCs w:val="20"/>
        </w:rPr>
        <w:t>We suspect that the ‘silo’ approach to the tax treatment of ‘income’ was a necessity, born of the Inland Revenue’s administration systems.  The Inland Revenue effectively contracted-out the calculation of tax to PIEs and superannuation schemes as it could not cope with doing those calculations itself.  We think that the Inland Revenue should be calculating tax, not each employer or manager of a collective investment vehicle.  Only the Inland Revenue has all the information that is needed to calculate the correct amount of tax for an individual taxpayer under our progressive tax framework.</w:t>
      </w:r>
    </w:p>
  </w:footnote>
  <w:footnote w:id="230">
    <w:p w14:paraId="01FC75DA" w14:textId="2CD82F44"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Tax can still be calculated and paid by the CIV but as a down-payment on the saver’s final liability, in a manner similar to the imputation credits that can be added to a company’s dividend.</w:t>
      </w:r>
    </w:p>
  </w:footnote>
  <w:footnote w:id="231">
    <w:p w14:paraId="305F6C48" w14:textId="34E27520"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hyperlink r:id="rId212" w:history="1">
        <w:r w:rsidRPr="00043E1D">
          <w:rPr>
            <w:rStyle w:val="Hyperlink"/>
            <w:rFonts w:ascii="Garamond" w:hAnsi="Garamond"/>
            <w:sz w:val="20"/>
            <w:szCs w:val="20"/>
          </w:rPr>
          <w:t>here</w:t>
        </w:r>
      </w:hyperlink>
      <w:r w:rsidRPr="00043E1D">
        <w:rPr>
          <w:rFonts w:ascii="Garamond" w:hAnsi="Garamond"/>
          <w:sz w:val="20"/>
          <w:szCs w:val="20"/>
        </w:rPr>
        <w:t xml:space="preserve"> for </w:t>
      </w:r>
      <w:r>
        <w:rPr>
          <w:rFonts w:ascii="Garamond" w:hAnsi="Garamond"/>
          <w:sz w:val="20"/>
          <w:szCs w:val="20"/>
        </w:rPr>
        <w:t>the Inland Revenue’s explanation of</w:t>
      </w:r>
      <w:r w:rsidRPr="00043E1D">
        <w:rPr>
          <w:rFonts w:ascii="Garamond" w:hAnsi="Garamond"/>
          <w:sz w:val="20"/>
          <w:szCs w:val="20"/>
        </w:rPr>
        <w:t xml:space="preserve"> ‘binding rulings’.</w:t>
      </w:r>
    </w:p>
  </w:footnote>
  <w:footnote w:id="232">
    <w:p w14:paraId="2B25DCF2" w14:textId="6EB42BC8" w:rsidR="00CD6F06" w:rsidRPr="00043E1D" w:rsidRDefault="00CD6F06" w:rsidP="00701CA1">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See </w:t>
      </w:r>
      <w:hyperlink r:id="rId213" w:history="1">
        <w:r w:rsidRPr="00F125C4">
          <w:rPr>
            <w:rStyle w:val="Hyperlink"/>
            <w:rFonts w:ascii="Garamond" w:hAnsi="Garamond"/>
            <w:sz w:val="20"/>
            <w:szCs w:val="20"/>
          </w:rPr>
          <w:t>here</w:t>
        </w:r>
      </w:hyperlink>
      <w:r>
        <w:rPr>
          <w:rFonts w:ascii="Garamond" w:hAnsi="Garamond"/>
          <w:sz w:val="20"/>
          <w:szCs w:val="20"/>
        </w:rPr>
        <w:t xml:space="preserve"> for a consumer-oriented explanation of the PDS from the Financial Markets Authority. </w:t>
      </w:r>
    </w:p>
  </w:footnote>
  <w:footnote w:id="233">
    <w:p w14:paraId="0970542F" w14:textId="3FADB74B"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For example, just to pick two KiwiSaver providers: for BNZ, the PDS has a very low priority on the main BNZ KiwiSaver web page (</w:t>
      </w:r>
      <w:hyperlink r:id="rId214" w:history="1">
        <w:r w:rsidRPr="0094436A">
          <w:rPr>
            <w:rStyle w:val="Hyperlink"/>
            <w:rFonts w:ascii="Garamond" w:hAnsi="Garamond"/>
            <w:sz w:val="20"/>
            <w:szCs w:val="20"/>
          </w:rPr>
          <w:t>here</w:t>
        </w:r>
      </w:hyperlink>
      <w:r>
        <w:rPr>
          <w:rFonts w:ascii="Garamond" w:hAnsi="Garamond"/>
          <w:sz w:val="20"/>
          <w:szCs w:val="20"/>
        </w:rPr>
        <w:t xml:space="preserve">), being buried as a link in a ‘Small print’ section at the bottom of the page; the same applies to the ANZ (see </w:t>
      </w:r>
      <w:hyperlink r:id="rId215" w:history="1">
        <w:r w:rsidRPr="006C74FF">
          <w:rPr>
            <w:rStyle w:val="Hyperlink"/>
            <w:rFonts w:ascii="Garamond" w:hAnsi="Garamond"/>
            <w:sz w:val="20"/>
            <w:szCs w:val="20"/>
          </w:rPr>
          <w:t>here</w:t>
        </w:r>
      </w:hyperlink>
      <w:r>
        <w:rPr>
          <w:rFonts w:ascii="Garamond" w:hAnsi="Garamond"/>
          <w:sz w:val="20"/>
          <w:szCs w:val="20"/>
        </w:rPr>
        <w:t>).  In other words, the PDS seems to be a compliance document rather than a primary piece of communication.</w:t>
      </w:r>
    </w:p>
  </w:footnote>
  <w:footnote w:id="234">
    <w:p w14:paraId="6B0EA2E6" w14:textId="25877D72"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One of the required statements in the old ‘Investment Statements’ was “Investment decisions are very important.  They often have long-term consequences.  Read all documents carefully.  Ask questions.  Seek advice before committing yourself.”</w:t>
      </w:r>
      <w:r>
        <w:rPr>
          <w:rFonts w:ascii="Garamond" w:hAnsi="Garamond"/>
          <w:sz w:val="20"/>
          <w:szCs w:val="20"/>
        </w:rPr>
        <w:t xml:space="preserve">  There is no evidence that prospective investors did any of those things.</w:t>
      </w:r>
    </w:p>
  </w:footnote>
  <w:footnote w:id="235">
    <w:p w14:paraId="553C7F57" w14:textId="5F24E0CA"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As of 1 May 2017, there were only 1,995 with an AFA qualification in the whole of New Zealand (see </w:t>
      </w:r>
      <w:hyperlink r:id="rId216" w:history="1">
        <w:r w:rsidRPr="0071467B">
          <w:rPr>
            <w:rStyle w:val="Hyperlink"/>
            <w:rFonts w:ascii="Garamond" w:hAnsi="Garamond"/>
            <w:sz w:val="20"/>
            <w:szCs w:val="20"/>
          </w:rPr>
          <w:t>here</w:t>
        </w:r>
      </w:hyperlink>
      <w:r>
        <w:rPr>
          <w:rFonts w:ascii="Garamond" w:hAnsi="Garamond"/>
          <w:sz w:val="20"/>
          <w:szCs w:val="20"/>
        </w:rPr>
        <w:t xml:space="preserve"> for the list).</w:t>
      </w:r>
    </w:p>
  </w:footnote>
  <w:footnote w:id="236">
    <w:p w14:paraId="7C7FF7A0" w14:textId="73B46E02"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An RFA is allowed to give advice on simpler financial services such as mortgages and insurance services and so they are not relevant to retirement saving issues.</w:t>
      </w:r>
    </w:p>
  </w:footnote>
  <w:footnote w:id="237">
    <w:p w14:paraId="688FE2B8" w14:textId="7B162180"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A QFE is employed by the financial service provider and is only allowed to talk to customers about the provider’s own products.</w:t>
      </w:r>
    </w:p>
  </w:footnote>
  <w:footnote w:id="238">
    <w:p w14:paraId="776C44C0" w14:textId="5FAE0A8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The closest we were able to get on these kinds of questions was the FMA’s </w:t>
      </w:r>
      <w:r>
        <w:rPr>
          <w:rFonts w:ascii="Garamond" w:hAnsi="Garamond"/>
          <w:i/>
          <w:sz w:val="20"/>
          <w:szCs w:val="20"/>
        </w:rPr>
        <w:t xml:space="preserve">Statement of performance expectations </w:t>
      </w:r>
      <w:r w:rsidRPr="00043E1D">
        <w:rPr>
          <w:rFonts w:ascii="Garamond" w:hAnsi="Garamond"/>
          <w:i/>
          <w:sz w:val="20"/>
          <w:szCs w:val="20"/>
        </w:rPr>
        <w:t>2017-2018</w:t>
      </w:r>
      <w:r>
        <w:rPr>
          <w:rFonts w:ascii="Garamond" w:hAnsi="Garamond"/>
          <w:i/>
          <w:sz w:val="20"/>
          <w:szCs w:val="20"/>
        </w:rPr>
        <w:t xml:space="preserve"> </w:t>
      </w:r>
      <w:r>
        <w:rPr>
          <w:rFonts w:ascii="Garamond" w:hAnsi="Garamond"/>
          <w:sz w:val="20"/>
          <w:szCs w:val="20"/>
        </w:rPr>
        <w:t xml:space="preserve">(accessible </w:t>
      </w:r>
      <w:hyperlink r:id="rId217" w:history="1">
        <w:r w:rsidRPr="0075332D">
          <w:rPr>
            <w:rStyle w:val="Hyperlink"/>
            <w:rFonts w:ascii="Garamond" w:hAnsi="Garamond"/>
            <w:sz w:val="20"/>
            <w:szCs w:val="20"/>
          </w:rPr>
          <w:t>here</w:t>
        </w:r>
      </w:hyperlink>
      <w:r>
        <w:rPr>
          <w:rFonts w:ascii="Garamond" w:hAnsi="Garamond"/>
          <w:sz w:val="20"/>
          <w:szCs w:val="20"/>
        </w:rPr>
        <w:t xml:space="preserve">).  The FMA cited survey results that 63% investors of all kinds (not just managed funds) were “confident in the quality of regulation of New Zealand’s financial markets.” (at page 6).  That was up from 46% in 2014/15 (see </w:t>
      </w:r>
      <w:hyperlink r:id="rId218" w:history="1">
        <w:r w:rsidRPr="009268F5">
          <w:rPr>
            <w:rStyle w:val="Hyperlink"/>
            <w:rFonts w:ascii="Garamond" w:hAnsi="Garamond"/>
            <w:sz w:val="20"/>
            <w:szCs w:val="20"/>
          </w:rPr>
          <w:t>here</w:t>
        </w:r>
      </w:hyperlink>
      <w:r>
        <w:rPr>
          <w:rFonts w:ascii="Garamond" w:hAnsi="Garamond"/>
          <w:sz w:val="20"/>
          <w:szCs w:val="20"/>
        </w:rPr>
        <w:t xml:space="preserve"> at page 3).  That doesn’t come close to what we think is needed.  There were, however, eight pages devoted in the </w:t>
      </w:r>
      <w:r>
        <w:rPr>
          <w:rFonts w:ascii="Garamond" w:hAnsi="Garamond"/>
          <w:i/>
          <w:sz w:val="20"/>
          <w:szCs w:val="20"/>
        </w:rPr>
        <w:t xml:space="preserve">Statement of performance expectations </w:t>
      </w:r>
      <w:r>
        <w:rPr>
          <w:rFonts w:ascii="Garamond" w:hAnsi="Garamond"/>
          <w:sz w:val="20"/>
          <w:szCs w:val="20"/>
        </w:rPr>
        <w:t>to the FMA’s own ‘Forecast financial statements’.</w:t>
      </w:r>
    </w:p>
  </w:footnote>
  <w:footnote w:id="239">
    <w:p w14:paraId="09D13656" w14:textId="5D583730"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FMA’s </w:t>
      </w:r>
      <w:r>
        <w:rPr>
          <w:rFonts w:ascii="Garamond" w:hAnsi="Garamond"/>
          <w:i/>
          <w:sz w:val="20"/>
          <w:szCs w:val="20"/>
        </w:rPr>
        <w:t>Guide</w:t>
      </w:r>
      <w:r w:rsidRPr="00043E1D">
        <w:rPr>
          <w:rFonts w:ascii="Garamond" w:hAnsi="Garamond"/>
          <w:sz w:val="20"/>
          <w:szCs w:val="20"/>
        </w:rPr>
        <w:t xml:space="preserve"> is accessible </w:t>
      </w:r>
      <w:hyperlink r:id="rId219" w:history="1">
        <w:r w:rsidRPr="00043E1D">
          <w:rPr>
            <w:rStyle w:val="Hyperlink"/>
            <w:rFonts w:ascii="Garamond" w:hAnsi="Garamond"/>
            <w:sz w:val="20"/>
            <w:szCs w:val="20"/>
          </w:rPr>
          <w:t>here</w:t>
        </w:r>
      </w:hyperlink>
      <w:r w:rsidRPr="00043E1D">
        <w:rPr>
          <w:rFonts w:ascii="Garamond" w:hAnsi="Garamond"/>
          <w:sz w:val="20"/>
          <w:szCs w:val="20"/>
        </w:rPr>
        <w:t>.</w:t>
      </w:r>
    </w:p>
  </w:footnote>
  <w:footnote w:id="240">
    <w:p w14:paraId="43CFE73A" w14:textId="1992739D" w:rsidR="00CD6F06" w:rsidRPr="00701CA1" w:rsidRDefault="00CD6F06" w:rsidP="00701CA1">
      <w:pPr>
        <w:pStyle w:val="FootnoteText"/>
        <w:jc w:val="both"/>
        <w:rPr>
          <w:rFonts w:ascii="Garamond" w:hAnsi="Garamond"/>
          <w:i/>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The only case that comes close to such a scheme was the occupational scheme</w:t>
      </w:r>
      <w:r>
        <w:rPr>
          <w:rFonts w:ascii="Garamond" w:hAnsi="Garamond"/>
          <w:sz w:val="20"/>
          <w:szCs w:val="20"/>
        </w:rPr>
        <w:t>s</w:t>
      </w:r>
      <w:r w:rsidRPr="00701CA1">
        <w:rPr>
          <w:rFonts w:ascii="Garamond" w:hAnsi="Garamond"/>
          <w:sz w:val="20"/>
          <w:szCs w:val="20"/>
        </w:rPr>
        <w:t xml:space="preserve"> sponsored by Fortex Group Limited </w:t>
      </w:r>
      <w:r>
        <w:rPr>
          <w:rFonts w:ascii="Garamond" w:hAnsi="Garamond"/>
          <w:sz w:val="20"/>
          <w:szCs w:val="20"/>
        </w:rPr>
        <w:t xml:space="preserve">but this involved short-paid contributions to the schemes (both those deducted from employees’ pay and the employer’s own contributions)when receivership intervened (decisions analysed in </w:t>
      </w:r>
      <w:r>
        <w:rPr>
          <w:rFonts w:ascii="Garamond" w:hAnsi="Garamond"/>
          <w:i/>
          <w:sz w:val="20"/>
          <w:szCs w:val="20"/>
        </w:rPr>
        <w:t>6 Waikato Law Review 127</w:t>
      </w:r>
      <w:r w:rsidRPr="00701CA1">
        <w:rPr>
          <w:rFonts w:ascii="Garamond" w:hAnsi="Garamond"/>
          <w:sz w:val="20"/>
          <w:szCs w:val="20"/>
        </w:rPr>
        <w:t xml:space="preserve">, </w:t>
      </w:r>
      <w:r w:rsidRPr="001B1B68">
        <w:rPr>
          <w:rFonts w:ascii="Garamond" w:hAnsi="Garamond"/>
          <w:sz w:val="20"/>
          <w:szCs w:val="20"/>
        </w:rPr>
        <w:t xml:space="preserve">accessible </w:t>
      </w:r>
      <w:hyperlink r:id="rId220" w:history="1">
        <w:r w:rsidRPr="00891E0F">
          <w:rPr>
            <w:rStyle w:val="Hyperlink"/>
            <w:sz w:val="20"/>
            <w:szCs w:val="20"/>
          </w:rPr>
          <w:t>here</w:t>
        </w:r>
      </w:hyperlink>
      <w:r w:rsidRPr="001B1B68">
        <w:rPr>
          <w:rFonts w:ascii="Garamond" w:hAnsi="Garamond"/>
          <w:sz w:val="20"/>
          <w:szCs w:val="20"/>
        </w:rPr>
        <w:t>).  That was more a matter of employment law (unpaid remuneration) than trust law.  There was no</w:t>
      </w:r>
      <w:r>
        <w:rPr>
          <w:rFonts w:ascii="Garamond" w:hAnsi="Garamond"/>
          <w:sz w:val="20"/>
          <w:szCs w:val="20"/>
        </w:rPr>
        <w:t xml:space="preserve"> difficulty with respect to the assets that were already in the schemes.</w:t>
      </w:r>
    </w:p>
  </w:footnote>
  <w:footnote w:id="241">
    <w:p w14:paraId="5E64ECFE" w14:textId="32307CD4" w:rsidR="00CD6F06" w:rsidRPr="00891E0F" w:rsidRDefault="00CD6F06" w:rsidP="00891E0F">
      <w:pPr>
        <w:pStyle w:val="FootnoteText"/>
        <w:jc w:val="both"/>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w:t>
      </w:r>
      <w:r w:rsidRPr="001B1B68">
        <w:rPr>
          <w:rFonts w:ascii="Garamond" w:hAnsi="Garamond"/>
          <w:sz w:val="20"/>
          <w:szCs w:val="20"/>
        </w:rPr>
        <w:t>Royal Commission into Misconduct in the Banking, Superannuation and Financial Services Industry</w:t>
      </w:r>
      <w:r>
        <w:rPr>
          <w:rFonts w:ascii="Garamond" w:hAnsi="Garamond"/>
          <w:sz w:val="20"/>
          <w:szCs w:val="20"/>
        </w:rPr>
        <w:t xml:space="preserve">, February 2019, </w:t>
      </w:r>
      <w:r>
        <w:rPr>
          <w:rFonts w:ascii="Garamond" w:hAnsi="Garamond"/>
          <w:i/>
          <w:sz w:val="20"/>
          <w:szCs w:val="20"/>
        </w:rPr>
        <w:t>Final Report</w:t>
      </w:r>
      <w:r>
        <w:rPr>
          <w:rFonts w:ascii="Garamond" w:hAnsi="Garamond"/>
          <w:sz w:val="20"/>
          <w:szCs w:val="20"/>
        </w:rPr>
        <w:t xml:space="preserve">, accessible </w:t>
      </w:r>
      <w:hyperlink r:id="rId221" w:history="1">
        <w:r w:rsidRPr="001B1B68">
          <w:rPr>
            <w:rStyle w:val="Hyperlink"/>
            <w:rFonts w:ascii="Garamond" w:hAnsi="Garamond"/>
            <w:sz w:val="20"/>
            <w:szCs w:val="20"/>
          </w:rPr>
          <w:t>here</w:t>
        </w:r>
      </w:hyperlink>
      <w:r>
        <w:rPr>
          <w:rFonts w:ascii="Garamond" w:hAnsi="Garamond"/>
          <w:sz w:val="20"/>
          <w:szCs w:val="20"/>
        </w:rPr>
        <w:t>.</w:t>
      </w:r>
    </w:p>
  </w:footnote>
  <w:footnote w:id="242">
    <w:p w14:paraId="0B26C66A" w14:textId="3C4FD6A5" w:rsidR="00CD6F06" w:rsidRPr="008D1097" w:rsidRDefault="00CD6F06">
      <w:pPr>
        <w:pStyle w:val="FootnoteText"/>
        <w:jc w:val="both"/>
        <w:rPr>
          <w:rFonts w:ascii="Garamond" w:hAnsi="Garamond"/>
          <w:sz w:val="20"/>
          <w:szCs w:val="20"/>
          <w:lang w:val="en-US"/>
        </w:rPr>
      </w:pPr>
      <w:r w:rsidRPr="008D1097">
        <w:rPr>
          <w:rStyle w:val="FootnoteReference"/>
          <w:rFonts w:ascii="Garamond" w:hAnsi="Garamond"/>
          <w:sz w:val="20"/>
          <w:szCs w:val="20"/>
        </w:rPr>
        <w:footnoteRef/>
      </w:r>
      <w:r w:rsidRPr="008D1097">
        <w:rPr>
          <w:rFonts w:ascii="Garamond" w:hAnsi="Garamond"/>
          <w:sz w:val="20"/>
          <w:szCs w:val="20"/>
        </w:rPr>
        <w:t xml:space="preserve"> </w:t>
      </w:r>
      <w:r>
        <w:rPr>
          <w:rFonts w:ascii="Garamond" w:hAnsi="Garamond"/>
          <w:sz w:val="20"/>
          <w:szCs w:val="20"/>
        </w:rPr>
        <w:t>After a two-year period of regulatory confusion created by the introduction of the compulsory ‘New Zealand Superannuation Scheme’ and associated ‘approved alternative schemes’ under the New Zealand Superannuation Act 1974.</w:t>
      </w:r>
    </w:p>
  </w:footnote>
  <w:footnote w:id="243">
    <w:p w14:paraId="56AC064A" w14:textId="4FF6E417" w:rsidR="00CD6F06" w:rsidRPr="008D1097" w:rsidRDefault="00CD6F06" w:rsidP="00701CA1">
      <w:pPr>
        <w:pStyle w:val="FootnoteText"/>
        <w:jc w:val="both"/>
        <w:rPr>
          <w:rFonts w:ascii="Garamond" w:hAnsi="Garamond"/>
          <w:sz w:val="20"/>
          <w:szCs w:val="20"/>
          <w:lang w:val="en-US"/>
        </w:rPr>
      </w:pPr>
      <w:r w:rsidRPr="008D1097">
        <w:rPr>
          <w:rStyle w:val="FootnoteReference"/>
          <w:rFonts w:ascii="Garamond" w:hAnsi="Garamond"/>
          <w:sz w:val="20"/>
          <w:szCs w:val="20"/>
        </w:rPr>
        <w:footnoteRef/>
      </w:r>
      <w:r w:rsidRPr="008D1097">
        <w:rPr>
          <w:rFonts w:ascii="Garamond" w:hAnsi="Garamond"/>
          <w:sz w:val="20"/>
          <w:szCs w:val="20"/>
        </w:rPr>
        <w:t xml:space="preserve"> </w:t>
      </w:r>
      <w:r>
        <w:rPr>
          <w:rFonts w:ascii="Garamond" w:hAnsi="Garamond"/>
          <w:sz w:val="20"/>
          <w:szCs w:val="20"/>
        </w:rPr>
        <w:t>‘Trustees’ are still possible for ‘restricted schemes’.</w:t>
      </w:r>
    </w:p>
  </w:footnote>
  <w:footnote w:id="244">
    <w:p w14:paraId="1733E6CF" w14:textId="2750DE07" w:rsidR="00CD6F06" w:rsidRPr="00043E1D" w:rsidRDefault="00CD6F06" w:rsidP="00701CA1">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i/>
          <w:sz w:val="20"/>
          <w:szCs w:val="20"/>
        </w:rPr>
        <w:t>Consultation paper: KiwiSaver annual statements – calculation of total fees in dollars</w:t>
      </w:r>
      <w:r>
        <w:rPr>
          <w:rFonts w:ascii="Garamond" w:hAnsi="Garamond"/>
          <w:sz w:val="20"/>
          <w:szCs w:val="20"/>
        </w:rPr>
        <w:t xml:space="preserve"> (June 2017) accessible </w:t>
      </w:r>
      <w:hyperlink r:id="rId222" w:history="1">
        <w:r w:rsidRPr="00D7664A">
          <w:rPr>
            <w:rStyle w:val="Hyperlink"/>
            <w:rFonts w:ascii="Garamond" w:hAnsi="Garamond"/>
            <w:sz w:val="20"/>
            <w:szCs w:val="20"/>
          </w:rPr>
          <w:t>here</w:t>
        </w:r>
      </w:hyperlink>
      <w:r>
        <w:rPr>
          <w:rFonts w:ascii="Garamond" w:hAnsi="Garamond"/>
          <w:sz w:val="20"/>
          <w:szCs w:val="20"/>
        </w:rPr>
        <w:t>.</w:t>
      </w:r>
    </w:p>
  </w:footnote>
  <w:footnote w:id="245">
    <w:p w14:paraId="6294692D" w14:textId="5631C22D"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 xml:space="preserve">Annual Report </w:t>
      </w:r>
      <w:r w:rsidRPr="00043E1D">
        <w:rPr>
          <w:rFonts w:ascii="Garamond" w:hAnsi="Garamond"/>
          <w:sz w:val="20"/>
          <w:szCs w:val="20"/>
        </w:rPr>
        <w:t xml:space="preserve">(2012), Financial Markets Authority (accessible </w:t>
      </w:r>
      <w:hyperlink r:id="rId223" w:history="1">
        <w:r w:rsidRPr="00043E1D">
          <w:rPr>
            <w:rStyle w:val="Hyperlink"/>
            <w:rFonts w:ascii="Garamond" w:hAnsi="Garamond"/>
            <w:sz w:val="20"/>
            <w:szCs w:val="20"/>
          </w:rPr>
          <w:t>here</w:t>
        </w:r>
      </w:hyperlink>
      <w:r w:rsidRPr="00043E1D">
        <w:rPr>
          <w:rFonts w:ascii="Garamond" w:hAnsi="Garamond"/>
          <w:sz w:val="20"/>
          <w:szCs w:val="20"/>
        </w:rPr>
        <w:t>) at page 3.</w:t>
      </w:r>
    </w:p>
  </w:footnote>
  <w:footnote w:id="246">
    <w:p w14:paraId="12C0126D" w14:textId="24D07D33" w:rsidR="00CD6F06" w:rsidRPr="00043E1D" w:rsidRDefault="00CD6F06" w:rsidP="00701CA1">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Expenditure details extracted from the FMA’s </w:t>
      </w:r>
      <w:r>
        <w:rPr>
          <w:rFonts w:ascii="Garamond" w:hAnsi="Garamond"/>
          <w:i/>
          <w:sz w:val="20"/>
          <w:szCs w:val="20"/>
        </w:rPr>
        <w:t>Annual reports</w:t>
      </w:r>
      <w:r>
        <w:rPr>
          <w:rFonts w:ascii="Garamond" w:hAnsi="Garamond"/>
          <w:sz w:val="20"/>
          <w:szCs w:val="20"/>
        </w:rPr>
        <w:t xml:space="preserve">, posted </w:t>
      </w:r>
      <w:hyperlink r:id="rId224" w:history="1">
        <w:r w:rsidRPr="00291309">
          <w:rPr>
            <w:rStyle w:val="Hyperlink"/>
            <w:rFonts w:ascii="Garamond" w:hAnsi="Garamond"/>
            <w:sz w:val="20"/>
            <w:szCs w:val="20"/>
          </w:rPr>
          <w:t>here</w:t>
        </w:r>
      </w:hyperlink>
      <w:r>
        <w:rPr>
          <w:rFonts w:ascii="Garamond" w:hAnsi="Garamond"/>
          <w:sz w:val="20"/>
          <w:szCs w:val="20"/>
        </w:rPr>
        <w:t>.</w:t>
      </w:r>
    </w:p>
  </w:footnote>
  <w:footnote w:id="247">
    <w:p w14:paraId="34F7636F" w14:textId="324C45A3"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Running a longitudinal survey is expensive and there is a natural temptation to add different modules to reduce costs per survey.  </w:t>
      </w:r>
      <w:r w:rsidRPr="00043E1D">
        <w:rPr>
          <w:rFonts w:ascii="Garamond" w:hAnsi="Garamond"/>
          <w:sz w:val="20"/>
          <w:szCs w:val="20"/>
          <w:lang w:val="en-US"/>
        </w:rPr>
        <w:t>Though that may be tempting, we think it should be avoided in the case of a household financial survey.  It did not work for SoFIE.</w:t>
      </w:r>
    </w:p>
  </w:footnote>
  <w:footnote w:id="248">
    <w:p w14:paraId="78274BD6" w14:textId="794FF0D4"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a different field, the Dunedin Multi-Disciplinary Health and Development Study (see </w:t>
      </w:r>
      <w:hyperlink r:id="rId225" w:history="1">
        <w:r w:rsidRPr="00043E1D">
          <w:rPr>
            <w:rStyle w:val="Hyperlink"/>
            <w:rFonts w:ascii="Garamond" w:hAnsi="Garamond"/>
            <w:sz w:val="20"/>
            <w:szCs w:val="20"/>
          </w:rPr>
          <w:t>here</w:t>
        </w:r>
      </w:hyperlink>
      <w:r w:rsidRPr="00043E1D">
        <w:rPr>
          <w:rFonts w:ascii="Garamond" w:hAnsi="Garamond"/>
          <w:sz w:val="20"/>
          <w:szCs w:val="20"/>
        </w:rPr>
        <w:t xml:space="preserve">) has produced outstanding results on a whole range of health and social issues.  It started almost informally with a study of 1,000 children born in 1972-3 in Dunedin and has become a world-recognised source of data.  We envisage similar possibilities for a proper study of </w:t>
      </w:r>
      <w:r>
        <w:rPr>
          <w:rFonts w:ascii="Garamond" w:hAnsi="Garamond"/>
          <w:sz w:val="20"/>
          <w:szCs w:val="20"/>
        </w:rPr>
        <w:t xml:space="preserve">New Zealand </w:t>
      </w:r>
      <w:r w:rsidRPr="00043E1D">
        <w:rPr>
          <w:rFonts w:ascii="Garamond" w:hAnsi="Garamond"/>
          <w:sz w:val="20"/>
          <w:szCs w:val="20"/>
        </w:rPr>
        <w:t>households’ financial lives.</w:t>
      </w:r>
    </w:p>
  </w:footnote>
  <w:footnote w:id="249">
    <w:p w14:paraId="545B9ECD" w14:textId="02D93B61" w:rsidR="00CD6F06" w:rsidRPr="00891E0F" w:rsidRDefault="00CD6F06" w:rsidP="00891E0F">
      <w:pPr>
        <w:pStyle w:val="FootnoteText"/>
        <w:jc w:val="both"/>
        <w:rPr>
          <w:rFonts w:ascii="Garamond" w:hAnsi="Garamond"/>
          <w:sz w:val="20"/>
          <w:szCs w:val="20"/>
          <w:lang w:val="en-US"/>
        </w:rPr>
      </w:pPr>
      <w:r w:rsidRPr="00891E0F">
        <w:rPr>
          <w:rStyle w:val="FootnoteReference"/>
          <w:rFonts w:ascii="Garamond" w:hAnsi="Garamond"/>
          <w:sz w:val="20"/>
          <w:szCs w:val="20"/>
        </w:rPr>
        <w:footnoteRef/>
      </w:r>
      <w:r w:rsidRPr="00891E0F">
        <w:rPr>
          <w:rFonts w:ascii="Garamond" w:hAnsi="Garamond"/>
          <w:sz w:val="20"/>
          <w:szCs w:val="20"/>
        </w:rPr>
        <w:t xml:space="preserve"> A recent</w:t>
      </w:r>
      <w:r w:rsidRPr="001B1B68">
        <w:rPr>
          <w:rFonts w:ascii="Garamond" w:hAnsi="Garamond"/>
          <w:sz w:val="20"/>
          <w:szCs w:val="20"/>
        </w:rPr>
        <w:t xml:space="preserve"> example of an industry-led, self-serving survey is </w:t>
      </w:r>
      <w:r w:rsidRPr="001B1B68">
        <w:rPr>
          <w:rFonts w:ascii="Garamond" w:hAnsi="Garamond"/>
          <w:i/>
          <w:sz w:val="20"/>
          <w:szCs w:val="20"/>
        </w:rPr>
        <w:t>Shaping Futures – Closing the KiwiSaver Gap</w:t>
      </w:r>
      <w:r w:rsidRPr="001B1B68">
        <w:rPr>
          <w:rFonts w:ascii="Garamond" w:hAnsi="Garamond"/>
          <w:sz w:val="20"/>
          <w:szCs w:val="20"/>
        </w:rPr>
        <w:t>, Financial Services Council</w:t>
      </w:r>
      <w:r w:rsidRPr="00891E0F">
        <w:rPr>
          <w:rFonts w:ascii="Garamond" w:hAnsi="Garamond"/>
          <w:sz w:val="20"/>
          <w:szCs w:val="20"/>
        </w:rPr>
        <w:t>,</w:t>
      </w:r>
      <w:r w:rsidRPr="001B1B68">
        <w:rPr>
          <w:rFonts w:ascii="Garamond" w:hAnsi="Garamond"/>
          <w:sz w:val="20"/>
          <w:szCs w:val="20"/>
        </w:rPr>
        <w:t xml:space="preserve"> 2019 accessible </w:t>
      </w:r>
      <w:hyperlink r:id="rId226" w:history="1">
        <w:r w:rsidRPr="001B1B68">
          <w:rPr>
            <w:rStyle w:val="Hyperlink"/>
            <w:rFonts w:ascii="Garamond" w:hAnsi="Garamond"/>
            <w:sz w:val="20"/>
            <w:szCs w:val="20"/>
          </w:rPr>
          <w:t>here</w:t>
        </w:r>
      </w:hyperlink>
      <w:r w:rsidRPr="001B1B68">
        <w:rPr>
          <w:rFonts w:ascii="Garamond" w:hAnsi="Garamond"/>
          <w:sz w:val="20"/>
          <w:szCs w:val="20"/>
        </w:rPr>
        <w:t xml:space="preserve">.  It recommended higher contributions, a “forward-thinking superannuation strategy”, more “choice of the type of fund” and further tax breaks and better information about expected future balances.  All this is based on asking </w:t>
      </w:r>
      <w:r w:rsidRPr="00891E0F">
        <w:rPr>
          <w:rFonts w:ascii="Garamond" w:hAnsi="Garamond"/>
          <w:sz w:val="20"/>
          <w:szCs w:val="20"/>
        </w:rPr>
        <w:t xml:space="preserve">2,199 </w:t>
      </w:r>
      <w:r w:rsidRPr="001B1B68">
        <w:rPr>
          <w:rFonts w:ascii="Garamond" w:hAnsi="Garamond"/>
          <w:sz w:val="20"/>
          <w:szCs w:val="20"/>
        </w:rPr>
        <w:t>New Zealanders what they think about KiwiSaver.</w:t>
      </w:r>
    </w:p>
  </w:footnote>
  <w:footnote w:id="250">
    <w:p w14:paraId="3D906E6E" w14:textId="128F5A95"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Tier 2 Retirement Savings: Employers’ and Employees’ Attitudes and Practices</w:t>
      </w:r>
      <w:r w:rsidRPr="00043E1D">
        <w:rPr>
          <w:rFonts w:ascii="Garamond" w:hAnsi="Garamond"/>
          <w:sz w:val="20"/>
          <w:szCs w:val="20"/>
        </w:rPr>
        <w:t xml:space="preserve">, 2003 ESR Consortium accessible </w:t>
      </w:r>
      <w:hyperlink r:id="rId227" w:history="1">
        <w:r w:rsidRPr="00043E1D">
          <w:rPr>
            <w:rStyle w:val="Hyperlink"/>
            <w:rFonts w:ascii="Garamond" w:hAnsi="Garamond"/>
            <w:sz w:val="20"/>
            <w:szCs w:val="20"/>
          </w:rPr>
          <w:t>here</w:t>
        </w:r>
      </w:hyperlink>
      <w:r w:rsidRPr="00043E1D">
        <w:rPr>
          <w:rFonts w:ascii="Garamond" w:hAnsi="Garamond"/>
          <w:sz w:val="20"/>
          <w:szCs w:val="20"/>
        </w:rPr>
        <w:t>.  We were two of the three authors of that report.</w:t>
      </w:r>
    </w:p>
  </w:footnote>
  <w:footnote w:id="251">
    <w:p w14:paraId="62578BC8" w14:textId="7F37A0A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41203F">
        <w:rPr>
          <w:rFonts w:ascii="Garamond" w:hAnsi="Garamond"/>
          <w:sz w:val="20"/>
          <w:szCs w:val="20"/>
          <w:lang w:val="en-US"/>
        </w:rPr>
        <w:t>2016 Review</w:t>
      </w:r>
      <w:r w:rsidRPr="00043E1D">
        <w:rPr>
          <w:rFonts w:ascii="Garamond" w:hAnsi="Garamond"/>
          <w:i/>
          <w:sz w:val="20"/>
          <w:szCs w:val="20"/>
          <w:lang w:val="en-US"/>
        </w:rPr>
        <w:t xml:space="preserve"> </w:t>
      </w:r>
      <w:r w:rsidRPr="00043E1D">
        <w:rPr>
          <w:rFonts w:ascii="Garamond" w:hAnsi="Garamond"/>
          <w:sz w:val="20"/>
          <w:szCs w:val="20"/>
          <w:lang w:val="en-US"/>
        </w:rPr>
        <w:t xml:space="preserve">accessible </w:t>
      </w:r>
      <w:hyperlink r:id="rId228" w:history="1">
        <w:r w:rsidRPr="00043E1D">
          <w:rPr>
            <w:rStyle w:val="Hyperlink"/>
            <w:rFonts w:ascii="Garamond" w:hAnsi="Garamond"/>
            <w:sz w:val="20"/>
            <w:szCs w:val="20"/>
            <w:lang w:val="en-US"/>
          </w:rPr>
          <w:t>here</w:t>
        </w:r>
      </w:hyperlink>
      <w:r w:rsidRPr="00043E1D">
        <w:rPr>
          <w:rFonts w:ascii="Garamond" w:hAnsi="Garamond"/>
          <w:sz w:val="20"/>
          <w:szCs w:val="20"/>
          <w:lang w:val="en-US"/>
        </w:rPr>
        <w:t xml:space="preserve"> at page 17.  No source for this was directly quoted in the report so we do not know how the profile of employers compares with the 2003 largest 100 employers already quoted.</w:t>
      </w:r>
    </w:p>
  </w:footnote>
  <w:footnote w:id="252">
    <w:p w14:paraId="50728EEB" w14:textId="085AF7C1" w:rsidR="00CD6F06" w:rsidRPr="00043E1D" w:rsidRDefault="00CD6F06">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Financial Literacy and Retirement Planning: New Evidence from the Rand American Life</w:t>
      </w:r>
      <w:r w:rsidRPr="00043E1D">
        <w:rPr>
          <w:rFonts w:ascii="Garamond" w:hAnsi="Garamond"/>
          <w:sz w:val="20"/>
          <w:szCs w:val="20"/>
        </w:rPr>
        <w:t xml:space="preserve">, Olivia Mitchell (2007) accessible </w:t>
      </w:r>
      <w:hyperlink r:id="rId229" w:history="1">
        <w:r w:rsidRPr="00043E1D">
          <w:rPr>
            <w:rStyle w:val="Hyperlink"/>
            <w:rFonts w:ascii="Garamond" w:hAnsi="Garamond"/>
            <w:sz w:val="20"/>
            <w:szCs w:val="20"/>
          </w:rPr>
          <w:t>here</w:t>
        </w:r>
      </w:hyperlink>
      <w:r w:rsidRPr="00043E1D">
        <w:rPr>
          <w:rFonts w:ascii="Garamond" w:hAnsi="Garamond"/>
          <w:sz w:val="20"/>
          <w:szCs w:val="20"/>
        </w:rPr>
        <w:t>.</w:t>
      </w:r>
    </w:p>
  </w:footnote>
  <w:footnote w:id="253">
    <w:p w14:paraId="0E35EECD" w14:textId="50C43297" w:rsidR="00CD6F06" w:rsidRPr="00701CA1" w:rsidRDefault="00CD6F06" w:rsidP="00701CA1">
      <w:pPr>
        <w:jc w:val="both"/>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See (1)</w:t>
      </w:r>
      <w:r w:rsidRPr="00701CA1">
        <w:rPr>
          <w:rFonts w:ascii="Garamond" w:hAnsi="Garamond"/>
          <w:i/>
          <w:sz w:val="20"/>
          <w:szCs w:val="20"/>
        </w:rPr>
        <w:t xml:space="preserve"> </w:t>
      </w:r>
      <w:r w:rsidRPr="00701CA1">
        <w:rPr>
          <w:rFonts w:ascii="Garamond" w:hAnsi="Garamond"/>
          <w:i/>
          <w:color w:val="333333"/>
          <w:sz w:val="20"/>
          <w:szCs w:val="20"/>
          <w:shd w:val="clear" w:color="auto" w:fill="FFFFFF"/>
        </w:rPr>
        <w:t>High School Curriculum and Financial Outcomes- The Impact of Mandated Personal Finance and Mathematics Courses</w:t>
      </w:r>
      <w:r>
        <w:rPr>
          <w:rFonts w:ascii="Garamond" w:hAnsi="Garamond"/>
          <w:color w:val="333333"/>
          <w:sz w:val="20"/>
          <w:szCs w:val="20"/>
          <w:shd w:val="clear" w:color="auto" w:fill="FFFFFF"/>
        </w:rPr>
        <w:t xml:space="preserve">, Pouslon, Shastry and Cole (2014) accessible </w:t>
      </w:r>
      <w:hyperlink r:id="rId230" w:history="1">
        <w:r w:rsidRPr="00921B7B">
          <w:rPr>
            <w:rStyle w:val="Hyperlink"/>
            <w:rFonts w:ascii="Garamond" w:hAnsi="Garamond"/>
            <w:sz w:val="20"/>
            <w:szCs w:val="20"/>
            <w:shd w:val="clear" w:color="auto" w:fill="FFFFFF"/>
          </w:rPr>
          <w:t>here</w:t>
        </w:r>
      </w:hyperlink>
      <w:r>
        <w:rPr>
          <w:rFonts w:ascii="Garamond" w:hAnsi="Garamond"/>
          <w:color w:val="333333"/>
          <w:sz w:val="20"/>
          <w:szCs w:val="20"/>
          <w:shd w:val="clear" w:color="auto" w:fill="FFFFFF"/>
        </w:rPr>
        <w:t>; (2)</w:t>
      </w:r>
      <w:r w:rsidRPr="00701CA1">
        <w:rPr>
          <w:rFonts w:ascii="Garamond" w:hAnsi="Garamond"/>
          <w:i/>
          <w:color w:val="333333"/>
          <w:sz w:val="20"/>
          <w:szCs w:val="20"/>
          <w:shd w:val="clear" w:color="auto" w:fill="FFFFFF"/>
        </w:rPr>
        <w:t xml:space="preserve"> Financial Literacy, Financial Education and Downstream Financial Behaviors</w:t>
      </w:r>
      <w:r>
        <w:rPr>
          <w:rFonts w:ascii="Garamond" w:hAnsi="Garamond"/>
          <w:color w:val="333333"/>
          <w:sz w:val="20"/>
          <w:szCs w:val="20"/>
          <w:shd w:val="clear" w:color="auto" w:fill="FFFFFF"/>
        </w:rPr>
        <w:t xml:space="preserve">, Fernandes, Lynch and Netemeyer (2013) accessible </w:t>
      </w:r>
      <w:hyperlink r:id="rId231" w:history="1">
        <w:r w:rsidRPr="00611DCB">
          <w:rPr>
            <w:rStyle w:val="Hyperlink"/>
            <w:rFonts w:ascii="Garamond" w:hAnsi="Garamond"/>
            <w:sz w:val="20"/>
            <w:szCs w:val="20"/>
            <w:shd w:val="clear" w:color="auto" w:fill="FFFFFF"/>
          </w:rPr>
          <w:t>here</w:t>
        </w:r>
      </w:hyperlink>
      <w:r>
        <w:rPr>
          <w:rFonts w:ascii="Garamond" w:hAnsi="Garamond"/>
          <w:color w:val="333333"/>
          <w:sz w:val="20"/>
          <w:szCs w:val="20"/>
          <w:shd w:val="clear" w:color="auto" w:fill="FFFFFF"/>
        </w:rPr>
        <w:t>.</w:t>
      </w:r>
    </w:p>
  </w:footnote>
  <w:footnote w:id="254">
    <w:p w14:paraId="6270A8E4" w14:textId="174C653C"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Financial Literacy and Economic Outcomes</w:t>
      </w:r>
      <w:r w:rsidRPr="00043E1D">
        <w:rPr>
          <w:rFonts w:ascii="Garamond" w:hAnsi="Garamond"/>
          <w:sz w:val="20"/>
          <w:szCs w:val="20"/>
        </w:rPr>
        <w:t xml:space="preserve">, Olivia Mitchell and Annamaria Lusardi (2015), accessible </w:t>
      </w:r>
      <w:hyperlink r:id="rId232" w:anchor="S3title" w:history="1">
        <w:r w:rsidRPr="00043E1D">
          <w:rPr>
            <w:rStyle w:val="Hyperlink"/>
            <w:rFonts w:ascii="Garamond" w:hAnsi="Garamond"/>
            <w:sz w:val="20"/>
            <w:szCs w:val="20"/>
          </w:rPr>
          <w:t>here</w:t>
        </w:r>
      </w:hyperlink>
      <w:r w:rsidRPr="00043E1D">
        <w:rPr>
          <w:rFonts w:ascii="Garamond" w:hAnsi="Garamond"/>
          <w:sz w:val="20"/>
          <w:szCs w:val="20"/>
        </w:rPr>
        <w:t>.</w:t>
      </w:r>
    </w:p>
  </w:footnote>
  <w:footnote w:id="255">
    <w:p w14:paraId="7B63FFB4" w14:textId="41D370B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OECD Economic Surveys – New Zealand</w:t>
      </w:r>
      <w:r w:rsidRPr="00043E1D">
        <w:rPr>
          <w:rFonts w:ascii="Garamond" w:hAnsi="Garamond"/>
          <w:sz w:val="20"/>
          <w:szCs w:val="20"/>
        </w:rPr>
        <w:t xml:space="preserve"> (2017) accessible </w:t>
      </w:r>
      <w:hyperlink r:id="rId233" w:anchor=".WUH1shOGOL8" w:history="1">
        <w:r w:rsidRPr="00043E1D">
          <w:rPr>
            <w:rStyle w:val="Hyperlink"/>
            <w:rFonts w:ascii="Garamond" w:hAnsi="Garamond"/>
            <w:sz w:val="20"/>
            <w:szCs w:val="20"/>
          </w:rPr>
          <w:t>here</w:t>
        </w:r>
      </w:hyperlink>
      <w:r w:rsidRPr="00043E1D">
        <w:rPr>
          <w:rFonts w:ascii="Garamond" w:hAnsi="Garamond"/>
          <w:sz w:val="20"/>
          <w:szCs w:val="20"/>
        </w:rPr>
        <w:t xml:space="preserve"> at page 52.</w:t>
      </w:r>
    </w:p>
  </w:footnote>
  <w:footnote w:id="256">
    <w:p w14:paraId="52921420" w14:textId="73BB9A8C"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Financial Literacy and Retirement Preparedness: Evidence and Implications for Financial Education Programs,</w:t>
      </w:r>
      <w:r w:rsidRPr="00043E1D">
        <w:rPr>
          <w:rFonts w:ascii="Garamond" w:hAnsi="Garamond"/>
          <w:sz w:val="20"/>
          <w:szCs w:val="20"/>
        </w:rPr>
        <w:t xml:space="preserve"> Annamaria Lusardi and Olivia Mitchell, (2007), Pension Research Council – accessible </w:t>
      </w:r>
      <w:hyperlink r:id="rId234" w:history="1">
        <w:r w:rsidRPr="00043E1D">
          <w:rPr>
            <w:rStyle w:val="Hyperlink"/>
            <w:rFonts w:ascii="Garamond" w:hAnsi="Garamond"/>
            <w:sz w:val="20"/>
            <w:szCs w:val="20"/>
          </w:rPr>
          <w:t>here</w:t>
        </w:r>
      </w:hyperlink>
      <w:r w:rsidRPr="00043E1D">
        <w:rPr>
          <w:rFonts w:ascii="Garamond" w:hAnsi="Garamond"/>
          <w:sz w:val="20"/>
          <w:szCs w:val="20"/>
        </w:rPr>
        <w:t>.</w:t>
      </w:r>
    </w:p>
  </w:footnote>
  <w:footnote w:id="257">
    <w:p w14:paraId="7B56DB5B" w14:textId="70CB9D03"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Financial Literacy and Financial Sophistication in the Older Population: Evidence from the 2008 HRS</w:t>
      </w:r>
      <w:r w:rsidRPr="00043E1D">
        <w:rPr>
          <w:rFonts w:ascii="Garamond" w:hAnsi="Garamond"/>
          <w:sz w:val="20"/>
          <w:szCs w:val="20"/>
        </w:rPr>
        <w:t xml:space="preserve">, Annamaria Lusardi, Olivia Mitchell and Vilsa Curto (2009), Michigan Retirement Research Center – accessible </w:t>
      </w:r>
      <w:hyperlink r:id="rId235" w:history="1">
        <w:r w:rsidRPr="00043E1D">
          <w:rPr>
            <w:rStyle w:val="Hyperlink"/>
            <w:rFonts w:ascii="Garamond" w:hAnsi="Garamond"/>
            <w:sz w:val="20"/>
            <w:szCs w:val="20"/>
          </w:rPr>
          <w:t>here</w:t>
        </w:r>
      </w:hyperlink>
      <w:r w:rsidRPr="00043E1D">
        <w:rPr>
          <w:rFonts w:ascii="Garamond" w:hAnsi="Garamond"/>
          <w:sz w:val="20"/>
          <w:szCs w:val="20"/>
        </w:rPr>
        <w:t>.</w:t>
      </w:r>
    </w:p>
  </w:footnote>
  <w:footnote w:id="258">
    <w:p w14:paraId="523D8003" w14:textId="321A4A5A"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Annamaria Lusardi and Olivia Mitchell; </w:t>
      </w:r>
      <w:r w:rsidRPr="00043E1D">
        <w:rPr>
          <w:rFonts w:ascii="Garamond" w:hAnsi="Garamond"/>
          <w:sz w:val="20"/>
          <w:szCs w:val="20"/>
          <w:lang w:val="en-US"/>
        </w:rPr>
        <w:t xml:space="preserve">published in 2012 by the Pension Research Council and accessible </w:t>
      </w:r>
      <w:hyperlink r:id="rId236"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259">
    <w:p w14:paraId="630857A0" w14:textId="637F486A"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Part of the problem in the US (and many countries) is the numbing complexity of tax and regulatory requirements.  At one time in the US, there were literally 57 different ways that retirement savings could be affected by tax considerations.</w:t>
      </w:r>
      <w:r>
        <w:rPr>
          <w:rFonts w:ascii="Garamond" w:hAnsi="Garamond"/>
          <w:sz w:val="20"/>
          <w:szCs w:val="20"/>
        </w:rPr>
        <w:t xml:space="preserve">  The position is better, but still complex, in New Zealand – see section 17 (Income tax and  saving vehicles) for a description of the different tax treatments of different saving vehicles.</w:t>
      </w:r>
    </w:p>
  </w:footnote>
  <w:footnote w:id="260">
    <w:p w14:paraId="5094DDDB" w14:textId="612F2A2B" w:rsidR="00CD6F06" w:rsidRPr="00043E1D" w:rsidRDefault="00CD6F06">
      <w:pPr>
        <w:jc w:val="both"/>
        <w:rPr>
          <w:rFonts w:ascii="Garamond" w:hAnsi="Garamond"/>
          <w:sz w:val="20"/>
          <w:szCs w:val="20"/>
        </w:rPr>
      </w:pPr>
      <w:r w:rsidRPr="001B1B68">
        <w:rPr>
          <w:rStyle w:val="FootnoteReference"/>
          <w:rFonts w:ascii="Garamond" w:hAnsi="Garamond"/>
          <w:sz w:val="20"/>
          <w:szCs w:val="20"/>
        </w:rPr>
        <w:footnoteRef/>
      </w:r>
      <w:r w:rsidRPr="001B1B68">
        <w:rPr>
          <w:rFonts w:ascii="Garamond" w:hAnsi="Garamond"/>
          <w:sz w:val="20"/>
          <w:szCs w:val="20"/>
        </w:rPr>
        <w:t xml:space="preserve"> For example, we think it is pointless to make investor education a condition of default KiwiSaver provider appointments.  When announcing the 2014 appointments, the Minister said: “</w:t>
      </w:r>
      <w:r w:rsidRPr="001B1B68">
        <w:rPr>
          <w:rFonts w:ascii="Garamond" w:hAnsi="Garamond" w:cs="Arial"/>
          <w:color w:val="000000"/>
          <w:sz w:val="20"/>
          <w:szCs w:val="20"/>
          <w:shd w:val="clear" w:color="auto" w:fill="FFFFFF"/>
        </w:rPr>
        <w:t xml:space="preserve">As a requirement of their appointment, the KiwiSaver default providers will also offer investor education to encourage people to make this active choice [from the default investment option to something more ‘suitable]. This reflects the Government’s commitment to build on KiwiSaver’s contribution to developing a savings culture and lifting New Zealanders’ confidence in our financial sector…” Craig Foss, Minister of Commerce 28 March 2014 (accessible </w:t>
      </w:r>
      <w:hyperlink r:id="rId237" w:history="1">
        <w:r w:rsidRPr="001B1B68">
          <w:rPr>
            <w:rStyle w:val="Hyperlink"/>
            <w:rFonts w:ascii="Garamond" w:hAnsi="Garamond" w:cs="Arial"/>
            <w:sz w:val="20"/>
            <w:szCs w:val="20"/>
            <w:shd w:val="clear" w:color="auto" w:fill="FFFFFF"/>
          </w:rPr>
          <w:t>here</w:t>
        </w:r>
      </w:hyperlink>
      <w:r w:rsidRPr="001B1B68">
        <w:rPr>
          <w:rFonts w:ascii="Garamond" w:hAnsi="Garamond" w:cs="Arial"/>
          <w:color w:val="000000"/>
          <w:sz w:val="20"/>
          <w:szCs w:val="20"/>
          <w:shd w:val="clear" w:color="auto" w:fill="FFFFFF"/>
        </w:rPr>
        <w:t>).  We think providers will ‘tick’ that particular box but it will make little measurable difference though it would be nice to find that out.</w:t>
      </w:r>
    </w:p>
    <w:p w14:paraId="2DD73B2C" w14:textId="09ECEEC6" w:rsidR="00CD6F06" w:rsidRPr="00043E1D" w:rsidRDefault="00CD6F06">
      <w:pPr>
        <w:pStyle w:val="FootnoteText"/>
        <w:jc w:val="both"/>
        <w:rPr>
          <w:rFonts w:ascii="Garamond" w:hAnsi="Garamond"/>
          <w:sz w:val="20"/>
          <w:szCs w:val="20"/>
          <w:lang w:val="en-US"/>
        </w:rPr>
      </w:pPr>
    </w:p>
  </w:footnote>
  <w:footnote w:id="261">
    <w:p w14:paraId="38987C24" w14:textId="0CAFC734" w:rsidR="00CD6F06" w:rsidRPr="00701CA1" w:rsidRDefault="00CD6F06" w:rsidP="00701CA1">
      <w:pPr>
        <w:pStyle w:val="FootnoteText"/>
        <w:jc w:val="both"/>
        <w:rPr>
          <w:rFonts w:ascii="Garamond" w:hAnsi="Garamond"/>
          <w:sz w:val="20"/>
          <w:szCs w:val="20"/>
          <w:lang w:val="en-US"/>
        </w:rPr>
      </w:pPr>
      <w:r w:rsidRPr="00701CA1">
        <w:rPr>
          <w:rStyle w:val="FootnoteReference"/>
          <w:rFonts w:ascii="Garamond" w:hAnsi="Garamond"/>
          <w:sz w:val="20"/>
          <w:szCs w:val="20"/>
        </w:rPr>
        <w:footnoteRef/>
      </w:r>
      <w:r w:rsidRPr="00701CA1">
        <w:rPr>
          <w:rFonts w:ascii="Garamond" w:hAnsi="Garamond"/>
          <w:sz w:val="20"/>
          <w:szCs w:val="20"/>
        </w:rPr>
        <w:t xml:space="preserve"> </w:t>
      </w:r>
      <w:r>
        <w:rPr>
          <w:rFonts w:ascii="Garamond" w:hAnsi="Garamond"/>
          <w:sz w:val="20"/>
          <w:szCs w:val="20"/>
        </w:rPr>
        <w:t xml:space="preserve">At the time of our 2017 report </w:t>
      </w:r>
      <w:r>
        <w:rPr>
          <w:rFonts w:ascii="Garamond" w:hAnsi="Garamond"/>
          <w:i/>
          <w:sz w:val="20"/>
          <w:szCs w:val="20"/>
        </w:rPr>
        <w:t>The Missing 2016 Review</w:t>
      </w:r>
      <w:r>
        <w:rPr>
          <w:rFonts w:ascii="Garamond" w:hAnsi="Garamond"/>
          <w:sz w:val="20"/>
          <w:szCs w:val="20"/>
        </w:rPr>
        <w:t>, the press release was on the Commission’s website.  It has been removed since.</w:t>
      </w:r>
    </w:p>
  </w:footnote>
  <w:footnote w:id="262">
    <w:p w14:paraId="6E6DC565" w14:textId="01BA2F49"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Letter to the Retirement Commissioner of 7 June 2017 accessible </w:t>
      </w:r>
      <w:hyperlink r:id="rId238"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263">
    <w:p w14:paraId="7CCB8A0A" w14:textId="26D9E344" w:rsidR="00CD6F06" w:rsidRPr="00043E1D" w:rsidRDefault="00CD6F06" w:rsidP="00701CA1">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i/>
          <w:sz w:val="20"/>
          <w:szCs w:val="20"/>
        </w:rPr>
        <w:t>Focusing on the Future: Report to Government</w:t>
      </w:r>
      <w:r>
        <w:rPr>
          <w:rFonts w:ascii="Garamond" w:hAnsi="Garamond"/>
          <w:sz w:val="20"/>
          <w:szCs w:val="20"/>
        </w:rPr>
        <w:t xml:space="preserve"> (2013) Commission for Financial Literacy and Retirement Income (as it was then known), accessible </w:t>
      </w:r>
      <w:hyperlink r:id="rId239" w:history="1">
        <w:r w:rsidRPr="006D33B7">
          <w:rPr>
            <w:rStyle w:val="Hyperlink"/>
            <w:rFonts w:ascii="Garamond" w:hAnsi="Garamond"/>
            <w:sz w:val="20"/>
            <w:szCs w:val="20"/>
          </w:rPr>
          <w:t>here</w:t>
        </w:r>
      </w:hyperlink>
      <w:r>
        <w:rPr>
          <w:rFonts w:ascii="Garamond" w:hAnsi="Garamond"/>
          <w:sz w:val="20"/>
          <w:szCs w:val="20"/>
        </w:rPr>
        <w:t>.</w:t>
      </w:r>
    </w:p>
  </w:footnote>
  <w:footnote w:id="264">
    <w:p w14:paraId="50FFD860" w14:textId="7750F19E"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Michael Littlewood was a member of the Task Force.</w:t>
      </w:r>
    </w:p>
  </w:footnote>
  <w:footnote w:id="265">
    <w:p w14:paraId="1077229B" w14:textId="1B4B0747"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Task Force on Private Provision for Retirement, December 1992 </w:t>
      </w:r>
      <w:r w:rsidRPr="00043E1D">
        <w:rPr>
          <w:rFonts w:ascii="Garamond" w:hAnsi="Garamond"/>
          <w:i/>
          <w:sz w:val="20"/>
          <w:szCs w:val="20"/>
          <w:lang w:val="en-US"/>
        </w:rPr>
        <w:t>The Way Forward</w:t>
      </w:r>
      <w:r w:rsidRPr="00043E1D">
        <w:rPr>
          <w:rFonts w:ascii="Garamond" w:hAnsi="Garamond"/>
          <w:sz w:val="20"/>
          <w:szCs w:val="20"/>
          <w:lang w:val="en-US"/>
        </w:rPr>
        <w:t>, at page 93.</w:t>
      </w:r>
    </w:p>
  </w:footnote>
  <w:footnote w:id="266">
    <w:p w14:paraId="32967B82" w14:textId="141B3C27"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Speech to the SAS Users of New Zealand Group, February 2015.  Report accessible in </w:t>
      </w:r>
      <w:r w:rsidRPr="00043E1D">
        <w:rPr>
          <w:rFonts w:ascii="Garamond" w:hAnsi="Garamond"/>
          <w:i/>
          <w:sz w:val="20"/>
          <w:szCs w:val="20"/>
        </w:rPr>
        <w:t>CIO from IDG</w:t>
      </w:r>
      <w:r w:rsidRPr="00043E1D">
        <w:rPr>
          <w:rFonts w:ascii="Garamond" w:hAnsi="Garamond"/>
          <w:sz w:val="20"/>
          <w:szCs w:val="20"/>
        </w:rPr>
        <w:t xml:space="preserve"> </w:t>
      </w:r>
      <w:hyperlink r:id="rId240" w:history="1">
        <w:r w:rsidRPr="00043E1D">
          <w:rPr>
            <w:rStyle w:val="Hyperlink"/>
            <w:rFonts w:ascii="Garamond" w:hAnsi="Garamond"/>
            <w:sz w:val="20"/>
            <w:szCs w:val="20"/>
          </w:rPr>
          <w:t>here</w:t>
        </w:r>
      </w:hyperlink>
      <w:r w:rsidRPr="00043E1D">
        <w:rPr>
          <w:rFonts w:ascii="Garamond" w:hAnsi="Garamond"/>
          <w:sz w:val="20"/>
          <w:szCs w:val="20"/>
        </w:rPr>
        <w:t>.</w:t>
      </w:r>
      <w:r>
        <w:rPr>
          <w:rFonts w:ascii="Garamond" w:hAnsi="Garamond"/>
          <w:sz w:val="20"/>
          <w:szCs w:val="20"/>
        </w:rPr>
        <w:t xml:space="preserve">  This led to the establishment of the Social Investment Agency that “[b]y crunching the numbers, we’re supporting the social system to understand what investments will help New Zealanders get better outcomes” – see the website </w:t>
      </w:r>
      <w:hyperlink r:id="rId241" w:history="1">
        <w:r w:rsidRPr="00131B1A">
          <w:rPr>
            <w:rStyle w:val="Hyperlink"/>
            <w:rFonts w:ascii="Garamond" w:hAnsi="Garamond"/>
            <w:sz w:val="20"/>
            <w:szCs w:val="20"/>
          </w:rPr>
          <w:t>here</w:t>
        </w:r>
      </w:hyperlink>
      <w:r>
        <w:rPr>
          <w:rFonts w:ascii="Garamond" w:hAnsi="Garamond"/>
          <w:sz w:val="20"/>
          <w:szCs w:val="20"/>
        </w:rPr>
        <w:t>.  We hope to have demonstrated in this report the need for this kind of analysis as so much of what the government has spent over decades has been wasted or ineffective.</w:t>
      </w:r>
    </w:p>
  </w:footnote>
  <w:footnote w:id="267">
    <w:p w14:paraId="3E6B0701" w14:textId="1062281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That finding ran counter to much of the contemporary debate that focussed on seemingly dire ‘household saving rates’, drawn from the ‘System of National Accounts’.  In </w:t>
      </w:r>
      <w:r w:rsidRPr="00043E1D">
        <w:rPr>
          <w:rFonts w:ascii="Garamond" w:hAnsi="Garamond"/>
          <w:i/>
          <w:sz w:val="20"/>
          <w:szCs w:val="20"/>
        </w:rPr>
        <w:t>Saving in New Zealand: Measurement and Trends</w:t>
      </w:r>
      <w:r w:rsidRPr="00043E1D">
        <w:rPr>
          <w:rFonts w:ascii="Garamond" w:hAnsi="Garamond"/>
          <w:sz w:val="20"/>
          <w:szCs w:val="20"/>
        </w:rPr>
        <w:t xml:space="preserve">, Iris Claus and Grant Scobie (Treasury, 2002, accessible </w:t>
      </w:r>
      <w:hyperlink r:id="rId242" w:history="1">
        <w:r w:rsidRPr="00043E1D">
          <w:rPr>
            <w:rStyle w:val="Hyperlink"/>
            <w:rFonts w:ascii="Garamond" w:hAnsi="Garamond"/>
            <w:sz w:val="20"/>
            <w:szCs w:val="20"/>
          </w:rPr>
          <w:t>here</w:t>
        </w:r>
      </w:hyperlink>
      <w:r w:rsidRPr="00043E1D">
        <w:rPr>
          <w:rFonts w:ascii="Garamond" w:hAnsi="Garamond"/>
          <w:sz w:val="20"/>
          <w:szCs w:val="20"/>
        </w:rPr>
        <w:t>) suggest that households’ saving behaviour should be measured by the ‘stocks’ approach (changes in net wealth) rather than the ‘flows’ (</w:t>
      </w:r>
      <w:r>
        <w:rPr>
          <w:rFonts w:ascii="Garamond" w:hAnsi="Garamond"/>
          <w:sz w:val="20"/>
          <w:szCs w:val="20"/>
        </w:rPr>
        <w:t>measured ‘</w:t>
      </w:r>
      <w:r w:rsidRPr="00043E1D">
        <w:rPr>
          <w:rFonts w:ascii="Garamond" w:hAnsi="Garamond"/>
          <w:sz w:val="20"/>
          <w:szCs w:val="20"/>
        </w:rPr>
        <w:t>income</w:t>
      </w:r>
      <w:r>
        <w:rPr>
          <w:rFonts w:ascii="Garamond" w:hAnsi="Garamond"/>
          <w:sz w:val="20"/>
          <w:szCs w:val="20"/>
        </w:rPr>
        <w:t>’</w:t>
      </w:r>
      <w:r w:rsidRPr="00043E1D">
        <w:rPr>
          <w:rFonts w:ascii="Garamond" w:hAnsi="Garamond"/>
          <w:sz w:val="20"/>
          <w:szCs w:val="20"/>
        </w:rPr>
        <w:t xml:space="preserve"> less </w:t>
      </w:r>
      <w:r>
        <w:rPr>
          <w:rFonts w:ascii="Garamond" w:hAnsi="Garamond"/>
          <w:sz w:val="20"/>
          <w:szCs w:val="20"/>
        </w:rPr>
        <w:t>measured ‘</w:t>
      </w:r>
      <w:r w:rsidRPr="00043E1D">
        <w:rPr>
          <w:rFonts w:ascii="Garamond" w:hAnsi="Garamond"/>
          <w:sz w:val="20"/>
          <w:szCs w:val="20"/>
        </w:rPr>
        <w:t>expenditure</w:t>
      </w:r>
      <w:r>
        <w:rPr>
          <w:rFonts w:ascii="Garamond" w:hAnsi="Garamond"/>
          <w:sz w:val="20"/>
          <w:szCs w:val="20"/>
        </w:rPr>
        <w:t>’</w:t>
      </w:r>
      <w:r w:rsidRPr="00043E1D">
        <w:rPr>
          <w:rFonts w:ascii="Garamond" w:hAnsi="Garamond"/>
          <w:sz w:val="20"/>
          <w:szCs w:val="20"/>
        </w:rPr>
        <w:t>). “In fact, we find no evidence that private saving has moved to a lower rate in the past decade when correcting for inflation”.  Had that been more widely understood at the time, New Zealand might have avoided both KiwiSaver and the New Zealand Superannuation Fund.</w:t>
      </w:r>
    </w:p>
  </w:footnote>
  <w:footnote w:id="268">
    <w:p w14:paraId="076CB482" w14:textId="47DCC85F"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Part 4 of the New Zealand Superannuation and Retirement Income Act, 2001 (accessible </w:t>
      </w:r>
      <w:hyperlink r:id="rId243" w:history="1">
        <w:r w:rsidRPr="00043E1D">
          <w:rPr>
            <w:rStyle w:val="Hyperlink"/>
            <w:rFonts w:ascii="Garamond" w:hAnsi="Garamond"/>
            <w:sz w:val="20"/>
            <w:szCs w:val="20"/>
          </w:rPr>
          <w:t>here</w:t>
        </w:r>
      </w:hyperlink>
      <w:r w:rsidRPr="00043E1D">
        <w:rPr>
          <w:rFonts w:ascii="Garamond" w:hAnsi="Garamond"/>
          <w:sz w:val="20"/>
          <w:szCs w:val="20"/>
        </w:rPr>
        <w:t>).</w:t>
      </w:r>
    </w:p>
  </w:footnote>
  <w:footnote w:id="269">
    <w:p w14:paraId="0BCC6D62" w14:textId="05ADA9CF"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Why, for example, can the Retirement Commissioner review only those matters that the Minister of specifies: see section 84(1) of the New Zealand Superannuation and Retirement Income Act 2001 (accessible </w:t>
      </w:r>
      <w:hyperlink r:id="rId244" w:history="1">
        <w:r w:rsidRPr="00043E1D">
          <w:rPr>
            <w:rStyle w:val="Hyperlink"/>
            <w:rFonts w:ascii="Garamond" w:hAnsi="Garamond"/>
            <w:sz w:val="20"/>
            <w:szCs w:val="20"/>
          </w:rPr>
          <w:t>here</w:t>
        </w:r>
      </w:hyperlink>
      <w:r w:rsidRPr="00043E1D">
        <w:rPr>
          <w:rFonts w:ascii="Garamond" w:hAnsi="Garamond"/>
          <w:sz w:val="20"/>
          <w:szCs w:val="20"/>
        </w:rPr>
        <w:t>)?  The answer to that can only be a political one.  It makes little sense if we really want to understand policy issues associated for retirement incomes.</w:t>
      </w:r>
    </w:p>
  </w:footnote>
  <w:footnote w:id="270">
    <w:p w14:paraId="25776B2F" w14:textId="7F24EE1C" w:rsidR="00CD6F06" w:rsidRPr="00043E1D" w:rsidRDefault="00CD6F06">
      <w:pPr>
        <w:pStyle w:val="FootnoteText"/>
        <w:jc w:val="both"/>
        <w:rPr>
          <w:rFonts w:ascii="Garamond" w:hAnsi="Garamond"/>
          <w:lang w:val="en-US"/>
        </w:rPr>
      </w:pPr>
      <w:r w:rsidRPr="00043E1D">
        <w:rPr>
          <w:rStyle w:val="FootnoteReference"/>
          <w:rFonts w:ascii="Garamond" w:hAnsi="Garamond"/>
        </w:rPr>
        <w:footnoteRef/>
      </w:r>
      <w:r w:rsidRPr="00043E1D">
        <w:rPr>
          <w:rFonts w:ascii="Garamond" w:hAnsi="Garamond"/>
        </w:rPr>
        <w:t xml:space="preserve"> </w:t>
      </w:r>
      <w:r w:rsidRPr="00043E1D">
        <w:rPr>
          <w:rStyle w:val="s1"/>
          <w:rFonts w:ascii="Garamond" w:hAnsi="Garamond"/>
          <w:sz w:val="20"/>
          <w:szCs w:val="20"/>
        </w:rPr>
        <w:t>The Periodic Report Groups of 1997 and 2003 and the Retirement Commissioner’s reviews of 2007, 2010, 2013 and 2016.</w:t>
      </w:r>
    </w:p>
  </w:footnote>
  <w:footnote w:id="271">
    <w:p w14:paraId="1062FD9D" w14:textId="38653561"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government’s formal response to the 34 recommendations and observations in the Retirement Commissioner’s </w:t>
      </w:r>
      <w:r w:rsidRPr="00043E1D">
        <w:rPr>
          <w:rFonts w:ascii="Garamond" w:hAnsi="Garamond"/>
          <w:i/>
          <w:sz w:val="20"/>
          <w:szCs w:val="20"/>
        </w:rPr>
        <w:t>2016 Review</w:t>
      </w:r>
      <w:r w:rsidRPr="00043E1D">
        <w:rPr>
          <w:rFonts w:ascii="Garamond" w:hAnsi="Garamond"/>
          <w:sz w:val="20"/>
          <w:szCs w:val="20"/>
        </w:rPr>
        <w:t xml:space="preserve"> (letter of 7 June 2017 accessible </w:t>
      </w:r>
      <w:hyperlink r:id="rId245" w:history="1">
        <w:r w:rsidRPr="00043E1D">
          <w:rPr>
            <w:rStyle w:val="Hyperlink"/>
            <w:rFonts w:ascii="Garamond" w:hAnsi="Garamond"/>
            <w:sz w:val="20"/>
            <w:szCs w:val="20"/>
          </w:rPr>
          <w:t>here</w:t>
        </w:r>
      </w:hyperlink>
      <w:r w:rsidRPr="00043E1D">
        <w:rPr>
          <w:rFonts w:ascii="Garamond" w:hAnsi="Garamond"/>
          <w:sz w:val="20"/>
          <w:szCs w:val="20"/>
        </w:rPr>
        <w:t>), gave approval to eight, disagreed with 13 and acknowledged more work is needed on the remaining 11.  The final two were ignored.  However, it’s not just a matter of the numbers – the analysis should allow for the substance of the recommendations as well.</w:t>
      </w:r>
    </w:p>
  </w:footnote>
  <w:footnote w:id="272">
    <w:p w14:paraId="71A363CE" w14:textId="088DC4C8"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section is adapted from the RPRC’s </w:t>
      </w:r>
      <w:r w:rsidRPr="00043E1D">
        <w:rPr>
          <w:rFonts w:ascii="Garamond" w:hAnsi="Garamond"/>
          <w:i/>
          <w:sz w:val="20"/>
          <w:szCs w:val="20"/>
        </w:rPr>
        <w:t>PensionCommentary 2015-2 The coming debate on New Zealand Superannuation – the review process</w:t>
      </w:r>
      <w:r w:rsidRPr="00043E1D">
        <w:rPr>
          <w:rFonts w:ascii="Garamond" w:hAnsi="Garamond"/>
          <w:sz w:val="20"/>
          <w:szCs w:val="20"/>
        </w:rPr>
        <w:t xml:space="preserve"> by Michael Littlewood (accessible </w:t>
      </w:r>
      <w:hyperlink r:id="rId246" w:history="1">
        <w:r w:rsidRPr="00043E1D">
          <w:rPr>
            <w:rStyle w:val="Hyperlink"/>
            <w:rFonts w:ascii="Garamond" w:hAnsi="Garamond"/>
            <w:sz w:val="20"/>
            <w:szCs w:val="20"/>
          </w:rPr>
          <w:t>here</w:t>
        </w:r>
      </w:hyperlink>
      <w:r w:rsidRPr="00043E1D">
        <w:rPr>
          <w:rFonts w:ascii="Garamond" w:hAnsi="Garamond"/>
          <w:sz w:val="20"/>
          <w:szCs w:val="20"/>
        </w:rPr>
        <w:t>).</w:t>
      </w:r>
    </w:p>
  </w:footnote>
  <w:footnote w:id="273">
    <w:p w14:paraId="25F0DF8E" w14:textId="3A6B2403" w:rsidR="00CD6F06" w:rsidRPr="00043E1D" w:rsidRDefault="00CD6F06">
      <w:pPr>
        <w:jc w:val="both"/>
        <w:rPr>
          <w:rFonts w:ascii="Garamond" w:hAnsi="Garamond"/>
          <w:noProof/>
          <w:color w:val="0563C1" w:themeColor="hyperlink"/>
          <w:sz w:val="20"/>
          <w:szCs w:val="20"/>
          <w:u w:val="single"/>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noProof/>
          <w:sz w:val="20"/>
          <w:szCs w:val="20"/>
        </w:rPr>
        <w:t>Household Incomes in New Zealand: trends in indicators of inequality and hardship 1982 to 201</w:t>
      </w:r>
      <w:r>
        <w:rPr>
          <w:rFonts w:ascii="Garamond" w:hAnsi="Garamond"/>
          <w:i/>
          <w:noProof/>
          <w:sz w:val="20"/>
          <w:szCs w:val="20"/>
        </w:rPr>
        <w:t>7</w:t>
      </w:r>
      <w:r w:rsidRPr="00043E1D">
        <w:rPr>
          <w:rFonts w:ascii="Garamond" w:hAnsi="Garamond"/>
          <w:i/>
          <w:noProof/>
          <w:sz w:val="20"/>
          <w:szCs w:val="20"/>
        </w:rPr>
        <w:t xml:space="preserve">, </w:t>
      </w:r>
      <w:r w:rsidRPr="00043E1D">
        <w:rPr>
          <w:rFonts w:ascii="Garamond" w:hAnsi="Garamond"/>
          <w:noProof/>
          <w:sz w:val="20"/>
          <w:szCs w:val="20"/>
        </w:rPr>
        <w:t>Bryan Perry, Ministry of Social Development 201</w:t>
      </w:r>
      <w:r>
        <w:rPr>
          <w:rFonts w:ascii="Garamond" w:hAnsi="Garamond"/>
          <w:noProof/>
          <w:sz w:val="20"/>
          <w:szCs w:val="20"/>
        </w:rPr>
        <w:t>8</w:t>
      </w:r>
      <w:r w:rsidRPr="00043E1D">
        <w:rPr>
          <w:rFonts w:ascii="Garamond" w:hAnsi="Garamond"/>
          <w:i/>
          <w:noProof/>
          <w:sz w:val="20"/>
          <w:szCs w:val="20"/>
        </w:rPr>
        <w:t xml:space="preserve"> </w:t>
      </w:r>
      <w:r w:rsidRPr="00043E1D">
        <w:rPr>
          <w:rFonts w:ascii="Garamond" w:hAnsi="Garamond"/>
          <w:noProof/>
          <w:sz w:val="20"/>
          <w:szCs w:val="20"/>
        </w:rPr>
        <w:t xml:space="preserve">(accessible </w:t>
      </w:r>
      <w:hyperlink r:id="rId247" w:history="1">
        <w:r w:rsidRPr="00043E1D">
          <w:rPr>
            <w:rStyle w:val="Hyperlink"/>
            <w:rFonts w:ascii="Garamond" w:hAnsi="Garamond"/>
            <w:sz w:val="20"/>
            <w:szCs w:val="20"/>
          </w:rPr>
          <w:t>here</w:t>
        </w:r>
      </w:hyperlink>
      <w:r w:rsidRPr="00043E1D">
        <w:rPr>
          <w:rFonts w:ascii="Garamond" w:hAnsi="Garamond"/>
          <w:noProof/>
          <w:sz w:val="20"/>
          <w:szCs w:val="20"/>
        </w:rPr>
        <w:t>).</w:t>
      </w:r>
    </w:p>
  </w:footnote>
  <w:footnote w:id="274">
    <w:p w14:paraId="6C8A7D4F" w14:textId="4F62BC84"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An account of the Accord’s genesis is recorded in Jeff Todd’s </w:t>
      </w:r>
      <w:r w:rsidRPr="00043E1D">
        <w:rPr>
          <w:rFonts w:ascii="Garamond" w:hAnsi="Garamond"/>
          <w:i/>
          <w:sz w:val="20"/>
          <w:szCs w:val="20"/>
          <w:lang w:val="en-US"/>
        </w:rPr>
        <w:t>Superannuation Task Forces in the 1990s and the Political Accord</w:t>
      </w:r>
      <w:r w:rsidRPr="00043E1D">
        <w:rPr>
          <w:rFonts w:ascii="Garamond" w:hAnsi="Garamond"/>
          <w:sz w:val="20"/>
          <w:szCs w:val="20"/>
          <w:lang w:val="en-US"/>
        </w:rPr>
        <w:t xml:space="preserve">, 2008 accessible </w:t>
      </w:r>
      <w:hyperlink r:id="rId248" w:history="1">
        <w:r w:rsidRPr="00043E1D">
          <w:rPr>
            <w:rStyle w:val="Hyperlink"/>
            <w:rFonts w:ascii="Garamond" w:hAnsi="Garamond"/>
            <w:sz w:val="20"/>
            <w:szCs w:val="20"/>
            <w:lang w:val="en-US"/>
          </w:rPr>
          <w:t>here</w:t>
        </w:r>
      </w:hyperlink>
      <w:r w:rsidRPr="00043E1D">
        <w:rPr>
          <w:rFonts w:ascii="Garamond" w:hAnsi="Garamond"/>
          <w:sz w:val="20"/>
          <w:szCs w:val="20"/>
          <w:lang w:val="en-US"/>
        </w:rPr>
        <w:t>.  We need to note that the leader of New Zealand First, Winston Peters, described the Accord at the time as a “cosy little conspiracy” though he did acknowledge the virtue of ‘true’ consensus rather than an “in-house agreement” with just the political parties.</w:t>
      </w:r>
    </w:p>
  </w:footnote>
  <w:footnote w:id="275">
    <w:p w14:paraId="1C9553E6" w14:textId="3B1A9A7A"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Some suggest that NZS is a ‘third rail’ issue – touch it and you die.  That may have been true in the 1980s but we like to think that New Zealanders would now welcome a research-led, national discussion of the kind we recommend in this report.</w:t>
      </w:r>
    </w:p>
  </w:footnote>
  <w:footnote w:id="276">
    <w:p w14:paraId="52BD3F99" w14:textId="3B93210C"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hyperlink r:id="rId249" w:history="1">
        <w:r w:rsidRPr="00043E1D">
          <w:rPr>
            <w:rStyle w:val="Hyperlink"/>
            <w:rFonts w:ascii="Garamond" w:hAnsi="Garamond"/>
            <w:sz w:val="20"/>
            <w:szCs w:val="20"/>
          </w:rPr>
          <w:t>here</w:t>
        </w:r>
      </w:hyperlink>
      <w:r w:rsidRPr="00043E1D">
        <w:rPr>
          <w:rFonts w:ascii="Garamond" w:hAnsi="Garamond"/>
          <w:sz w:val="20"/>
          <w:szCs w:val="20"/>
        </w:rPr>
        <w:t xml:space="preserve"> for details on how Parliament itself sees the role of an Officer of Parliament – we think that something like an Officer is needed on issues associated with retirement and retirement incomes.  They are every bit as important to New Zealanders as the responsibilities of the Ombudsmen, and the Parliamentary Commissioner for the Environment.</w:t>
      </w:r>
    </w:p>
  </w:footnote>
  <w:footnote w:id="277">
    <w:p w14:paraId="7D21B738" w14:textId="7AA9F196" w:rsidR="00CD6F06" w:rsidRPr="00043E1D" w:rsidRDefault="00CD6F06">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Task Force on Private Provision for Retirement, December 1992 </w:t>
      </w:r>
      <w:r w:rsidRPr="00043E1D">
        <w:rPr>
          <w:rFonts w:ascii="Garamond" w:hAnsi="Garamond"/>
          <w:i/>
          <w:sz w:val="20"/>
          <w:szCs w:val="20"/>
          <w:lang w:val="en-US"/>
        </w:rPr>
        <w:t>The Way Forward</w:t>
      </w:r>
      <w:r w:rsidRPr="00043E1D">
        <w:rPr>
          <w:rFonts w:ascii="Garamond" w:hAnsi="Garamond"/>
          <w:sz w:val="20"/>
          <w:szCs w:val="20"/>
          <w:lang w:val="en-US"/>
        </w:rPr>
        <w:t>, at page 97.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1332"/>
    <w:multiLevelType w:val="hybridMultilevel"/>
    <w:tmpl w:val="87684A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50628E"/>
    <w:multiLevelType w:val="hybridMultilevel"/>
    <w:tmpl w:val="64940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7333D"/>
    <w:multiLevelType w:val="multilevel"/>
    <w:tmpl w:val="47DE7B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4774A4"/>
    <w:multiLevelType w:val="hybridMultilevel"/>
    <w:tmpl w:val="47DE7B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CD049C"/>
    <w:multiLevelType w:val="hybridMultilevel"/>
    <w:tmpl w:val="C27EEB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775D25"/>
    <w:multiLevelType w:val="hybridMultilevel"/>
    <w:tmpl w:val="9266F6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68019F"/>
    <w:multiLevelType w:val="multilevel"/>
    <w:tmpl w:val="D1F2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356671"/>
    <w:multiLevelType w:val="hybridMultilevel"/>
    <w:tmpl w:val="004CAD78"/>
    <w:lvl w:ilvl="0" w:tplc="E91EC368">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E6582"/>
    <w:multiLevelType w:val="hybridMultilevel"/>
    <w:tmpl w:val="212C0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0F3293"/>
    <w:multiLevelType w:val="hybridMultilevel"/>
    <w:tmpl w:val="E296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C4BC3"/>
    <w:multiLevelType w:val="hybridMultilevel"/>
    <w:tmpl w:val="CBDADE1C"/>
    <w:lvl w:ilvl="0" w:tplc="10F6FF16">
      <w:start w:val="2"/>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1F46A2"/>
    <w:multiLevelType w:val="hybridMultilevel"/>
    <w:tmpl w:val="7CAEC4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913C42"/>
    <w:multiLevelType w:val="hybridMultilevel"/>
    <w:tmpl w:val="CADC04C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22664DB8"/>
    <w:multiLevelType w:val="hybridMultilevel"/>
    <w:tmpl w:val="C3BA3BCC"/>
    <w:lvl w:ilvl="0" w:tplc="08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903018"/>
    <w:multiLevelType w:val="hybridMultilevel"/>
    <w:tmpl w:val="2390A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800985"/>
    <w:multiLevelType w:val="hybridMultilevel"/>
    <w:tmpl w:val="33D0263C"/>
    <w:lvl w:ilvl="0" w:tplc="1D22EA9A">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6387D14"/>
    <w:multiLevelType w:val="hybridMultilevel"/>
    <w:tmpl w:val="1FF693AA"/>
    <w:lvl w:ilvl="0" w:tplc="8FE6D8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8155EFE"/>
    <w:multiLevelType w:val="hybridMultilevel"/>
    <w:tmpl w:val="F224DF08"/>
    <w:lvl w:ilvl="0" w:tplc="BA028A6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2DC47AF3"/>
    <w:multiLevelType w:val="hybridMultilevel"/>
    <w:tmpl w:val="437E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A230C"/>
    <w:multiLevelType w:val="hybridMultilevel"/>
    <w:tmpl w:val="7C2E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34CE7"/>
    <w:multiLevelType w:val="hybridMultilevel"/>
    <w:tmpl w:val="477A9EA8"/>
    <w:lvl w:ilvl="0" w:tplc="EBE8E3BC">
      <w:start w:val="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E6840"/>
    <w:multiLevelType w:val="hybridMultilevel"/>
    <w:tmpl w:val="458A5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291012"/>
    <w:multiLevelType w:val="hybridMultilevel"/>
    <w:tmpl w:val="8A74F306"/>
    <w:lvl w:ilvl="0" w:tplc="0AC6C5C4">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8F43A8"/>
    <w:multiLevelType w:val="hybridMultilevel"/>
    <w:tmpl w:val="9634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994964"/>
    <w:multiLevelType w:val="multilevel"/>
    <w:tmpl w:val="777E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EA7B9D"/>
    <w:multiLevelType w:val="multilevel"/>
    <w:tmpl w:val="F3E6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CD007C"/>
    <w:multiLevelType w:val="hybridMultilevel"/>
    <w:tmpl w:val="9D74D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0C306F"/>
    <w:multiLevelType w:val="multilevel"/>
    <w:tmpl w:val="97A2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DB12AB"/>
    <w:multiLevelType w:val="hybridMultilevel"/>
    <w:tmpl w:val="297CF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C181FA4"/>
    <w:multiLevelType w:val="hybridMultilevel"/>
    <w:tmpl w:val="FBE046B2"/>
    <w:lvl w:ilvl="0" w:tplc="983E2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742D4A"/>
    <w:multiLevelType w:val="hybridMultilevel"/>
    <w:tmpl w:val="3CCCB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EF16D1"/>
    <w:multiLevelType w:val="hybridMultilevel"/>
    <w:tmpl w:val="2C1EBEBE"/>
    <w:lvl w:ilvl="0" w:tplc="E91EC368">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0A2368"/>
    <w:multiLevelType w:val="multilevel"/>
    <w:tmpl w:val="49B662B8"/>
    <w:lvl w:ilvl="0">
      <w:start w:val="1"/>
      <w:numFmt w:val="decimal"/>
      <w:lvlText w:val="%1."/>
      <w:lvlJc w:val="left"/>
      <w:pPr>
        <w:ind w:left="1182" w:hanging="725"/>
      </w:pPr>
      <w:rPr>
        <w:rFonts w:hint="default"/>
        <w:spacing w:val="-9"/>
        <w:w w:val="95"/>
        <w:lang w:val="en-US" w:eastAsia="en-US" w:bidi="en-US"/>
      </w:rPr>
    </w:lvl>
    <w:lvl w:ilvl="1">
      <w:start w:val="1"/>
      <w:numFmt w:val="lowerLetter"/>
      <w:lvlText w:val="%2."/>
      <w:lvlJc w:val="left"/>
      <w:pPr>
        <w:ind w:left="1903" w:hanging="724"/>
      </w:pPr>
      <w:rPr>
        <w:rFonts w:hint="default"/>
        <w:w w:val="107"/>
        <w:lang w:val="en-US" w:eastAsia="en-US" w:bidi="en-US"/>
      </w:rPr>
    </w:lvl>
    <w:lvl w:ilvl="2">
      <w:numFmt w:val="bullet"/>
      <w:lvlText w:val="•"/>
      <w:lvlJc w:val="left"/>
      <w:pPr>
        <w:ind w:left="2714" w:hanging="724"/>
      </w:pPr>
      <w:rPr>
        <w:rFonts w:hint="default"/>
        <w:lang w:val="en-US" w:eastAsia="en-US" w:bidi="en-US"/>
      </w:rPr>
    </w:lvl>
    <w:lvl w:ilvl="3">
      <w:numFmt w:val="bullet"/>
      <w:lvlText w:val="•"/>
      <w:lvlJc w:val="left"/>
      <w:pPr>
        <w:ind w:left="3529" w:hanging="724"/>
      </w:pPr>
      <w:rPr>
        <w:rFonts w:hint="default"/>
        <w:lang w:val="en-US" w:eastAsia="en-US" w:bidi="en-US"/>
      </w:rPr>
    </w:lvl>
    <w:lvl w:ilvl="4">
      <w:numFmt w:val="bullet"/>
      <w:lvlText w:val="•"/>
      <w:lvlJc w:val="left"/>
      <w:pPr>
        <w:ind w:left="4344" w:hanging="724"/>
      </w:pPr>
      <w:rPr>
        <w:rFonts w:hint="default"/>
        <w:lang w:val="en-US" w:eastAsia="en-US" w:bidi="en-US"/>
      </w:rPr>
    </w:lvl>
    <w:lvl w:ilvl="5">
      <w:numFmt w:val="bullet"/>
      <w:lvlText w:val="•"/>
      <w:lvlJc w:val="left"/>
      <w:pPr>
        <w:ind w:left="5159" w:hanging="724"/>
      </w:pPr>
      <w:rPr>
        <w:rFonts w:hint="default"/>
        <w:lang w:val="en-US" w:eastAsia="en-US" w:bidi="en-US"/>
      </w:rPr>
    </w:lvl>
    <w:lvl w:ilvl="6">
      <w:numFmt w:val="bullet"/>
      <w:lvlText w:val="•"/>
      <w:lvlJc w:val="left"/>
      <w:pPr>
        <w:ind w:left="5974" w:hanging="724"/>
      </w:pPr>
      <w:rPr>
        <w:rFonts w:hint="default"/>
        <w:lang w:val="en-US" w:eastAsia="en-US" w:bidi="en-US"/>
      </w:rPr>
    </w:lvl>
    <w:lvl w:ilvl="7">
      <w:numFmt w:val="bullet"/>
      <w:lvlText w:val="•"/>
      <w:lvlJc w:val="left"/>
      <w:pPr>
        <w:ind w:left="6789" w:hanging="724"/>
      </w:pPr>
      <w:rPr>
        <w:rFonts w:hint="default"/>
        <w:lang w:val="en-US" w:eastAsia="en-US" w:bidi="en-US"/>
      </w:rPr>
    </w:lvl>
    <w:lvl w:ilvl="8">
      <w:numFmt w:val="bullet"/>
      <w:lvlText w:val="•"/>
      <w:lvlJc w:val="left"/>
      <w:pPr>
        <w:ind w:left="7603" w:hanging="724"/>
      </w:pPr>
      <w:rPr>
        <w:rFonts w:hint="default"/>
        <w:lang w:val="en-US" w:eastAsia="en-US" w:bidi="en-US"/>
      </w:rPr>
    </w:lvl>
  </w:abstractNum>
  <w:abstractNum w:abstractNumId="33" w15:restartNumberingAfterBreak="0">
    <w:nsid w:val="433B6DF7"/>
    <w:multiLevelType w:val="hybridMultilevel"/>
    <w:tmpl w:val="9C5052C8"/>
    <w:lvl w:ilvl="0" w:tplc="2ED293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0830E3"/>
    <w:multiLevelType w:val="hybridMultilevel"/>
    <w:tmpl w:val="282EC38E"/>
    <w:lvl w:ilvl="0" w:tplc="7114AC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4483BA3"/>
    <w:multiLevelType w:val="hybridMultilevel"/>
    <w:tmpl w:val="43D826B6"/>
    <w:lvl w:ilvl="0" w:tplc="08090017">
      <w:start w:val="1"/>
      <w:numFmt w:val="lowerLetter"/>
      <w:lvlText w:val="%1)"/>
      <w:lvlJc w:val="left"/>
      <w:pPr>
        <w:ind w:left="1440" w:hanging="360"/>
      </w:pPr>
      <w:rPr>
        <w:rFont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185B8B"/>
    <w:multiLevelType w:val="hybridMultilevel"/>
    <w:tmpl w:val="3AE61CFE"/>
    <w:lvl w:ilvl="0" w:tplc="08090019">
      <w:start w:val="1"/>
      <w:numFmt w:val="lowerLetter"/>
      <w:lvlText w:val="%1."/>
      <w:lvlJc w:val="left"/>
      <w:pPr>
        <w:ind w:left="1440" w:hanging="360"/>
      </w:pPr>
      <w:rPr>
        <w:rFont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3F2E10"/>
    <w:multiLevelType w:val="hybridMultilevel"/>
    <w:tmpl w:val="8988CA44"/>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8B3A40"/>
    <w:multiLevelType w:val="hybridMultilevel"/>
    <w:tmpl w:val="14C069FE"/>
    <w:lvl w:ilvl="0" w:tplc="9D1A6CF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9" w15:restartNumberingAfterBreak="0">
    <w:nsid w:val="4C7C69FD"/>
    <w:multiLevelType w:val="hybridMultilevel"/>
    <w:tmpl w:val="017EAC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D16083B"/>
    <w:multiLevelType w:val="hybridMultilevel"/>
    <w:tmpl w:val="5E405162"/>
    <w:lvl w:ilvl="0" w:tplc="50DC6252">
      <w:start w:val="17"/>
      <w:numFmt w:val="bullet"/>
      <w:lvlText w:val=" "/>
      <w:lvlJc w:val="left"/>
      <w:pPr>
        <w:ind w:left="720" w:hanging="360"/>
      </w:pPr>
      <w:rPr>
        <w:rFonts w:ascii="Garamond" w:eastAsiaTheme="minorHAnsi" w:hAnsi="Garamond" w:cs="Garamo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B96681"/>
    <w:multiLevelType w:val="hybridMultilevel"/>
    <w:tmpl w:val="64CC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4431B3"/>
    <w:multiLevelType w:val="hybridMultilevel"/>
    <w:tmpl w:val="C03C54D8"/>
    <w:lvl w:ilvl="0" w:tplc="2F0640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BD360C"/>
    <w:multiLevelType w:val="hybridMultilevel"/>
    <w:tmpl w:val="9FAC2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44F33E2"/>
    <w:multiLevelType w:val="hybridMultilevel"/>
    <w:tmpl w:val="565EB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9E0117"/>
    <w:multiLevelType w:val="hybridMultilevel"/>
    <w:tmpl w:val="29B8E644"/>
    <w:lvl w:ilvl="0" w:tplc="623E3E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5E464E0"/>
    <w:multiLevelType w:val="hybridMultilevel"/>
    <w:tmpl w:val="B7944A00"/>
    <w:lvl w:ilvl="0" w:tplc="388018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56803E97"/>
    <w:multiLevelType w:val="hybridMultilevel"/>
    <w:tmpl w:val="8A8C9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7FF28CB"/>
    <w:multiLevelType w:val="hybridMultilevel"/>
    <w:tmpl w:val="AF08369E"/>
    <w:lvl w:ilvl="0" w:tplc="135C2302">
      <w:start w:val="1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9C2E2C"/>
    <w:multiLevelType w:val="hybridMultilevel"/>
    <w:tmpl w:val="7578DD74"/>
    <w:lvl w:ilvl="0" w:tplc="0AC6C5C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A1F2AC8"/>
    <w:multiLevelType w:val="hybridMultilevel"/>
    <w:tmpl w:val="C8166B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5A541120"/>
    <w:multiLevelType w:val="hybridMultilevel"/>
    <w:tmpl w:val="3658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6B1055"/>
    <w:multiLevelType w:val="hybridMultilevel"/>
    <w:tmpl w:val="17D6E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F63186B"/>
    <w:multiLevelType w:val="hybridMultilevel"/>
    <w:tmpl w:val="121E67CA"/>
    <w:lvl w:ilvl="0" w:tplc="E91EC368">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7B0B7D"/>
    <w:multiLevelType w:val="hybridMultilevel"/>
    <w:tmpl w:val="BC22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E21E0D"/>
    <w:multiLevelType w:val="hybridMultilevel"/>
    <w:tmpl w:val="0980DB12"/>
    <w:lvl w:ilvl="0" w:tplc="FF6EC8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FA14128"/>
    <w:multiLevelType w:val="hybridMultilevel"/>
    <w:tmpl w:val="A0960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0ED71E5"/>
    <w:multiLevelType w:val="hybridMultilevel"/>
    <w:tmpl w:val="A7667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2DA61BD"/>
    <w:multiLevelType w:val="hybridMultilevel"/>
    <w:tmpl w:val="7FBAA1D4"/>
    <w:lvl w:ilvl="0" w:tplc="6B565AC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72FE4FE8"/>
    <w:multiLevelType w:val="hybridMultilevel"/>
    <w:tmpl w:val="7772F190"/>
    <w:lvl w:ilvl="0" w:tplc="6B2A85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4FB05DD"/>
    <w:multiLevelType w:val="hybridMultilevel"/>
    <w:tmpl w:val="CF48AFE6"/>
    <w:lvl w:ilvl="0" w:tplc="29E6D2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52F5FB4"/>
    <w:multiLevelType w:val="hybridMultilevel"/>
    <w:tmpl w:val="AE30F8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395FEA"/>
    <w:multiLevelType w:val="hybridMultilevel"/>
    <w:tmpl w:val="E57EA386"/>
    <w:lvl w:ilvl="0" w:tplc="8CCE64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597640F"/>
    <w:multiLevelType w:val="hybridMultilevel"/>
    <w:tmpl w:val="1EFE7106"/>
    <w:lvl w:ilvl="0" w:tplc="1168316A">
      <w:start w:val="8"/>
      <w:numFmt w:val="bullet"/>
      <w:lvlText w:val="-"/>
      <w:lvlJc w:val="left"/>
      <w:pPr>
        <w:ind w:left="720" w:hanging="360"/>
      </w:pPr>
      <w:rPr>
        <w:rFonts w:ascii="Garamond" w:eastAsiaTheme="minorEastAsia" w:hAnsi="Garamond" w:cs="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D4047D"/>
    <w:multiLevelType w:val="hybridMultilevel"/>
    <w:tmpl w:val="2738E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75B2430"/>
    <w:multiLevelType w:val="hybridMultilevel"/>
    <w:tmpl w:val="E7B4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DC126D"/>
    <w:multiLevelType w:val="hybridMultilevel"/>
    <w:tmpl w:val="28408EE8"/>
    <w:lvl w:ilvl="0" w:tplc="BE8C8504">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71610E"/>
    <w:multiLevelType w:val="hybridMultilevel"/>
    <w:tmpl w:val="0B14576A"/>
    <w:lvl w:ilvl="0" w:tplc="C22E153A">
      <w:start w:val="1"/>
      <w:numFmt w:val="decimal"/>
      <w:lvlText w:val="%1."/>
      <w:lvlJc w:val="left"/>
      <w:pPr>
        <w:ind w:left="1182" w:hanging="725"/>
      </w:pPr>
      <w:rPr>
        <w:rFonts w:hint="default"/>
        <w:spacing w:val="-9"/>
        <w:w w:val="95"/>
        <w:lang w:val="en-US" w:eastAsia="en-US" w:bidi="en-US"/>
      </w:rPr>
    </w:lvl>
    <w:lvl w:ilvl="1" w:tplc="D2EEB30C">
      <w:start w:val="1"/>
      <w:numFmt w:val="lowerLetter"/>
      <w:lvlText w:val="%2."/>
      <w:lvlJc w:val="left"/>
      <w:pPr>
        <w:ind w:left="1903" w:hanging="724"/>
      </w:pPr>
      <w:rPr>
        <w:rFonts w:hint="default"/>
        <w:w w:val="107"/>
        <w:sz w:val="24"/>
        <w:lang w:val="en-US" w:eastAsia="en-US" w:bidi="en-US"/>
      </w:rPr>
    </w:lvl>
    <w:lvl w:ilvl="2" w:tplc="94F61830">
      <w:numFmt w:val="bullet"/>
      <w:lvlText w:val="•"/>
      <w:lvlJc w:val="left"/>
      <w:pPr>
        <w:ind w:left="2714" w:hanging="724"/>
      </w:pPr>
      <w:rPr>
        <w:rFonts w:hint="default"/>
        <w:lang w:val="en-US" w:eastAsia="en-US" w:bidi="en-US"/>
      </w:rPr>
    </w:lvl>
    <w:lvl w:ilvl="3" w:tplc="3BE2B948">
      <w:numFmt w:val="bullet"/>
      <w:lvlText w:val="•"/>
      <w:lvlJc w:val="left"/>
      <w:pPr>
        <w:ind w:left="3529" w:hanging="724"/>
      </w:pPr>
      <w:rPr>
        <w:rFonts w:hint="default"/>
        <w:lang w:val="en-US" w:eastAsia="en-US" w:bidi="en-US"/>
      </w:rPr>
    </w:lvl>
    <w:lvl w:ilvl="4" w:tplc="A732C5B0">
      <w:numFmt w:val="bullet"/>
      <w:lvlText w:val="•"/>
      <w:lvlJc w:val="left"/>
      <w:pPr>
        <w:ind w:left="4344" w:hanging="724"/>
      </w:pPr>
      <w:rPr>
        <w:rFonts w:hint="default"/>
        <w:lang w:val="en-US" w:eastAsia="en-US" w:bidi="en-US"/>
      </w:rPr>
    </w:lvl>
    <w:lvl w:ilvl="5" w:tplc="7EBA3902">
      <w:numFmt w:val="bullet"/>
      <w:lvlText w:val="•"/>
      <w:lvlJc w:val="left"/>
      <w:pPr>
        <w:ind w:left="5159" w:hanging="724"/>
      </w:pPr>
      <w:rPr>
        <w:rFonts w:hint="default"/>
        <w:lang w:val="en-US" w:eastAsia="en-US" w:bidi="en-US"/>
      </w:rPr>
    </w:lvl>
    <w:lvl w:ilvl="6" w:tplc="59B84506">
      <w:numFmt w:val="bullet"/>
      <w:lvlText w:val="•"/>
      <w:lvlJc w:val="left"/>
      <w:pPr>
        <w:ind w:left="5974" w:hanging="724"/>
      </w:pPr>
      <w:rPr>
        <w:rFonts w:hint="default"/>
        <w:lang w:val="en-US" w:eastAsia="en-US" w:bidi="en-US"/>
      </w:rPr>
    </w:lvl>
    <w:lvl w:ilvl="7" w:tplc="5C8A9CA6">
      <w:numFmt w:val="bullet"/>
      <w:lvlText w:val="•"/>
      <w:lvlJc w:val="left"/>
      <w:pPr>
        <w:ind w:left="6789" w:hanging="724"/>
      </w:pPr>
      <w:rPr>
        <w:rFonts w:hint="default"/>
        <w:lang w:val="en-US" w:eastAsia="en-US" w:bidi="en-US"/>
      </w:rPr>
    </w:lvl>
    <w:lvl w:ilvl="8" w:tplc="29D42914">
      <w:numFmt w:val="bullet"/>
      <w:lvlText w:val="•"/>
      <w:lvlJc w:val="left"/>
      <w:pPr>
        <w:ind w:left="7603" w:hanging="724"/>
      </w:pPr>
      <w:rPr>
        <w:rFonts w:hint="default"/>
        <w:lang w:val="en-US" w:eastAsia="en-US" w:bidi="en-US"/>
      </w:rPr>
    </w:lvl>
  </w:abstractNum>
  <w:abstractNum w:abstractNumId="68" w15:restartNumberingAfterBreak="0">
    <w:nsid w:val="7A450603"/>
    <w:multiLevelType w:val="hybridMultilevel"/>
    <w:tmpl w:val="AFB2E9C6"/>
    <w:lvl w:ilvl="0" w:tplc="A5DC57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C31295F"/>
    <w:multiLevelType w:val="hybridMultilevel"/>
    <w:tmpl w:val="80780340"/>
    <w:lvl w:ilvl="0" w:tplc="A8E26E50">
      <w:start w:val="5"/>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50405D"/>
    <w:multiLevelType w:val="hybridMultilevel"/>
    <w:tmpl w:val="85DA8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EF14621"/>
    <w:multiLevelType w:val="hybridMultilevel"/>
    <w:tmpl w:val="2E8C0EA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8"/>
  </w:num>
  <w:num w:numId="2">
    <w:abstractNumId w:val="3"/>
  </w:num>
  <w:num w:numId="3">
    <w:abstractNumId w:val="63"/>
  </w:num>
  <w:num w:numId="4">
    <w:abstractNumId w:val="2"/>
  </w:num>
  <w:num w:numId="5">
    <w:abstractNumId w:val="50"/>
  </w:num>
  <w:num w:numId="6">
    <w:abstractNumId w:val="49"/>
  </w:num>
  <w:num w:numId="7">
    <w:abstractNumId w:val="23"/>
  </w:num>
  <w:num w:numId="8">
    <w:abstractNumId w:val="26"/>
  </w:num>
  <w:num w:numId="9">
    <w:abstractNumId w:val="20"/>
  </w:num>
  <w:num w:numId="10">
    <w:abstractNumId w:val="1"/>
  </w:num>
  <w:num w:numId="11">
    <w:abstractNumId w:val="33"/>
  </w:num>
  <w:num w:numId="12">
    <w:abstractNumId w:val="7"/>
  </w:num>
  <w:num w:numId="13">
    <w:abstractNumId w:val="53"/>
  </w:num>
  <w:num w:numId="14">
    <w:abstractNumId w:val="47"/>
  </w:num>
  <w:num w:numId="15">
    <w:abstractNumId w:val="51"/>
  </w:num>
  <w:num w:numId="16">
    <w:abstractNumId w:val="16"/>
  </w:num>
  <w:num w:numId="17">
    <w:abstractNumId w:val="65"/>
  </w:num>
  <w:num w:numId="18">
    <w:abstractNumId w:val="37"/>
  </w:num>
  <w:num w:numId="19">
    <w:abstractNumId w:val="58"/>
  </w:num>
  <w:num w:numId="20">
    <w:abstractNumId w:val="14"/>
  </w:num>
  <w:num w:numId="21">
    <w:abstractNumId w:val="71"/>
  </w:num>
  <w:num w:numId="22">
    <w:abstractNumId w:val="5"/>
  </w:num>
  <w:num w:numId="23">
    <w:abstractNumId w:val="10"/>
  </w:num>
  <w:num w:numId="24">
    <w:abstractNumId w:val="27"/>
  </w:num>
  <w:num w:numId="25">
    <w:abstractNumId w:val="6"/>
  </w:num>
  <w:num w:numId="26">
    <w:abstractNumId w:val="11"/>
  </w:num>
  <w:num w:numId="27">
    <w:abstractNumId w:val="64"/>
  </w:num>
  <w:num w:numId="28">
    <w:abstractNumId w:val="39"/>
  </w:num>
  <w:num w:numId="29">
    <w:abstractNumId w:val="42"/>
  </w:num>
  <w:num w:numId="30">
    <w:abstractNumId w:val="55"/>
  </w:num>
  <w:num w:numId="31">
    <w:abstractNumId w:val="17"/>
  </w:num>
  <w:num w:numId="32">
    <w:abstractNumId w:val="0"/>
  </w:num>
  <w:num w:numId="33">
    <w:abstractNumId w:val="28"/>
  </w:num>
  <w:num w:numId="34">
    <w:abstractNumId w:val="25"/>
  </w:num>
  <w:num w:numId="35">
    <w:abstractNumId w:val="52"/>
  </w:num>
  <w:num w:numId="36">
    <w:abstractNumId w:val="56"/>
  </w:num>
  <w:num w:numId="37">
    <w:abstractNumId w:val="4"/>
  </w:num>
  <w:num w:numId="38">
    <w:abstractNumId w:val="12"/>
  </w:num>
  <w:num w:numId="39">
    <w:abstractNumId w:val="22"/>
  </w:num>
  <w:num w:numId="40">
    <w:abstractNumId w:val="36"/>
  </w:num>
  <w:num w:numId="41">
    <w:abstractNumId w:val="35"/>
  </w:num>
  <w:num w:numId="42">
    <w:abstractNumId w:val="62"/>
  </w:num>
  <w:num w:numId="43">
    <w:abstractNumId w:val="54"/>
  </w:num>
  <w:num w:numId="44">
    <w:abstractNumId w:val="68"/>
  </w:num>
  <w:num w:numId="45">
    <w:abstractNumId w:val="21"/>
  </w:num>
  <w:num w:numId="46">
    <w:abstractNumId w:val="66"/>
  </w:num>
  <w:num w:numId="47">
    <w:abstractNumId w:val="46"/>
  </w:num>
  <w:num w:numId="48">
    <w:abstractNumId w:val="38"/>
  </w:num>
  <w:num w:numId="49">
    <w:abstractNumId w:val="40"/>
  </w:num>
  <w:num w:numId="50">
    <w:abstractNumId w:val="13"/>
  </w:num>
  <w:num w:numId="51">
    <w:abstractNumId w:val="34"/>
  </w:num>
  <w:num w:numId="52">
    <w:abstractNumId w:val="15"/>
  </w:num>
  <w:num w:numId="53">
    <w:abstractNumId w:val="70"/>
  </w:num>
  <w:num w:numId="54">
    <w:abstractNumId w:val="44"/>
  </w:num>
  <w:num w:numId="55">
    <w:abstractNumId w:val="24"/>
  </w:num>
  <w:num w:numId="56">
    <w:abstractNumId w:val="8"/>
  </w:num>
  <w:num w:numId="57">
    <w:abstractNumId w:val="57"/>
  </w:num>
  <w:num w:numId="58">
    <w:abstractNumId w:val="41"/>
  </w:num>
  <w:num w:numId="59">
    <w:abstractNumId w:val="19"/>
  </w:num>
  <w:num w:numId="60">
    <w:abstractNumId w:val="59"/>
  </w:num>
  <w:num w:numId="61">
    <w:abstractNumId w:val="69"/>
  </w:num>
  <w:num w:numId="62">
    <w:abstractNumId w:val="43"/>
  </w:num>
  <w:num w:numId="63">
    <w:abstractNumId w:val="45"/>
  </w:num>
  <w:num w:numId="64">
    <w:abstractNumId w:val="60"/>
  </w:num>
  <w:num w:numId="65">
    <w:abstractNumId w:val="67"/>
  </w:num>
  <w:num w:numId="66">
    <w:abstractNumId w:val="31"/>
  </w:num>
  <w:num w:numId="67">
    <w:abstractNumId w:val="61"/>
  </w:num>
  <w:num w:numId="68">
    <w:abstractNumId w:val="29"/>
  </w:num>
  <w:num w:numId="69">
    <w:abstractNumId w:val="32"/>
  </w:num>
  <w:num w:numId="70">
    <w:abstractNumId w:val="18"/>
  </w:num>
  <w:num w:numId="71">
    <w:abstractNumId w:val="9"/>
  </w:num>
  <w:num w:numId="72">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en-GB" w:vendorID="64" w:dllVersion="4096" w:nlCheck="1" w:checkStyle="0"/>
  <w:activeWritingStyle w:appName="MSWord" w:lang="en-US" w:vendorID="64" w:dllVersion="4096" w:nlCheck="1" w:checkStyle="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837"/>
    <w:rsid w:val="00001018"/>
    <w:rsid w:val="00001266"/>
    <w:rsid w:val="00001CC6"/>
    <w:rsid w:val="00002109"/>
    <w:rsid w:val="000029B3"/>
    <w:rsid w:val="00002DC5"/>
    <w:rsid w:val="00005F06"/>
    <w:rsid w:val="00006A9A"/>
    <w:rsid w:val="000078D3"/>
    <w:rsid w:val="00007D15"/>
    <w:rsid w:val="00010996"/>
    <w:rsid w:val="000110FE"/>
    <w:rsid w:val="0001186A"/>
    <w:rsid w:val="000126C7"/>
    <w:rsid w:val="00012B97"/>
    <w:rsid w:val="0001379B"/>
    <w:rsid w:val="000137D4"/>
    <w:rsid w:val="00013F88"/>
    <w:rsid w:val="000143B5"/>
    <w:rsid w:val="00014B70"/>
    <w:rsid w:val="00015735"/>
    <w:rsid w:val="00015E72"/>
    <w:rsid w:val="00016171"/>
    <w:rsid w:val="00016AFB"/>
    <w:rsid w:val="000177F4"/>
    <w:rsid w:val="000204B4"/>
    <w:rsid w:val="00020EE1"/>
    <w:rsid w:val="00021341"/>
    <w:rsid w:val="000214B7"/>
    <w:rsid w:val="000215A4"/>
    <w:rsid w:val="00021908"/>
    <w:rsid w:val="0002272F"/>
    <w:rsid w:val="00022E67"/>
    <w:rsid w:val="00024175"/>
    <w:rsid w:val="0002476A"/>
    <w:rsid w:val="000258FD"/>
    <w:rsid w:val="00025C4A"/>
    <w:rsid w:val="0002612C"/>
    <w:rsid w:val="000274B7"/>
    <w:rsid w:val="00030118"/>
    <w:rsid w:val="00035F2F"/>
    <w:rsid w:val="0003682B"/>
    <w:rsid w:val="000372D0"/>
    <w:rsid w:val="00037E50"/>
    <w:rsid w:val="00040837"/>
    <w:rsid w:val="00040BED"/>
    <w:rsid w:val="000411F0"/>
    <w:rsid w:val="00041DCA"/>
    <w:rsid w:val="0004275D"/>
    <w:rsid w:val="0004367A"/>
    <w:rsid w:val="00043C33"/>
    <w:rsid w:val="00043E1D"/>
    <w:rsid w:val="00044EAA"/>
    <w:rsid w:val="00044FB8"/>
    <w:rsid w:val="00045B23"/>
    <w:rsid w:val="00045F00"/>
    <w:rsid w:val="00047370"/>
    <w:rsid w:val="0005029A"/>
    <w:rsid w:val="0005052F"/>
    <w:rsid w:val="00050950"/>
    <w:rsid w:val="00051ADA"/>
    <w:rsid w:val="00051D70"/>
    <w:rsid w:val="000525A2"/>
    <w:rsid w:val="000529F1"/>
    <w:rsid w:val="00053F48"/>
    <w:rsid w:val="00057770"/>
    <w:rsid w:val="00060616"/>
    <w:rsid w:val="000622DE"/>
    <w:rsid w:val="00062DC9"/>
    <w:rsid w:val="0006395D"/>
    <w:rsid w:val="00063C23"/>
    <w:rsid w:val="00063C2A"/>
    <w:rsid w:val="00063D1B"/>
    <w:rsid w:val="00063DDE"/>
    <w:rsid w:val="00064130"/>
    <w:rsid w:val="000658DC"/>
    <w:rsid w:val="00065E35"/>
    <w:rsid w:val="000704EF"/>
    <w:rsid w:val="000714E4"/>
    <w:rsid w:val="00071B98"/>
    <w:rsid w:val="000753BD"/>
    <w:rsid w:val="00075AE9"/>
    <w:rsid w:val="00076086"/>
    <w:rsid w:val="0007712D"/>
    <w:rsid w:val="000802DC"/>
    <w:rsid w:val="000807BD"/>
    <w:rsid w:val="00083A72"/>
    <w:rsid w:val="000840B6"/>
    <w:rsid w:val="00084A66"/>
    <w:rsid w:val="00084E7F"/>
    <w:rsid w:val="00084F7D"/>
    <w:rsid w:val="000853D3"/>
    <w:rsid w:val="000856CF"/>
    <w:rsid w:val="000864F5"/>
    <w:rsid w:val="000867D5"/>
    <w:rsid w:val="00090F79"/>
    <w:rsid w:val="000928BA"/>
    <w:rsid w:val="00094D16"/>
    <w:rsid w:val="000958BA"/>
    <w:rsid w:val="000958E0"/>
    <w:rsid w:val="00095C94"/>
    <w:rsid w:val="0009790F"/>
    <w:rsid w:val="000A0459"/>
    <w:rsid w:val="000A097C"/>
    <w:rsid w:val="000A09F7"/>
    <w:rsid w:val="000A0F97"/>
    <w:rsid w:val="000A127B"/>
    <w:rsid w:val="000A1CA5"/>
    <w:rsid w:val="000A252D"/>
    <w:rsid w:val="000A3C7A"/>
    <w:rsid w:val="000A4089"/>
    <w:rsid w:val="000A5328"/>
    <w:rsid w:val="000A534A"/>
    <w:rsid w:val="000A6901"/>
    <w:rsid w:val="000A6EA3"/>
    <w:rsid w:val="000A7425"/>
    <w:rsid w:val="000A7D16"/>
    <w:rsid w:val="000B03C6"/>
    <w:rsid w:val="000B06AC"/>
    <w:rsid w:val="000B1781"/>
    <w:rsid w:val="000B1DAE"/>
    <w:rsid w:val="000B30FF"/>
    <w:rsid w:val="000B388A"/>
    <w:rsid w:val="000B43D6"/>
    <w:rsid w:val="000B4B49"/>
    <w:rsid w:val="000B4B88"/>
    <w:rsid w:val="000B7B88"/>
    <w:rsid w:val="000B7F53"/>
    <w:rsid w:val="000C009A"/>
    <w:rsid w:val="000C12CC"/>
    <w:rsid w:val="000C2AA8"/>
    <w:rsid w:val="000C35DF"/>
    <w:rsid w:val="000C3FF3"/>
    <w:rsid w:val="000C5502"/>
    <w:rsid w:val="000C7543"/>
    <w:rsid w:val="000D0068"/>
    <w:rsid w:val="000D059F"/>
    <w:rsid w:val="000D0AD8"/>
    <w:rsid w:val="000D1D5E"/>
    <w:rsid w:val="000D1EC6"/>
    <w:rsid w:val="000D232F"/>
    <w:rsid w:val="000D248E"/>
    <w:rsid w:val="000D265C"/>
    <w:rsid w:val="000D27B5"/>
    <w:rsid w:val="000D292F"/>
    <w:rsid w:val="000D331D"/>
    <w:rsid w:val="000D3BA5"/>
    <w:rsid w:val="000D43A4"/>
    <w:rsid w:val="000D468F"/>
    <w:rsid w:val="000D4F02"/>
    <w:rsid w:val="000D5137"/>
    <w:rsid w:val="000D558B"/>
    <w:rsid w:val="000D65AC"/>
    <w:rsid w:val="000D69A5"/>
    <w:rsid w:val="000D6AF4"/>
    <w:rsid w:val="000D77C6"/>
    <w:rsid w:val="000D7B61"/>
    <w:rsid w:val="000D7CC9"/>
    <w:rsid w:val="000D7EFB"/>
    <w:rsid w:val="000E0620"/>
    <w:rsid w:val="000E19AD"/>
    <w:rsid w:val="000E29B7"/>
    <w:rsid w:val="000E2F76"/>
    <w:rsid w:val="000E3C1F"/>
    <w:rsid w:val="000E75F6"/>
    <w:rsid w:val="000E7ADF"/>
    <w:rsid w:val="000F0BB0"/>
    <w:rsid w:val="000F164C"/>
    <w:rsid w:val="000F1A1B"/>
    <w:rsid w:val="000F1A39"/>
    <w:rsid w:val="000F3D49"/>
    <w:rsid w:val="000F4FDE"/>
    <w:rsid w:val="000F522D"/>
    <w:rsid w:val="000F5711"/>
    <w:rsid w:val="000F652A"/>
    <w:rsid w:val="000F6CB8"/>
    <w:rsid w:val="000F71F7"/>
    <w:rsid w:val="000F74B8"/>
    <w:rsid w:val="000F78D9"/>
    <w:rsid w:val="00102497"/>
    <w:rsid w:val="00102859"/>
    <w:rsid w:val="001038EC"/>
    <w:rsid w:val="00104F08"/>
    <w:rsid w:val="001058C5"/>
    <w:rsid w:val="0010612A"/>
    <w:rsid w:val="0010699B"/>
    <w:rsid w:val="001070F5"/>
    <w:rsid w:val="00107795"/>
    <w:rsid w:val="00110CC7"/>
    <w:rsid w:val="00110E46"/>
    <w:rsid w:val="00111217"/>
    <w:rsid w:val="00111334"/>
    <w:rsid w:val="00112194"/>
    <w:rsid w:val="001129A0"/>
    <w:rsid w:val="00112AC4"/>
    <w:rsid w:val="00113659"/>
    <w:rsid w:val="001149DC"/>
    <w:rsid w:val="001163AE"/>
    <w:rsid w:val="00117213"/>
    <w:rsid w:val="00117434"/>
    <w:rsid w:val="0011779C"/>
    <w:rsid w:val="0011798A"/>
    <w:rsid w:val="00120480"/>
    <w:rsid w:val="00121509"/>
    <w:rsid w:val="00121A5C"/>
    <w:rsid w:val="001220F3"/>
    <w:rsid w:val="00122520"/>
    <w:rsid w:val="001225CC"/>
    <w:rsid w:val="00123721"/>
    <w:rsid w:val="0012433D"/>
    <w:rsid w:val="0012442E"/>
    <w:rsid w:val="00124B46"/>
    <w:rsid w:val="0012625E"/>
    <w:rsid w:val="00126B67"/>
    <w:rsid w:val="001271AE"/>
    <w:rsid w:val="00127923"/>
    <w:rsid w:val="0013009B"/>
    <w:rsid w:val="00130B7F"/>
    <w:rsid w:val="0013103C"/>
    <w:rsid w:val="0013189E"/>
    <w:rsid w:val="00131B1A"/>
    <w:rsid w:val="00134F16"/>
    <w:rsid w:val="00137321"/>
    <w:rsid w:val="0014159A"/>
    <w:rsid w:val="00141989"/>
    <w:rsid w:val="00141C36"/>
    <w:rsid w:val="00142433"/>
    <w:rsid w:val="00143271"/>
    <w:rsid w:val="001437C0"/>
    <w:rsid w:val="001448FF"/>
    <w:rsid w:val="00145709"/>
    <w:rsid w:val="001470D2"/>
    <w:rsid w:val="00147811"/>
    <w:rsid w:val="001502CA"/>
    <w:rsid w:val="001508C9"/>
    <w:rsid w:val="001515F0"/>
    <w:rsid w:val="001532E1"/>
    <w:rsid w:val="0015393D"/>
    <w:rsid w:val="0015451D"/>
    <w:rsid w:val="0015492D"/>
    <w:rsid w:val="001564C7"/>
    <w:rsid w:val="001567D7"/>
    <w:rsid w:val="00157860"/>
    <w:rsid w:val="0016045D"/>
    <w:rsid w:val="001608D6"/>
    <w:rsid w:val="001621DA"/>
    <w:rsid w:val="0016319A"/>
    <w:rsid w:val="0016320C"/>
    <w:rsid w:val="0016323A"/>
    <w:rsid w:val="00164123"/>
    <w:rsid w:val="00164C36"/>
    <w:rsid w:val="00165300"/>
    <w:rsid w:val="0016784B"/>
    <w:rsid w:val="0016787B"/>
    <w:rsid w:val="001702A9"/>
    <w:rsid w:val="00170518"/>
    <w:rsid w:val="0017090B"/>
    <w:rsid w:val="0017142F"/>
    <w:rsid w:val="0017173A"/>
    <w:rsid w:val="0017275C"/>
    <w:rsid w:val="0017286F"/>
    <w:rsid w:val="0017311B"/>
    <w:rsid w:val="00173684"/>
    <w:rsid w:val="001739BD"/>
    <w:rsid w:val="00174532"/>
    <w:rsid w:val="00174916"/>
    <w:rsid w:val="00181487"/>
    <w:rsid w:val="00181835"/>
    <w:rsid w:val="001834AC"/>
    <w:rsid w:val="00183CCE"/>
    <w:rsid w:val="001846A8"/>
    <w:rsid w:val="001849EC"/>
    <w:rsid w:val="0018680D"/>
    <w:rsid w:val="00186AE0"/>
    <w:rsid w:val="00186B92"/>
    <w:rsid w:val="00187029"/>
    <w:rsid w:val="00187E88"/>
    <w:rsid w:val="00191C4F"/>
    <w:rsid w:val="0019259F"/>
    <w:rsid w:val="00192942"/>
    <w:rsid w:val="00192C42"/>
    <w:rsid w:val="00192D58"/>
    <w:rsid w:val="00194495"/>
    <w:rsid w:val="00194A16"/>
    <w:rsid w:val="0019624C"/>
    <w:rsid w:val="00196A68"/>
    <w:rsid w:val="00197F5F"/>
    <w:rsid w:val="001A0CA9"/>
    <w:rsid w:val="001A0E06"/>
    <w:rsid w:val="001A118E"/>
    <w:rsid w:val="001A189D"/>
    <w:rsid w:val="001A20EF"/>
    <w:rsid w:val="001A32DD"/>
    <w:rsid w:val="001A4987"/>
    <w:rsid w:val="001A5D5E"/>
    <w:rsid w:val="001A6E20"/>
    <w:rsid w:val="001A7BF8"/>
    <w:rsid w:val="001B17D8"/>
    <w:rsid w:val="001B1B68"/>
    <w:rsid w:val="001B1FBE"/>
    <w:rsid w:val="001B3854"/>
    <w:rsid w:val="001B434A"/>
    <w:rsid w:val="001B578C"/>
    <w:rsid w:val="001B5E3F"/>
    <w:rsid w:val="001B7F37"/>
    <w:rsid w:val="001C1FF5"/>
    <w:rsid w:val="001C2022"/>
    <w:rsid w:val="001C34B4"/>
    <w:rsid w:val="001C399A"/>
    <w:rsid w:val="001C3F6D"/>
    <w:rsid w:val="001C5C72"/>
    <w:rsid w:val="001C64EF"/>
    <w:rsid w:val="001C68F8"/>
    <w:rsid w:val="001C7679"/>
    <w:rsid w:val="001C7AE1"/>
    <w:rsid w:val="001C7B87"/>
    <w:rsid w:val="001C7E30"/>
    <w:rsid w:val="001D134D"/>
    <w:rsid w:val="001D2415"/>
    <w:rsid w:val="001D2A28"/>
    <w:rsid w:val="001D2A5B"/>
    <w:rsid w:val="001D2AC6"/>
    <w:rsid w:val="001D32BE"/>
    <w:rsid w:val="001D354E"/>
    <w:rsid w:val="001D3D90"/>
    <w:rsid w:val="001D3EF3"/>
    <w:rsid w:val="001D3FB5"/>
    <w:rsid w:val="001D550C"/>
    <w:rsid w:val="001D5C1B"/>
    <w:rsid w:val="001D6799"/>
    <w:rsid w:val="001D6D40"/>
    <w:rsid w:val="001D7680"/>
    <w:rsid w:val="001D7DAB"/>
    <w:rsid w:val="001E08C6"/>
    <w:rsid w:val="001E1754"/>
    <w:rsid w:val="001E60A5"/>
    <w:rsid w:val="001E6A72"/>
    <w:rsid w:val="001E6C71"/>
    <w:rsid w:val="001F21CD"/>
    <w:rsid w:val="001F27F0"/>
    <w:rsid w:val="001F2A3A"/>
    <w:rsid w:val="001F312F"/>
    <w:rsid w:val="001F4E87"/>
    <w:rsid w:val="001F5B63"/>
    <w:rsid w:val="001F6683"/>
    <w:rsid w:val="001F67B8"/>
    <w:rsid w:val="001F72D8"/>
    <w:rsid w:val="001F784E"/>
    <w:rsid w:val="00200582"/>
    <w:rsid w:val="0020175C"/>
    <w:rsid w:val="002019F4"/>
    <w:rsid w:val="00203CAA"/>
    <w:rsid w:val="0020472B"/>
    <w:rsid w:val="00204CF3"/>
    <w:rsid w:val="00204FD4"/>
    <w:rsid w:val="00205A85"/>
    <w:rsid w:val="00205AA8"/>
    <w:rsid w:val="00206335"/>
    <w:rsid w:val="00206392"/>
    <w:rsid w:val="00206591"/>
    <w:rsid w:val="0020661B"/>
    <w:rsid w:val="002068C0"/>
    <w:rsid w:val="00206A2C"/>
    <w:rsid w:val="00206C01"/>
    <w:rsid w:val="00207576"/>
    <w:rsid w:val="002122AF"/>
    <w:rsid w:val="00212B97"/>
    <w:rsid w:val="00213B64"/>
    <w:rsid w:val="00214C65"/>
    <w:rsid w:val="00214E1B"/>
    <w:rsid w:val="002172F4"/>
    <w:rsid w:val="00220AE8"/>
    <w:rsid w:val="0022423C"/>
    <w:rsid w:val="0022453C"/>
    <w:rsid w:val="00224D5B"/>
    <w:rsid w:val="00225275"/>
    <w:rsid w:val="00226452"/>
    <w:rsid w:val="00227D46"/>
    <w:rsid w:val="00230A1D"/>
    <w:rsid w:val="00232052"/>
    <w:rsid w:val="00232CA2"/>
    <w:rsid w:val="002331C7"/>
    <w:rsid w:val="00233DE4"/>
    <w:rsid w:val="00235D3E"/>
    <w:rsid w:val="0023618F"/>
    <w:rsid w:val="002374C0"/>
    <w:rsid w:val="00237F79"/>
    <w:rsid w:val="00240E7E"/>
    <w:rsid w:val="002410C9"/>
    <w:rsid w:val="00242B35"/>
    <w:rsid w:val="002433F7"/>
    <w:rsid w:val="00243F3F"/>
    <w:rsid w:val="002441F4"/>
    <w:rsid w:val="00244551"/>
    <w:rsid w:val="00245202"/>
    <w:rsid w:val="00245776"/>
    <w:rsid w:val="00246726"/>
    <w:rsid w:val="00246946"/>
    <w:rsid w:val="0024699A"/>
    <w:rsid w:val="0024763D"/>
    <w:rsid w:val="002478D2"/>
    <w:rsid w:val="00251099"/>
    <w:rsid w:val="002515EE"/>
    <w:rsid w:val="00251961"/>
    <w:rsid w:val="00251B50"/>
    <w:rsid w:val="00251E07"/>
    <w:rsid w:val="00252FB0"/>
    <w:rsid w:val="002535FF"/>
    <w:rsid w:val="00253751"/>
    <w:rsid w:val="00253A44"/>
    <w:rsid w:val="002567D9"/>
    <w:rsid w:val="002570DB"/>
    <w:rsid w:val="002576BD"/>
    <w:rsid w:val="00260735"/>
    <w:rsid w:val="00260D1C"/>
    <w:rsid w:val="00260E7D"/>
    <w:rsid w:val="00261A3F"/>
    <w:rsid w:val="002622E3"/>
    <w:rsid w:val="00263C7C"/>
    <w:rsid w:val="00264A08"/>
    <w:rsid w:val="002662DE"/>
    <w:rsid w:val="002667F8"/>
    <w:rsid w:val="002700A2"/>
    <w:rsid w:val="00270215"/>
    <w:rsid w:val="00274AD1"/>
    <w:rsid w:val="00274C1C"/>
    <w:rsid w:val="00275BD4"/>
    <w:rsid w:val="00275D03"/>
    <w:rsid w:val="00276061"/>
    <w:rsid w:val="00280229"/>
    <w:rsid w:val="00280D55"/>
    <w:rsid w:val="002811AE"/>
    <w:rsid w:val="00281DE8"/>
    <w:rsid w:val="002825BC"/>
    <w:rsid w:val="0028292F"/>
    <w:rsid w:val="00282B7B"/>
    <w:rsid w:val="0028368C"/>
    <w:rsid w:val="002847ED"/>
    <w:rsid w:val="0028575A"/>
    <w:rsid w:val="00286ECF"/>
    <w:rsid w:val="002878A7"/>
    <w:rsid w:val="00291309"/>
    <w:rsid w:val="00291B39"/>
    <w:rsid w:val="00292754"/>
    <w:rsid w:val="002929C4"/>
    <w:rsid w:val="002931EA"/>
    <w:rsid w:val="002938C9"/>
    <w:rsid w:val="002947E9"/>
    <w:rsid w:val="00294981"/>
    <w:rsid w:val="002957E6"/>
    <w:rsid w:val="00296AFC"/>
    <w:rsid w:val="002975A3"/>
    <w:rsid w:val="00297628"/>
    <w:rsid w:val="002A0947"/>
    <w:rsid w:val="002A0BA5"/>
    <w:rsid w:val="002A0D34"/>
    <w:rsid w:val="002A1742"/>
    <w:rsid w:val="002A35DC"/>
    <w:rsid w:val="002A3CC3"/>
    <w:rsid w:val="002A579C"/>
    <w:rsid w:val="002A6699"/>
    <w:rsid w:val="002A6762"/>
    <w:rsid w:val="002A79E6"/>
    <w:rsid w:val="002B0212"/>
    <w:rsid w:val="002B03C4"/>
    <w:rsid w:val="002B12A3"/>
    <w:rsid w:val="002B1900"/>
    <w:rsid w:val="002B1AFC"/>
    <w:rsid w:val="002B234B"/>
    <w:rsid w:val="002B35F8"/>
    <w:rsid w:val="002B3A88"/>
    <w:rsid w:val="002B4AF1"/>
    <w:rsid w:val="002B53C8"/>
    <w:rsid w:val="002B562A"/>
    <w:rsid w:val="002B56A2"/>
    <w:rsid w:val="002C070B"/>
    <w:rsid w:val="002C0E1E"/>
    <w:rsid w:val="002C2D90"/>
    <w:rsid w:val="002C311B"/>
    <w:rsid w:val="002C3336"/>
    <w:rsid w:val="002C3A3C"/>
    <w:rsid w:val="002C5513"/>
    <w:rsid w:val="002C5B95"/>
    <w:rsid w:val="002C5FC1"/>
    <w:rsid w:val="002C65D2"/>
    <w:rsid w:val="002D0A13"/>
    <w:rsid w:val="002D0CF6"/>
    <w:rsid w:val="002D19A8"/>
    <w:rsid w:val="002D1CF9"/>
    <w:rsid w:val="002D2E3E"/>
    <w:rsid w:val="002D2FCD"/>
    <w:rsid w:val="002D317F"/>
    <w:rsid w:val="002D37C8"/>
    <w:rsid w:val="002D3F0B"/>
    <w:rsid w:val="002D51F1"/>
    <w:rsid w:val="002D57A4"/>
    <w:rsid w:val="002D5EFE"/>
    <w:rsid w:val="002D61E3"/>
    <w:rsid w:val="002D7082"/>
    <w:rsid w:val="002D7AE4"/>
    <w:rsid w:val="002E0728"/>
    <w:rsid w:val="002E1B52"/>
    <w:rsid w:val="002E1C3B"/>
    <w:rsid w:val="002E344E"/>
    <w:rsid w:val="002E5192"/>
    <w:rsid w:val="002E646C"/>
    <w:rsid w:val="002E6C3B"/>
    <w:rsid w:val="002E7043"/>
    <w:rsid w:val="002E7535"/>
    <w:rsid w:val="002E7A11"/>
    <w:rsid w:val="002F0139"/>
    <w:rsid w:val="002F0293"/>
    <w:rsid w:val="002F2676"/>
    <w:rsid w:val="002F35FF"/>
    <w:rsid w:val="002F5D3C"/>
    <w:rsid w:val="003000E5"/>
    <w:rsid w:val="00301223"/>
    <w:rsid w:val="003023E7"/>
    <w:rsid w:val="003023FE"/>
    <w:rsid w:val="00302588"/>
    <w:rsid w:val="003025B4"/>
    <w:rsid w:val="00302B12"/>
    <w:rsid w:val="003035C9"/>
    <w:rsid w:val="00303CCB"/>
    <w:rsid w:val="00304047"/>
    <w:rsid w:val="00305251"/>
    <w:rsid w:val="00310A57"/>
    <w:rsid w:val="003114D8"/>
    <w:rsid w:val="003129B1"/>
    <w:rsid w:val="00312A20"/>
    <w:rsid w:val="003133D5"/>
    <w:rsid w:val="00313D20"/>
    <w:rsid w:val="003155B7"/>
    <w:rsid w:val="00317188"/>
    <w:rsid w:val="00317404"/>
    <w:rsid w:val="00320F70"/>
    <w:rsid w:val="00321602"/>
    <w:rsid w:val="00321B61"/>
    <w:rsid w:val="00321F88"/>
    <w:rsid w:val="003220D7"/>
    <w:rsid w:val="003224AE"/>
    <w:rsid w:val="003225DE"/>
    <w:rsid w:val="00323DD3"/>
    <w:rsid w:val="00325D11"/>
    <w:rsid w:val="003313A0"/>
    <w:rsid w:val="00331474"/>
    <w:rsid w:val="003319B9"/>
    <w:rsid w:val="003325B6"/>
    <w:rsid w:val="003328D2"/>
    <w:rsid w:val="00332D07"/>
    <w:rsid w:val="00333A09"/>
    <w:rsid w:val="00336172"/>
    <w:rsid w:val="00336692"/>
    <w:rsid w:val="00337CFB"/>
    <w:rsid w:val="0034012F"/>
    <w:rsid w:val="0034087E"/>
    <w:rsid w:val="00341271"/>
    <w:rsid w:val="0034137A"/>
    <w:rsid w:val="003426CF"/>
    <w:rsid w:val="00345B08"/>
    <w:rsid w:val="00346203"/>
    <w:rsid w:val="00346F47"/>
    <w:rsid w:val="0034740A"/>
    <w:rsid w:val="0034746A"/>
    <w:rsid w:val="00347B1A"/>
    <w:rsid w:val="0035220B"/>
    <w:rsid w:val="00352A2B"/>
    <w:rsid w:val="003538CF"/>
    <w:rsid w:val="00353C10"/>
    <w:rsid w:val="0035450B"/>
    <w:rsid w:val="00360F91"/>
    <w:rsid w:val="00361D4F"/>
    <w:rsid w:val="00363FCA"/>
    <w:rsid w:val="00366ACE"/>
    <w:rsid w:val="00366F68"/>
    <w:rsid w:val="00367D56"/>
    <w:rsid w:val="003704B0"/>
    <w:rsid w:val="00371308"/>
    <w:rsid w:val="00371BD5"/>
    <w:rsid w:val="003720E9"/>
    <w:rsid w:val="00372295"/>
    <w:rsid w:val="00373C00"/>
    <w:rsid w:val="00375747"/>
    <w:rsid w:val="003757EB"/>
    <w:rsid w:val="00376785"/>
    <w:rsid w:val="00376A04"/>
    <w:rsid w:val="003776F5"/>
    <w:rsid w:val="00381F61"/>
    <w:rsid w:val="00382913"/>
    <w:rsid w:val="00382EB3"/>
    <w:rsid w:val="00384496"/>
    <w:rsid w:val="00384BE6"/>
    <w:rsid w:val="00384FFC"/>
    <w:rsid w:val="00385B74"/>
    <w:rsid w:val="00386CB0"/>
    <w:rsid w:val="0039130A"/>
    <w:rsid w:val="00391948"/>
    <w:rsid w:val="00392F95"/>
    <w:rsid w:val="0039327A"/>
    <w:rsid w:val="003933A9"/>
    <w:rsid w:val="00393665"/>
    <w:rsid w:val="0039428D"/>
    <w:rsid w:val="00394BFD"/>
    <w:rsid w:val="00394D22"/>
    <w:rsid w:val="0039514E"/>
    <w:rsid w:val="003963E2"/>
    <w:rsid w:val="003966C7"/>
    <w:rsid w:val="0039684B"/>
    <w:rsid w:val="00396BBD"/>
    <w:rsid w:val="003A0B40"/>
    <w:rsid w:val="003A2F83"/>
    <w:rsid w:val="003A4817"/>
    <w:rsid w:val="003A51CC"/>
    <w:rsid w:val="003A693E"/>
    <w:rsid w:val="003A7360"/>
    <w:rsid w:val="003A7C2A"/>
    <w:rsid w:val="003A7FE3"/>
    <w:rsid w:val="003B05FE"/>
    <w:rsid w:val="003B3D0E"/>
    <w:rsid w:val="003B6B09"/>
    <w:rsid w:val="003B7BAB"/>
    <w:rsid w:val="003C01ED"/>
    <w:rsid w:val="003C16DD"/>
    <w:rsid w:val="003C1ADF"/>
    <w:rsid w:val="003C2650"/>
    <w:rsid w:val="003C4896"/>
    <w:rsid w:val="003C628E"/>
    <w:rsid w:val="003C69C9"/>
    <w:rsid w:val="003D05E4"/>
    <w:rsid w:val="003D0C13"/>
    <w:rsid w:val="003D10E6"/>
    <w:rsid w:val="003D31C6"/>
    <w:rsid w:val="003D430C"/>
    <w:rsid w:val="003D57B8"/>
    <w:rsid w:val="003D7235"/>
    <w:rsid w:val="003D7D91"/>
    <w:rsid w:val="003E03E0"/>
    <w:rsid w:val="003E0952"/>
    <w:rsid w:val="003E0DE4"/>
    <w:rsid w:val="003E4697"/>
    <w:rsid w:val="003E4DA2"/>
    <w:rsid w:val="003E6937"/>
    <w:rsid w:val="003E6A20"/>
    <w:rsid w:val="003E7437"/>
    <w:rsid w:val="003F0247"/>
    <w:rsid w:val="003F0739"/>
    <w:rsid w:val="003F0902"/>
    <w:rsid w:val="003F0F2F"/>
    <w:rsid w:val="003F2423"/>
    <w:rsid w:val="003F3502"/>
    <w:rsid w:val="003F3A7D"/>
    <w:rsid w:val="003F3C99"/>
    <w:rsid w:val="003F4381"/>
    <w:rsid w:val="003F46CE"/>
    <w:rsid w:val="003F7282"/>
    <w:rsid w:val="00401C3D"/>
    <w:rsid w:val="0040242A"/>
    <w:rsid w:val="004045C5"/>
    <w:rsid w:val="004051C3"/>
    <w:rsid w:val="004059A0"/>
    <w:rsid w:val="00405F15"/>
    <w:rsid w:val="00406799"/>
    <w:rsid w:val="00406822"/>
    <w:rsid w:val="00411306"/>
    <w:rsid w:val="0041203F"/>
    <w:rsid w:val="00412CC1"/>
    <w:rsid w:val="004139C9"/>
    <w:rsid w:val="00414618"/>
    <w:rsid w:val="00414778"/>
    <w:rsid w:val="00414890"/>
    <w:rsid w:val="00414FD2"/>
    <w:rsid w:val="0041529F"/>
    <w:rsid w:val="00416008"/>
    <w:rsid w:val="00420412"/>
    <w:rsid w:val="004206C9"/>
    <w:rsid w:val="00421A7C"/>
    <w:rsid w:val="0042296C"/>
    <w:rsid w:val="00422A0D"/>
    <w:rsid w:val="00422E5D"/>
    <w:rsid w:val="004249E1"/>
    <w:rsid w:val="00424AC0"/>
    <w:rsid w:val="00424F1D"/>
    <w:rsid w:val="004252A9"/>
    <w:rsid w:val="00426C62"/>
    <w:rsid w:val="00431864"/>
    <w:rsid w:val="00432FFB"/>
    <w:rsid w:val="00434387"/>
    <w:rsid w:val="00435253"/>
    <w:rsid w:val="0043793C"/>
    <w:rsid w:val="00440CB3"/>
    <w:rsid w:val="00440FC3"/>
    <w:rsid w:val="00441179"/>
    <w:rsid w:val="00441892"/>
    <w:rsid w:val="00441C45"/>
    <w:rsid w:val="00441DBF"/>
    <w:rsid w:val="0044203E"/>
    <w:rsid w:val="00443DCD"/>
    <w:rsid w:val="004455F1"/>
    <w:rsid w:val="00445AC8"/>
    <w:rsid w:val="00445E88"/>
    <w:rsid w:val="004463C8"/>
    <w:rsid w:val="004465D5"/>
    <w:rsid w:val="00446D6D"/>
    <w:rsid w:val="00450F46"/>
    <w:rsid w:val="00455328"/>
    <w:rsid w:val="0045575F"/>
    <w:rsid w:val="00455AD2"/>
    <w:rsid w:val="00455B6D"/>
    <w:rsid w:val="0045691E"/>
    <w:rsid w:val="00463920"/>
    <w:rsid w:val="004661CF"/>
    <w:rsid w:val="0046638C"/>
    <w:rsid w:val="00467839"/>
    <w:rsid w:val="004678AB"/>
    <w:rsid w:val="00470B2B"/>
    <w:rsid w:val="00470BF5"/>
    <w:rsid w:val="00471C61"/>
    <w:rsid w:val="004741E1"/>
    <w:rsid w:val="00475BF5"/>
    <w:rsid w:val="00475DC6"/>
    <w:rsid w:val="00475EFC"/>
    <w:rsid w:val="00480181"/>
    <w:rsid w:val="004803FE"/>
    <w:rsid w:val="00482586"/>
    <w:rsid w:val="00484F16"/>
    <w:rsid w:val="0048598E"/>
    <w:rsid w:val="0048649B"/>
    <w:rsid w:val="00486D0E"/>
    <w:rsid w:val="00486D8F"/>
    <w:rsid w:val="00487DE1"/>
    <w:rsid w:val="00490266"/>
    <w:rsid w:val="004902D6"/>
    <w:rsid w:val="004908B1"/>
    <w:rsid w:val="00491DDA"/>
    <w:rsid w:val="004929FB"/>
    <w:rsid w:val="00492BD2"/>
    <w:rsid w:val="0049532F"/>
    <w:rsid w:val="00495C86"/>
    <w:rsid w:val="00495E4D"/>
    <w:rsid w:val="0049700B"/>
    <w:rsid w:val="00497A77"/>
    <w:rsid w:val="004A3332"/>
    <w:rsid w:val="004A3931"/>
    <w:rsid w:val="004A3B91"/>
    <w:rsid w:val="004A49F0"/>
    <w:rsid w:val="004A5412"/>
    <w:rsid w:val="004A57C2"/>
    <w:rsid w:val="004A58B2"/>
    <w:rsid w:val="004A5CF7"/>
    <w:rsid w:val="004A6134"/>
    <w:rsid w:val="004A6FB7"/>
    <w:rsid w:val="004A7B44"/>
    <w:rsid w:val="004B0F93"/>
    <w:rsid w:val="004B1134"/>
    <w:rsid w:val="004B33A7"/>
    <w:rsid w:val="004B40CA"/>
    <w:rsid w:val="004B6723"/>
    <w:rsid w:val="004B6818"/>
    <w:rsid w:val="004B69E6"/>
    <w:rsid w:val="004B7169"/>
    <w:rsid w:val="004B7306"/>
    <w:rsid w:val="004B762D"/>
    <w:rsid w:val="004C07A6"/>
    <w:rsid w:val="004C0F63"/>
    <w:rsid w:val="004C0F6D"/>
    <w:rsid w:val="004C394C"/>
    <w:rsid w:val="004C42FF"/>
    <w:rsid w:val="004C513E"/>
    <w:rsid w:val="004C659F"/>
    <w:rsid w:val="004C789D"/>
    <w:rsid w:val="004D0D2B"/>
    <w:rsid w:val="004D17C4"/>
    <w:rsid w:val="004D19F3"/>
    <w:rsid w:val="004D227A"/>
    <w:rsid w:val="004D2C04"/>
    <w:rsid w:val="004D3263"/>
    <w:rsid w:val="004D3470"/>
    <w:rsid w:val="004D35B3"/>
    <w:rsid w:val="004D38B5"/>
    <w:rsid w:val="004D3A3C"/>
    <w:rsid w:val="004D61BC"/>
    <w:rsid w:val="004D74C0"/>
    <w:rsid w:val="004D7614"/>
    <w:rsid w:val="004E0D0E"/>
    <w:rsid w:val="004E1E90"/>
    <w:rsid w:val="004E2806"/>
    <w:rsid w:val="004E398C"/>
    <w:rsid w:val="004E4098"/>
    <w:rsid w:val="004E4119"/>
    <w:rsid w:val="004E4FEA"/>
    <w:rsid w:val="004E575E"/>
    <w:rsid w:val="004E6652"/>
    <w:rsid w:val="004E7403"/>
    <w:rsid w:val="004F0AA7"/>
    <w:rsid w:val="004F1063"/>
    <w:rsid w:val="004F2367"/>
    <w:rsid w:val="004F2CB5"/>
    <w:rsid w:val="004F33B4"/>
    <w:rsid w:val="004F3908"/>
    <w:rsid w:val="004F3A04"/>
    <w:rsid w:val="004F3C38"/>
    <w:rsid w:val="004F4404"/>
    <w:rsid w:val="004F5301"/>
    <w:rsid w:val="004F6612"/>
    <w:rsid w:val="005001A4"/>
    <w:rsid w:val="005005BD"/>
    <w:rsid w:val="00501DE6"/>
    <w:rsid w:val="00502D79"/>
    <w:rsid w:val="0050305E"/>
    <w:rsid w:val="0050312C"/>
    <w:rsid w:val="00505A53"/>
    <w:rsid w:val="00505CAA"/>
    <w:rsid w:val="005060E1"/>
    <w:rsid w:val="005068E2"/>
    <w:rsid w:val="00510B1A"/>
    <w:rsid w:val="00510E50"/>
    <w:rsid w:val="00511E06"/>
    <w:rsid w:val="00513097"/>
    <w:rsid w:val="00514724"/>
    <w:rsid w:val="00515018"/>
    <w:rsid w:val="00515A9C"/>
    <w:rsid w:val="00520ED3"/>
    <w:rsid w:val="005220EA"/>
    <w:rsid w:val="005231C7"/>
    <w:rsid w:val="0052329C"/>
    <w:rsid w:val="005239A7"/>
    <w:rsid w:val="0052414B"/>
    <w:rsid w:val="00524828"/>
    <w:rsid w:val="00524ACB"/>
    <w:rsid w:val="00524FE7"/>
    <w:rsid w:val="00525385"/>
    <w:rsid w:val="00525FCE"/>
    <w:rsid w:val="005267C3"/>
    <w:rsid w:val="0052787C"/>
    <w:rsid w:val="00527AE2"/>
    <w:rsid w:val="00527CBE"/>
    <w:rsid w:val="00527D9D"/>
    <w:rsid w:val="00527E7A"/>
    <w:rsid w:val="005306CC"/>
    <w:rsid w:val="00531B05"/>
    <w:rsid w:val="00532B71"/>
    <w:rsid w:val="00532E6A"/>
    <w:rsid w:val="00532EB3"/>
    <w:rsid w:val="005358E8"/>
    <w:rsid w:val="00536412"/>
    <w:rsid w:val="00536476"/>
    <w:rsid w:val="005364E5"/>
    <w:rsid w:val="005368FC"/>
    <w:rsid w:val="00537741"/>
    <w:rsid w:val="00543474"/>
    <w:rsid w:val="00543B68"/>
    <w:rsid w:val="005441E3"/>
    <w:rsid w:val="00544859"/>
    <w:rsid w:val="00544B56"/>
    <w:rsid w:val="005457F4"/>
    <w:rsid w:val="00545BEA"/>
    <w:rsid w:val="00546D17"/>
    <w:rsid w:val="00547B43"/>
    <w:rsid w:val="00550E6F"/>
    <w:rsid w:val="00550F57"/>
    <w:rsid w:val="00551484"/>
    <w:rsid w:val="00554818"/>
    <w:rsid w:val="00555047"/>
    <w:rsid w:val="005556AA"/>
    <w:rsid w:val="00555EE7"/>
    <w:rsid w:val="00556524"/>
    <w:rsid w:val="005569E3"/>
    <w:rsid w:val="005578D1"/>
    <w:rsid w:val="00560669"/>
    <w:rsid w:val="005609B0"/>
    <w:rsid w:val="00560C40"/>
    <w:rsid w:val="00560D01"/>
    <w:rsid w:val="005615E8"/>
    <w:rsid w:val="00561762"/>
    <w:rsid w:val="00562351"/>
    <w:rsid w:val="00562A62"/>
    <w:rsid w:val="00563816"/>
    <w:rsid w:val="00563B1C"/>
    <w:rsid w:val="00563B99"/>
    <w:rsid w:val="005652FD"/>
    <w:rsid w:val="0056562B"/>
    <w:rsid w:val="0056662B"/>
    <w:rsid w:val="00570224"/>
    <w:rsid w:val="00570A28"/>
    <w:rsid w:val="0057179A"/>
    <w:rsid w:val="00571E1D"/>
    <w:rsid w:val="005749ED"/>
    <w:rsid w:val="00575FDF"/>
    <w:rsid w:val="00576652"/>
    <w:rsid w:val="0058000F"/>
    <w:rsid w:val="00580562"/>
    <w:rsid w:val="00581A6B"/>
    <w:rsid w:val="00582CE9"/>
    <w:rsid w:val="005843EE"/>
    <w:rsid w:val="00585D7F"/>
    <w:rsid w:val="00586687"/>
    <w:rsid w:val="00587E61"/>
    <w:rsid w:val="00590078"/>
    <w:rsid w:val="0059119F"/>
    <w:rsid w:val="00591614"/>
    <w:rsid w:val="005944EA"/>
    <w:rsid w:val="005946AD"/>
    <w:rsid w:val="00594FD9"/>
    <w:rsid w:val="00595F65"/>
    <w:rsid w:val="00596F35"/>
    <w:rsid w:val="005A0045"/>
    <w:rsid w:val="005A04C5"/>
    <w:rsid w:val="005A09C7"/>
    <w:rsid w:val="005A258B"/>
    <w:rsid w:val="005A2736"/>
    <w:rsid w:val="005A28DA"/>
    <w:rsid w:val="005A3BBB"/>
    <w:rsid w:val="005A4BAB"/>
    <w:rsid w:val="005A5E17"/>
    <w:rsid w:val="005A70A7"/>
    <w:rsid w:val="005A7ED9"/>
    <w:rsid w:val="005B2EC1"/>
    <w:rsid w:val="005B350F"/>
    <w:rsid w:val="005B44A4"/>
    <w:rsid w:val="005B47AC"/>
    <w:rsid w:val="005B54F0"/>
    <w:rsid w:val="005B563F"/>
    <w:rsid w:val="005B5D63"/>
    <w:rsid w:val="005B70F5"/>
    <w:rsid w:val="005B774F"/>
    <w:rsid w:val="005C00BF"/>
    <w:rsid w:val="005C0615"/>
    <w:rsid w:val="005C1C90"/>
    <w:rsid w:val="005C26CA"/>
    <w:rsid w:val="005C26D7"/>
    <w:rsid w:val="005C272E"/>
    <w:rsid w:val="005C287C"/>
    <w:rsid w:val="005C4FBA"/>
    <w:rsid w:val="005C50F6"/>
    <w:rsid w:val="005C659F"/>
    <w:rsid w:val="005C769E"/>
    <w:rsid w:val="005D01B5"/>
    <w:rsid w:val="005D02F5"/>
    <w:rsid w:val="005D2D65"/>
    <w:rsid w:val="005D3049"/>
    <w:rsid w:val="005D50F2"/>
    <w:rsid w:val="005D69A1"/>
    <w:rsid w:val="005D73F3"/>
    <w:rsid w:val="005E0358"/>
    <w:rsid w:val="005E0F8C"/>
    <w:rsid w:val="005E10F7"/>
    <w:rsid w:val="005E14BB"/>
    <w:rsid w:val="005E1919"/>
    <w:rsid w:val="005E1C0F"/>
    <w:rsid w:val="005E373C"/>
    <w:rsid w:val="005E3E30"/>
    <w:rsid w:val="005E4F86"/>
    <w:rsid w:val="005E6996"/>
    <w:rsid w:val="005E7D8A"/>
    <w:rsid w:val="005E7F66"/>
    <w:rsid w:val="005F0E96"/>
    <w:rsid w:val="005F1847"/>
    <w:rsid w:val="005F2BEC"/>
    <w:rsid w:val="005F2EF0"/>
    <w:rsid w:val="005F5577"/>
    <w:rsid w:val="005F5B4F"/>
    <w:rsid w:val="005F614E"/>
    <w:rsid w:val="005F6419"/>
    <w:rsid w:val="00603444"/>
    <w:rsid w:val="006036DA"/>
    <w:rsid w:val="00603D34"/>
    <w:rsid w:val="006051D7"/>
    <w:rsid w:val="00605556"/>
    <w:rsid w:val="00606051"/>
    <w:rsid w:val="006077E5"/>
    <w:rsid w:val="00610827"/>
    <w:rsid w:val="00611B93"/>
    <w:rsid w:val="00611DCB"/>
    <w:rsid w:val="00613A65"/>
    <w:rsid w:val="006158F3"/>
    <w:rsid w:val="00615FC2"/>
    <w:rsid w:val="006162A4"/>
    <w:rsid w:val="00617979"/>
    <w:rsid w:val="006206BA"/>
    <w:rsid w:val="006216B2"/>
    <w:rsid w:val="006217AE"/>
    <w:rsid w:val="00621F36"/>
    <w:rsid w:val="00622195"/>
    <w:rsid w:val="006225AA"/>
    <w:rsid w:val="00623009"/>
    <w:rsid w:val="00623CBD"/>
    <w:rsid w:val="00625070"/>
    <w:rsid w:val="0062635B"/>
    <w:rsid w:val="00626F16"/>
    <w:rsid w:val="00631094"/>
    <w:rsid w:val="006321CC"/>
    <w:rsid w:val="006321F8"/>
    <w:rsid w:val="00632581"/>
    <w:rsid w:val="00632EA2"/>
    <w:rsid w:val="00633F1C"/>
    <w:rsid w:val="00634530"/>
    <w:rsid w:val="0063621C"/>
    <w:rsid w:val="00637828"/>
    <w:rsid w:val="00637B28"/>
    <w:rsid w:val="00640756"/>
    <w:rsid w:val="00642154"/>
    <w:rsid w:val="0064217B"/>
    <w:rsid w:val="00643E32"/>
    <w:rsid w:val="00644503"/>
    <w:rsid w:val="0064671E"/>
    <w:rsid w:val="00646919"/>
    <w:rsid w:val="006503AF"/>
    <w:rsid w:val="006505E8"/>
    <w:rsid w:val="0065244D"/>
    <w:rsid w:val="00652DBA"/>
    <w:rsid w:val="00652ED3"/>
    <w:rsid w:val="00653C23"/>
    <w:rsid w:val="00653F11"/>
    <w:rsid w:val="00654199"/>
    <w:rsid w:val="00655A41"/>
    <w:rsid w:val="006600A0"/>
    <w:rsid w:val="00662083"/>
    <w:rsid w:val="00662A6F"/>
    <w:rsid w:val="006631B7"/>
    <w:rsid w:val="00663714"/>
    <w:rsid w:val="00664A8D"/>
    <w:rsid w:val="00664B47"/>
    <w:rsid w:val="00670B5A"/>
    <w:rsid w:val="00672E8D"/>
    <w:rsid w:val="00673875"/>
    <w:rsid w:val="006741B9"/>
    <w:rsid w:val="006745EA"/>
    <w:rsid w:val="006752FE"/>
    <w:rsid w:val="00675F32"/>
    <w:rsid w:val="00676D6C"/>
    <w:rsid w:val="0068062D"/>
    <w:rsid w:val="00681676"/>
    <w:rsid w:val="00682300"/>
    <w:rsid w:val="006836DC"/>
    <w:rsid w:val="006839C2"/>
    <w:rsid w:val="00684DCF"/>
    <w:rsid w:val="00685310"/>
    <w:rsid w:val="00686BEB"/>
    <w:rsid w:val="00690238"/>
    <w:rsid w:val="00692AFF"/>
    <w:rsid w:val="00692BEE"/>
    <w:rsid w:val="00693F50"/>
    <w:rsid w:val="006941E8"/>
    <w:rsid w:val="006946BA"/>
    <w:rsid w:val="006955C3"/>
    <w:rsid w:val="00695A73"/>
    <w:rsid w:val="00695C87"/>
    <w:rsid w:val="00695EF3"/>
    <w:rsid w:val="006966FE"/>
    <w:rsid w:val="006968CC"/>
    <w:rsid w:val="00696D2F"/>
    <w:rsid w:val="00696DB4"/>
    <w:rsid w:val="006A0166"/>
    <w:rsid w:val="006A16ED"/>
    <w:rsid w:val="006A4132"/>
    <w:rsid w:val="006A5F68"/>
    <w:rsid w:val="006A7752"/>
    <w:rsid w:val="006A7AE3"/>
    <w:rsid w:val="006A7B59"/>
    <w:rsid w:val="006B03AE"/>
    <w:rsid w:val="006B04F4"/>
    <w:rsid w:val="006B40E4"/>
    <w:rsid w:val="006B4DC4"/>
    <w:rsid w:val="006B56B2"/>
    <w:rsid w:val="006B70D8"/>
    <w:rsid w:val="006C1DCD"/>
    <w:rsid w:val="006C22B1"/>
    <w:rsid w:val="006C37FB"/>
    <w:rsid w:val="006C3AE6"/>
    <w:rsid w:val="006C420B"/>
    <w:rsid w:val="006C4EC8"/>
    <w:rsid w:val="006C74FF"/>
    <w:rsid w:val="006C7D10"/>
    <w:rsid w:val="006D17DC"/>
    <w:rsid w:val="006D19B9"/>
    <w:rsid w:val="006D2FE7"/>
    <w:rsid w:val="006D33B7"/>
    <w:rsid w:val="006D3A5D"/>
    <w:rsid w:val="006D6313"/>
    <w:rsid w:val="006D654A"/>
    <w:rsid w:val="006D67C2"/>
    <w:rsid w:val="006E1BD0"/>
    <w:rsid w:val="006E28E9"/>
    <w:rsid w:val="006E2DAB"/>
    <w:rsid w:val="006E2F35"/>
    <w:rsid w:val="006E3CCB"/>
    <w:rsid w:val="006E40B9"/>
    <w:rsid w:val="006E5157"/>
    <w:rsid w:val="006E51A0"/>
    <w:rsid w:val="006E5DAB"/>
    <w:rsid w:val="006E6403"/>
    <w:rsid w:val="006E6674"/>
    <w:rsid w:val="006E717E"/>
    <w:rsid w:val="006E781C"/>
    <w:rsid w:val="006E7A67"/>
    <w:rsid w:val="006F1E19"/>
    <w:rsid w:val="006F4C8E"/>
    <w:rsid w:val="006F72B7"/>
    <w:rsid w:val="006F7455"/>
    <w:rsid w:val="006F7D96"/>
    <w:rsid w:val="00700F46"/>
    <w:rsid w:val="00701BA5"/>
    <w:rsid w:val="00701CA1"/>
    <w:rsid w:val="00701F9F"/>
    <w:rsid w:val="007045F7"/>
    <w:rsid w:val="00706330"/>
    <w:rsid w:val="0070694D"/>
    <w:rsid w:val="007072D8"/>
    <w:rsid w:val="007072DD"/>
    <w:rsid w:val="007109A9"/>
    <w:rsid w:val="00710BBE"/>
    <w:rsid w:val="007117E7"/>
    <w:rsid w:val="00711FDD"/>
    <w:rsid w:val="00712012"/>
    <w:rsid w:val="0071212D"/>
    <w:rsid w:val="007126EA"/>
    <w:rsid w:val="00712AC1"/>
    <w:rsid w:val="0071305B"/>
    <w:rsid w:val="0071467B"/>
    <w:rsid w:val="00715886"/>
    <w:rsid w:val="00717192"/>
    <w:rsid w:val="00723041"/>
    <w:rsid w:val="0072361A"/>
    <w:rsid w:val="00723DED"/>
    <w:rsid w:val="007306FB"/>
    <w:rsid w:val="007312F6"/>
    <w:rsid w:val="00731700"/>
    <w:rsid w:val="00732294"/>
    <w:rsid w:val="00732769"/>
    <w:rsid w:val="007329CB"/>
    <w:rsid w:val="00733116"/>
    <w:rsid w:val="00733F79"/>
    <w:rsid w:val="0073569E"/>
    <w:rsid w:val="0073599B"/>
    <w:rsid w:val="007375DF"/>
    <w:rsid w:val="007409CD"/>
    <w:rsid w:val="00745753"/>
    <w:rsid w:val="00745D82"/>
    <w:rsid w:val="007475ED"/>
    <w:rsid w:val="0074761E"/>
    <w:rsid w:val="00750A41"/>
    <w:rsid w:val="0075103B"/>
    <w:rsid w:val="00751D18"/>
    <w:rsid w:val="007520C1"/>
    <w:rsid w:val="00752BF8"/>
    <w:rsid w:val="0075332D"/>
    <w:rsid w:val="00753CE2"/>
    <w:rsid w:val="00754313"/>
    <w:rsid w:val="00754B9B"/>
    <w:rsid w:val="0075794C"/>
    <w:rsid w:val="00762299"/>
    <w:rsid w:val="00762EF0"/>
    <w:rsid w:val="0076481D"/>
    <w:rsid w:val="007648B8"/>
    <w:rsid w:val="00764D30"/>
    <w:rsid w:val="007651C5"/>
    <w:rsid w:val="00765916"/>
    <w:rsid w:val="007667AF"/>
    <w:rsid w:val="00766C77"/>
    <w:rsid w:val="007672AB"/>
    <w:rsid w:val="007675DE"/>
    <w:rsid w:val="007678BA"/>
    <w:rsid w:val="00767E0C"/>
    <w:rsid w:val="00770557"/>
    <w:rsid w:val="00770FD2"/>
    <w:rsid w:val="007711EE"/>
    <w:rsid w:val="00771ED1"/>
    <w:rsid w:val="00773B08"/>
    <w:rsid w:val="00773C60"/>
    <w:rsid w:val="007748E7"/>
    <w:rsid w:val="007759E9"/>
    <w:rsid w:val="00776DDA"/>
    <w:rsid w:val="00776E89"/>
    <w:rsid w:val="00780624"/>
    <w:rsid w:val="00780651"/>
    <w:rsid w:val="0078170D"/>
    <w:rsid w:val="0078276E"/>
    <w:rsid w:val="00782B44"/>
    <w:rsid w:val="00783106"/>
    <w:rsid w:val="007838C1"/>
    <w:rsid w:val="0078390F"/>
    <w:rsid w:val="0078521C"/>
    <w:rsid w:val="007854C0"/>
    <w:rsid w:val="0078663A"/>
    <w:rsid w:val="00786AF8"/>
    <w:rsid w:val="007874B7"/>
    <w:rsid w:val="00787708"/>
    <w:rsid w:val="0079118A"/>
    <w:rsid w:val="0079226F"/>
    <w:rsid w:val="00792B38"/>
    <w:rsid w:val="00793293"/>
    <w:rsid w:val="00793969"/>
    <w:rsid w:val="00794F7F"/>
    <w:rsid w:val="00795802"/>
    <w:rsid w:val="0079646E"/>
    <w:rsid w:val="00797D36"/>
    <w:rsid w:val="00797FC6"/>
    <w:rsid w:val="007A0AD4"/>
    <w:rsid w:val="007A0BBC"/>
    <w:rsid w:val="007A1C28"/>
    <w:rsid w:val="007A2BA2"/>
    <w:rsid w:val="007A363F"/>
    <w:rsid w:val="007A38F1"/>
    <w:rsid w:val="007A3D79"/>
    <w:rsid w:val="007A59FE"/>
    <w:rsid w:val="007A5A92"/>
    <w:rsid w:val="007A5F91"/>
    <w:rsid w:val="007A60DF"/>
    <w:rsid w:val="007B04AC"/>
    <w:rsid w:val="007B442B"/>
    <w:rsid w:val="007B4F1C"/>
    <w:rsid w:val="007B5110"/>
    <w:rsid w:val="007B5708"/>
    <w:rsid w:val="007B62D1"/>
    <w:rsid w:val="007B73B2"/>
    <w:rsid w:val="007C0348"/>
    <w:rsid w:val="007C0F6D"/>
    <w:rsid w:val="007C24A7"/>
    <w:rsid w:val="007C2876"/>
    <w:rsid w:val="007C2BE0"/>
    <w:rsid w:val="007C3377"/>
    <w:rsid w:val="007C4D08"/>
    <w:rsid w:val="007C5842"/>
    <w:rsid w:val="007C6366"/>
    <w:rsid w:val="007C69F8"/>
    <w:rsid w:val="007C6ED0"/>
    <w:rsid w:val="007C74E9"/>
    <w:rsid w:val="007D08BA"/>
    <w:rsid w:val="007D124B"/>
    <w:rsid w:val="007D14F9"/>
    <w:rsid w:val="007D23C6"/>
    <w:rsid w:val="007D5FAA"/>
    <w:rsid w:val="007D64C9"/>
    <w:rsid w:val="007D6B1A"/>
    <w:rsid w:val="007E071E"/>
    <w:rsid w:val="007E0A26"/>
    <w:rsid w:val="007E0DA9"/>
    <w:rsid w:val="007E1C13"/>
    <w:rsid w:val="007E423C"/>
    <w:rsid w:val="007E5319"/>
    <w:rsid w:val="007E5A2A"/>
    <w:rsid w:val="007E5CC0"/>
    <w:rsid w:val="007E6499"/>
    <w:rsid w:val="007E6867"/>
    <w:rsid w:val="007E6BBC"/>
    <w:rsid w:val="007E771E"/>
    <w:rsid w:val="007E7C5F"/>
    <w:rsid w:val="007E7D74"/>
    <w:rsid w:val="007F1251"/>
    <w:rsid w:val="007F26B0"/>
    <w:rsid w:val="007F34A9"/>
    <w:rsid w:val="007F3532"/>
    <w:rsid w:val="007F35AD"/>
    <w:rsid w:val="007F3D38"/>
    <w:rsid w:val="007F40D6"/>
    <w:rsid w:val="007F4856"/>
    <w:rsid w:val="007F5AD8"/>
    <w:rsid w:val="007F69E9"/>
    <w:rsid w:val="007F6AFC"/>
    <w:rsid w:val="007F71C4"/>
    <w:rsid w:val="00800503"/>
    <w:rsid w:val="0080119B"/>
    <w:rsid w:val="00801E47"/>
    <w:rsid w:val="00802A83"/>
    <w:rsid w:val="008043AB"/>
    <w:rsid w:val="00807953"/>
    <w:rsid w:val="00807968"/>
    <w:rsid w:val="00807A99"/>
    <w:rsid w:val="008102DD"/>
    <w:rsid w:val="00810364"/>
    <w:rsid w:val="00811A6A"/>
    <w:rsid w:val="00813CD0"/>
    <w:rsid w:val="00816508"/>
    <w:rsid w:val="00817507"/>
    <w:rsid w:val="00817BA4"/>
    <w:rsid w:val="00821399"/>
    <w:rsid w:val="00821F74"/>
    <w:rsid w:val="00822650"/>
    <w:rsid w:val="00822B30"/>
    <w:rsid w:val="00823229"/>
    <w:rsid w:val="00823B23"/>
    <w:rsid w:val="00825B0B"/>
    <w:rsid w:val="00827DEE"/>
    <w:rsid w:val="008311CD"/>
    <w:rsid w:val="00832519"/>
    <w:rsid w:val="00833046"/>
    <w:rsid w:val="00834061"/>
    <w:rsid w:val="008342C2"/>
    <w:rsid w:val="00836A56"/>
    <w:rsid w:val="00836D3B"/>
    <w:rsid w:val="00841A1A"/>
    <w:rsid w:val="0084232E"/>
    <w:rsid w:val="008424CB"/>
    <w:rsid w:val="00842E15"/>
    <w:rsid w:val="008436E3"/>
    <w:rsid w:val="008445AA"/>
    <w:rsid w:val="00845144"/>
    <w:rsid w:val="00845E63"/>
    <w:rsid w:val="0084642F"/>
    <w:rsid w:val="008469AE"/>
    <w:rsid w:val="00846C2E"/>
    <w:rsid w:val="00847C90"/>
    <w:rsid w:val="008510FB"/>
    <w:rsid w:val="008515D0"/>
    <w:rsid w:val="008517A8"/>
    <w:rsid w:val="00852672"/>
    <w:rsid w:val="00852A25"/>
    <w:rsid w:val="00855B31"/>
    <w:rsid w:val="00856899"/>
    <w:rsid w:val="008577A2"/>
    <w:rsid w:val="00857879"/>
    <w:rsid w:val="00860390"/>
    <w:rsid w:val="00860D53"/>
    <w:rsid w:val="008614CF"/>
    <w:rsid w:val="008618D6"/>
    <w:rsid w:val="00862CDA"/>
    <w:rsid w:val="00863AB5"/>
    <w:rsid w:val="0086407D"/>
    <w:rsid w:val="00864CD6"/>
    <w:rsid w:val="008651AC"/>
    <w:rsid w:val="00865A4E"/>
    <w:rsid w:val="00865FB3"/>
    <w:rsid w:val="008666E1"/>
    <w:rsid w:val="0086696D"/>
    <w:rsid w:val="00867896"/>
    <w:rsid w:val="00867F8D"/>
    <w:rsid w:val="008716D8"/>
    <w:rsid w:val="0087186B"/>
    <w:rsid w:val="00873A84"/>
    <w:rsid w:val="00873E13"/>
    <w:rsid w:val="00874360"/>
    <w:rsid w:val="0087464C"/>
    <w:rsid w:val="00874F4E"/>
    <w:rsid w:val="00874F73"/>
    <w:rsid w:val="00875C5E"/>
    <w:rsid w:val="00875F12"/>
    <w:rsid w:val="008767D5"/>
    <w:rsid w:val="00880034"/>
    <w:rsid w:val="00880C38"/>
    <w:rsid w:val="00881819"/>
    <w:rsid w:val="00881A29"/>
    <w:rsid w:val="00882532"/>
    <w:rsid w:val="00885A2B"/>
    <w:rsid w:val="00885C1F"/>
    <w:rsid w:val="00885D7E"/>
    <w:rsid w:val="008865E8"/>
    <w:rsid w:val="008870AF"/>
    <w:rsid w:val="008873D9"/>
    <w:rsid w:val="0089005F"/>
    <w:rsid w:val="00890A80"/>
    <w:rsid w:val="00891571"/>
    <w:rsid w:val="00891D3A"/>
    <w:rsid w:val="00891E0F"/>
    <w:rsid w:val="00892CBE"/>
    <w:rsid w:val="008942DF"/>
    <w:rsid w:val="00895480"/>
    <w:rsid w:val="0089559E"/>
    <w:rsid w:val="008959F6"/>
    <w:rsid w:val="00896773"/>
    <w:rsid w:val="008A0771"/>
    <w:rsid w:val="008A1D09"/>
    <w:rsid w:val="008A34F5"/>
    <w:rsid w:val="008A5569"/>
    <w:rsid w:val="008A6B0D"/>
    <w:rsid w:val="008A70AB"/>
    <w:rsid w:val="008A74C9"/>
    <w:rsid w:val="008B0738"/>
    <w:rsid w:val="008B085D"/>
    <w:rsid w:val="008B2976"/>
    <w:rsid w:val="008B3088"/>
    <w:rsid w:val="008B39A7"/>
    <w:rsid w:val="008B3F7E"/>
    <w:rsid w:val="008B481F"/>
    <w:rsid w:val="008B5E3C"/>
    <w:rsid w:val="008B6373"/>
    <w:rsid w:val="008B70D3"/>
    <w:rsid w:val="008B730D"/>
    <w:rsid w:val="008B771C"/>
    <w:rsid w:val="008B7AA8"/>
    <w:rsid w:val="008C187F"/>
    <w:rsid w:val="008C2FA3"/>
    <w:rsid w:val="008C37A4"/>
    <w:rsid w:val="008C46AA"/>
    <w:rsid w:val="008C5718"/>
    <w:rsid w:val="008C650B"/>
    <w:rsid w:val="008C686A"/>
    <w:rsid w:val="008C771F"/>
    <w:rsid w:val="008C799C"/>
    <w:rsid w:val="008D0F24"/>
    <w:rsid w:val="008D1097"/>
    <w:rsid w:val="008D1CF8"/>
    <w:rsid w:val="008D25C0"/>
    <w:rsid w:val="008D29C8"/>
    <w:rsid w:val="008D2B3F"/>
    <w:rsid w:val="008D348E"/>
    <w:rsid w:val="008D41F7"/>
    <w:rsid w:val="008D7D27"/>
    <w:rsid w:val="008E0AA6"/>
    <w:rsid w:val="008E0F6F"/>
    <w:rsid w:val="008E5248"/>
    <w:rsid w:val="008E526E"/>
    <w:rsid w:val="008E611E"/>
    <w:rsid w:val="008E6314"/>
    <w:rsid w:val="008E64CB"/>
    <w:rsid w:val="008E6DEC"/>
    <w:rsid w:val="008E7C5E"/>
    <w:rsid w:val="008E7E4D"/>
    <w:rsid w:val="008F015B"/>
    <w:rsid w:val="008F1F1E"/>
    <w:rsid w:val="008F34C3"/>
    <w:rsid w:val="008F38BB"/>
    <w:rsid w:val="008F4AED"/>
    <w:rsid w:val="008F6130"/>
    <w:rsid w:val="00901AAE"/>
    <w:rsid w:val="00902286"/>
    <w:rsid w:val="009027BC"/>
    <w:rsid w:val="00903823"/>
    <w:rsid w:val="0090538D"/>
    <w:rsid w:val="009059C8"/>
    <w:rsid w:val="009059E7"/>
    <w:rsid w:val="00905A58"/>
    <w:rsid w:val="00905B50"/>
    <w:rsid w:val="00906526"/>
    <w:rsid w:val="0090708F"/>
    <w:rsid w:val="00907499"/>
    <w:rsid w:val="009074FF"/>
    <w:rsid w:val="0091017B"/>
    <w:rsid w:val="009101C0"/>
    <w:rsid w:val="0091033D"/>
    <w:rsid w:val="00911A42"/>
    <w:rsid w:val="00911F20"/>
    <w:rsid w:val="009129F4"/>
    <w:rsid w:val="00913637"/>
    <w:rsid w:val="00913869"/>
    <w:rsid w:val="00913AD8"/>
    <w:rsid w:val="00914968"/>
    <w:rsid w:val="009152FD"/>
    <w:rsid w:val="00915438"/>
    <w:rsid w:val="009155A9"/>
    <w:rsid w:val="00916032"/>
    <w:rsid w:val="009160C5"/>
    <w:rsid w:val="00916201"/>
    <w:rsid w:val="00917EFB"/>
    <w:rsid w:val="00921779"/>
    <w:rsid w:val="00921AF4"/>
    <w:rsid w:val="00921B7B"/>
    <w:rsid w:val="00923651"/>
    <w:rsid w:val="00923C06"/>
    <w:rsid w:val="009257C5"/>
    <w:rsid w:val="00926836"/>
    <w:rsid w:val="0092685B"/>
    <w:rsid w:val="009268F5"/>
    <w:rsid w:val="00927714"/>
    <w:rsid w:val="0092798B"/>
    <w:rsid w:val="00930044"/>
    <w:rsid w:val="009300AA"/>
    <w:rsid w:val="009300CC"/>
    <w:rsid w:val="00930243"/>
    <w:rsid w:val="0093118D"/>
    <w:rsid w:val="00931292"/>
    <w:rsid w:val="009312D7"/>
    <w:rsid w:val="009312E0"/>
    <w:rsid w:val="0093164A"/>
    <w:rsid w:val="009328DA"/>
    <w:rsid w:val="00935809"/>
    <w:rsid w:val="00935D83"/>
    <w:rsid w:val="009378FE"/>
    <w:rsid w:val="00940C35"/>
    <w:rsid w:val="00940F3F"/>
    <w:rsid w:val="009413A1"/>
    <w:rsid w:val="009416FF"/>
    <w:rsid w:val="00941E1B"/>
    <w:rsid w:val="00941F6A"/>
    <w:rsid w:val="009429E8"/>
    <w:rsid w:val="0094426A"/>
    <w:rsid w:val="0094436A"/>
    <w:rsid w:val="00944ED4"/>
    <w:rsid w:val="00944F61"/>
    <w:rsid w:val="00945691"/>
    <w:rsid w:val="00945716"/>
    <w:rsid w:val="00946383"/>
    <w:rsid w:val="00946E8D"/>
    <w:rsid w:val="00946F22"/>
    <w:rsid w:val="009503ED"/>
    <w:rsid w:val="00951D66"/>
    <w:rsid w:val="00952A0D"/>
    <w:rsid w:val="0095372A"/>
    <w:rsid w:val="00953A29"/>
    <w:rsid w:val="00953E8B"/>
    <w:rsid w:val="0095453E"/>
    <w:rsid w:val="00954846"/>
    <w:rsid w:val="00956FDB"/>
    <w:rsid w:val="009606EA"/>
    <w:rsid w:val="00960E04"/>
    <w:rsid w:val="00961956"/>
    <w:rsid w:val="00961DA4"/>
    <w:rsid w:val="00962270"/>
    <w:rsid w:val="00962D53"/>
    <w:rsid w:val="009632DD"/>
    <w:rsid w:val="009632F6"/>
    <w:rsid w:val="00963DFE"/>
    <w:rsid w:val="00963E69"/>
    <w:rsid w:val="00964040"/>
    <w:rsid w:val="009643A9"/>
    <w:rsid w:val="009646DD"/>
    <w:rsid w:val="0096470A"/>
    <w:rsid w:val="00965104"/>
    <w:rsid w:val="00966E2B"/>
    <w:rsid w:val="00966E75"/>
    <w:rsid w:val="009676B1"/>
    <w:rsid w:val="00967E7D"/>
    <w:rsid w:val="0097043D"/>
    <w:rsid w:val="00970573"/>
    <w:rsid w:val="00970BA9"/>
    <w:rsid w:val="00971619"/>
    <w:rsid w:val="0097353A"/>
    <w:rsid w:val="009740CD"/>
    <w:rsid w:val="00974564"/>
    <w:rsid w:val="00974C3E"/>
    <w:rsid w:val="00974D95"/>
    <w:rsid w:val="00976244"/>
    <w:rsid w:val="00980927"/>
    <w:rsid w:val="009813F7"/>
    <w:rsid w:val="009820AB"/>
    <w:rsid w:val="00982746"/>
    <w:rsid w:val="009852C3"/>
    <w:rsid w:val="009856A3"/>
    <w:rsid w:val="00985B51"/>
    <w:rsid w:val="00986B1F"/>
    <w:rsid w:val="00987396"/>
    <w:rsid w:val="009875F0"/>
    <w:rsid w:val="00991FB3"/>
    <w:rsid w:val="009925D3"/>
    <w:rsid w:val="00994CD3"/>
    <w:rsid w:val="0099519B"/>
    <w:rsid w:val="00995FE9"/>
    <w:rsid w:val="009965C9"/>
    <w:rsid w:val="00996D0B"/>
    <w:rsid w:val="00996D2B"/>
    <w:rsid w:val="009974D6"/>
    <w:rsid w:val="00997612"/>
    <w:rsid w:val="00997AB4"/>
    <w:rsid w:val="009A0294"/>
    <w:rsid w:val="009A1358"/>
    <w:rsid w:val="009A19E4"/>
    <w:rsid w:val="009A20A9"/>
    <w:rsid w:val="009A2215"/>
    <w:rsid w:val="009A33FE"/>
    <w:rsid w:val="009A5280"/>
    <w:rsid w:val="009A5FF1"/>
    <w:rsid w:val="009A729F"/>
    <w:rsid w:val="009A7B1B"/>
    <w:rsid w:val="009B0342"/>
    <w:rsid w:val="009B120E"/>
    <w:rsid w:val="009B12C6"/>
    <w:rsid w:val="009B177C"/>
    <w:rsid w:val="009B3824"/>
    <w:rsid w:val="009B3892"/>
    <w:rsid w:val="009B39DA"/>
    <w:rsid w:val="009B3E9B"/>
    <w:rsid w:val="009B5110"/>
    <w:rsid w:val="009B527D"/>
    <w:rsid w:val="009B585B"/>
    <w:rsid w:val="009B6E4B"/>
    <w:rsid w:val="009B7A98"/>
    <w:rsid w:val="009C0673"/>
    <w:rsid w:val="009C0B6D"/>
    <w:rsid w:val="009C0F7D"/>
    <w:rsid w:val="009C1166"/>
    <w:rsid w:val="009C12AE"/>
    <w:rsid w:val="009C1B4F"/>
    <w:rsid w:val="009C2C3F"/>
    <w:rsid w:val="009C2F86"/>
    <w:rsid w:val="009C4C17"/>
    <w:rsid w:val="009C648E"/>
    <w:rsid w:val="009D4761"/>
    <w:rsid w:val="009D6D98"/>
    <w:rsid w:val="009D7AEB"/>
    <w:rsid w:val="009E078B"/>
    <w:rsid w:val="009E087A"/>
    <w:rsid w:val="009E19FE"/>
    <w:rsid w:val="009E412D"/>
    <w:rsid w:val="009E7B71"/>
    <w:rsid w:val="009F0358"/>
    <w:rsid w:val="009F04BD"/>
    <w:rsid w:val="009F0E58"/>
    <w:rsid w:val="009F1BB6"/>
    <w:rsid w:val="009F248F"/>
    <w:rsid w:val="009F3ECF"/>
    <w:rsid w:val="009F65DE"/>
    <w:rsid w:val="009F7F50"/>
    <w:rsid w:val="00A00B28"/>
    <w:rsid w:val="00A01BD7"/>
    <w:rsid w:val="00A05160"/>
    <w:rsid w:val="00A0593F"/>
    <w:rsid w:val="00A10034"/>
    <w:rsid w:val="00A113AE"/>
    <w:rsid w:val="00A1151A"/>
    <w:rsid w:val="00A128E8"/>
    <w:rsid w:val="00A14224"/>
    <w:rsid w:val="00A148AE"/>
    <w:rsid w:val="00A15637"/>
    <w:rsid w:val="00A158CC"/>
    <w:rsid w:val="00A15F9B"/>
    <w:rsid w:val="00A17CF0"/>
    <w:rsid w:val="00A21570"/>
    <w:rsid w:val="00A21B12"/>
    <w:rsid w:val="00A21B1F"/>
    <w:rsid w:val="00A225C3"/>
    <w:rsid w:val="00A22884"/>
    <w:rsid w:val="00A23B12"/>
    <w:rsid w:val="00A24990"/>
    <w:rsid w:val="00A24FB4"/>
    <w:rsid w:val="00A253E3"/>
    <w:rsid w:val="00A256AB"/>
    <w:rsid w:val="00A256E7"/>
    <w:rsid w:val="00A25819"/>
    <w:rsid w:val="00A25F7F"/>
    <w:rsid w:val="00A260E0"/>
    <w:rsid w:val="00A2629D"/>
    <w:rsid w:val="00A26B08"/>
    <w:rsid w:val="00A270E5"/>
    <w:rsid w:val="00A308BE"/>
    <w:rsid w:val="00A30F32"/>
    <w:rsid w:val="00A310AF"/>
    <w:rsid w:val="00A31C83"/>
    <w:rsid w:val="00A32A1B"/>
    <w:rsid w:val="00A34C49"/>
    <w:rsid w:val="00A35433"/>
    <w:rsid w:val="00A35B30"/>
    <w:rsid w:val="00A35B66"/>
    <w:rsid w:val="00A370CB"/>
    <w:rsid w:val="00A40087"/>
    <w:rsid w:val="00A404CB"/>
    <w:rsid w:val="00A40ABA"/>
    <w:rsid w:val="00A40E9B"/>
    <w:rsid w:val="00A42AF6"/>
    <w:rsid w:val="00A42E25"/>
    <w:rsid w:val="00A43082"/>
    <w:rsid w:val="00A44AD0"/>
    <w:rsid w:val="00A45015"/>
    <w:rsid w:val="00A47250"/>
    <w:rsid w:val="00A477A2"/>
    <w:rsid w:val="00A50AD6"/>
    <w:rsid w:val="00A51ADE"/>
    <w:rsid w:val="00A51DB3"/>
    <w:rsid w:val="00A521CE"/>
    <w:rsid w:val="00A522E7"/>
    <w:rsid w:val="00A54391"/>
    <w:rsid w:val="00A56E23"/>
    <w:rsid w:val="00A578F4"/>
    <w:rsid w:val="00A604AF"/>
    <w:rsid w:val="00A60D57"/>
    <w:rsid w:val="00A61F01"/>
    <w:rsid w:val="00A62DEA"/>
    <w:rsid w:val="00A631DC"/>
    <w:rsid w:val="00A63332"/>
    <w:rsid w:val="00A637E8"/>
    <w:rsid w:val="00A63DB1"/>
    <w:rsid w:val="00A642D9"/>
    <w:rsid w:val="00A64EAC"/>
    <w:rsid w:val="00A65B6E"/>
    <w:rsid w:val="00A7128B"/>
    <w:rsid w:val="00A72D40"/>
    <w:rsid w:val="00A72DDA"/>
    <w:rsid w:val="00A74A10"/>
    <w:rsid w:val="00A752EB"/>
    <w:rsid w:val="00A75D5A"/>
    <w:rsid w:val="00A76545"/>
    <w:rsid w:val="00A76601"/>
    <w:rsid w:val="00A80597"/>
    <w:rsid w:val="00A81587"/>
    <w:rsid w:val="00A821BF"/>
    <w:rsid w:val="00A83EE1"/>
    <w:rsid w:val="00A8479B"/>
    <w:rsid w:val="00A85D51"/>
    <w:rsid w:val="00A87986"/>
    <w:rsid w:val="00A87E4B"/>
    <w:rsid w:val="00A90A2B"/>
    <w:rsid w:val="00A90DBB"/>
    <w:rsid w:val="00A91022"/>
    <w:rsid w:val="00A91E15"/>
    <w:rsid w:val="00A91FEE"/>
    <w:rsid w:val="00A92155"/>
    <w:rsid w:val="00A92B91"/>
    <w:rsid w:val="00A92D9A"/>
    <w:rsid w:val="00A93721"/>
    <w:rsid w:val="00A93736"/>
    <w:rsid w:val="00A93CA3"/>
    <w:rsid w:val="00A94530"/>
    <w:rsid w:val="00A94FCA"/>
    <w:rsid w:val="00A95436"/>
    <w:rsid w:val="00A9654B"/>
    <w:rsid w:val="00A97583"/>
    <w:rsid w:val="00AA0776"/>
    <w:rsid w:val="00AA0949"/>
    <w:rsid w:val="00AA13F4"/>
    <w:rsid w:val="00AA2B9E"/>
    <w:rsid w:val="00AA379B"/>
    <w:rsid w:val="00AA44A9"/>
    <w:rsid w:val="00AA44E0"/>
    <w:rsid w:val="00AA6827"/>
    <w:rsid w:val="00AA729D"/>
    <w:rsid w:val="00AA750E"/>
    <w:rsid w:val="00AA781F"/>
    <w:rsid w:val="00AA7AEC"/>
    <w:rsid w:val="00AA7C39"/>
    <w:rsid w:val="00AB0FE2"/>
    <w:rsid w:val="00AB14C3"/>
    <w:rsid w:val="00AB25CE"/>
    <w:rsid w:val="00AB2DA9"/>
    <w:rsid w:val="00AB2F35"/>
    <w:rsid w:val="00AB3B11"/>
    <w:rsid w:val="00AB4BA5"/>
    <w:rsid w:val="00AB4E97"/>
    <w:rsid w:val="00AB534B"/>
    <w:rsid w:val="00AB58D2"/>
    <w:rsid w:val="00AB6BC0"/>
    <w:rsid w:val="00AB780E"/>
    <w:rsid w:val="00AB7D59"/>
    <w:rsid w:val="00AC0D26"/>
    <w:rsid w:val="00AC0FA3"/>
    <w:rsid w:val="00AC1428"/>
    <w:rsid w:val="00AC3124"/>
    <w:rsid w:val="00AC3D03"/>
    <w:rsid w:val="00AC3D0F"/>
    <w:rsid w:val="00AC3E1D"/>
    <w:rsid w:val="00AD0D10"/>
    <w:rsid w:val="00AD0F10"/>
    <w:rsid w:val="00AD0F7A"/>
    <w:rsid w:val="00AD17DD"/>
    <w:rsid w:val="00AD1C2E"/>
    <w:rsid w:val="00AD30A7"/>
    <w:rsid w:val="00AD4320"/>
    <w:rsid w:val="00AD51A4"/>
    <w:rsid w:val="00AD54E0"/>
    <w:rsid w:val="00AD61CD"/>
    <w:rsid w:val="00AD6CFE"/>
    <w:rsid w:val="00AD6D8E"/>
    <w:rsid w:val="00AD73A8"/>
    <w:rsid w:val="00AE0CAA"/>
    <w:rsid w:val="00AE1ED9"/>
    <w:rsid w:val="00AE28A2"/>
    <w:rsid w:val="00AE3FD0"/>
    <w:rsid w:val="00AE41BC"/>
    <w:rsid w:val="00AE47C2"/>
    <w:rsid w:val="00AE524C"/>
    <w:rsid w:val="00AE7921"/>
    <w:rsid w:val="00AF109D"/>
    <w:rsid w:val="00AF2038"/>
    <w:rsid w:val="00AF27AA"/>
    <w:rsid w:val="00AF2B89"/>
    <w:rsid w:val="00AF3348"/>
    <w:rsid w:val="00AF362A"/>
    <w:rsid w:val="00AF3676"/>
    <w:rsid w:val="00AF440B"/>
    <w:rsid w:val="00AF449F"/>
    <w:rsid w:val="00AF50CC"/>
    <w:rsid w:val="00AF5746"/>
    <w:rsid w:val="00AF64C3"/>
    <w:rsid w:val="00AF66FE"/>
    <w:rsid w:val="00AF6B89"/>
    <w:rsid w:val="00AF78A7"/>
    <w:rsid w:val="00AF7D59"/>
    <w:rsid w:val="00B01259"/>
    <w:rsid w:val="00B033F3"/>
    <w:rsid w:val="00B035CA"/>
    <w:rsid w:val="00B036B7"/>
    <w:rsid w:val="00B0518D"/>
    <w:rsid w:val="00B05496"/>
    <w:rsid w:val="00B069CD"/>
    <w:rsid w:val="00B06C65"/>
    <w:rsid w:val="00B07AA5"/>
    <w:rsid w:val="00B104CC"/>
    <w:rsid w:val="00B107D0"/>
    <w:rsid w:val="00B108BC"/>
    <w:rsid w:val="00B120C1"/>
    <w:rsid w:val="00B126E8"/>
    <w:rsid w:val="00B13D34"/>
    <w:rsid w:val="00B14613"/>
    <w:rsid w:val="00B14CFB"/>
    <w:rsid w:val="00B1545D"/>
    <w:rsid w:val="00B163A1"/>
    <w:rsid w:val="00B171C4"/>
    <w:rsid w:val="00B179D4"/>
    <w:rsid w:val="00B2030D"/>
    <w:rsid w:val="00B20756"/>
    <w:rsid w:val="00B20D59"/>
    <w:rsid w:val="00B246E5"/>
    <w:rsid w:val="00B258EF"/>
    <w:rsid w:val="00B27601"/>
    <w:rsid w:val="00B27D94"/>
    <w:rsid w:val="00B3095A"/>
    <w:rsid w:val="00B324B2"/>
    <w:rsid w:val="00B32969"/>
    <w:rsid w:val="00B34D74"/>
    <w:rsid w:val="00B3576D"/>
    <w:rsid w:val="00B372BB"/>
    <w:rsid w:val="00B37FB8"/>
    <w:rsid w:val="00B4070C"/>
    <w:rsid w:val="00B41402"/>
    <w:rsid w:val="00B42004"/>
    <w:rsid w:val="00B4221E"/>
    <w:rsid w:val="00B44025"/>
    <w:rsid w:val="00B45032"/>
    <w:rsid w:val="00B45B22"/>
    <w:rsid w:val="00B461D3"/>
    <w:rsid w:val="00B462CE"/>
    <w:rsid w:val="00B478A1"/>
    <w:rsid w:val="00B51346"/>
    <w:rsid w:val="00B51D5D"/>
    <w:rsid w:val="00B51D6F"/>
    <w:rsid w:val="00B53079"/>
    <w:rsid w:val="00B537ED"/>
    <w:rsid w:val="00B54566"/>
    <w:rsid w:val="00B55376"/>
    <w:rsid w:val="00B56198"/>
    <w:rsid w:val="00B56731"/>
    <w:rsid w:val="00B56D52"/>
    <w:rsid w:val="00B60AE7"/>
    <w:rsid w:val="00B613DC"/>
    <w:rsid w:val="00B61C91"/>
    <w:rsid w:val="00B620B0"/>
    <w:rsid w:val="00B64055"/>
    <w:rsid w:val="00B670BF"/>
    <w:rsid w:val="00B67F0D"/>
    <w:rsid w:val="00B73336"/>
    <w:rsid w:val="00B73761"/>
    <w:rsid w:val="00B7384B"/>
    <w:rsid w:val="00B7537E"/>
    <w:rsid w:val="00B77453"/>
    <w:rsid w:val="00B77B58"/>
    <w:rsid w:val="00B77F28"/>
    <w:rsid w:val="00B8008A"/>
    <w:rsid w:val="00B800BC"/>
    <w:rsid w:val="00B813CB"/>
    <w:rsid w:val="00B8178A"/>
    <w:rsid w:val="00B8190D"/>
    <w:rsid w:val="00B83075"/>
    <w:rsid w:val="00B8316C"/>
    <w:rsid w:val="00B84F66"/>
    <w:rsid w:val="00B85F99"/>
    <w:rsid w:val="00B8619E"/>
    <w:rsid w:val="00B87B1E"/>
    <w:rsid w:val="00B87F36"/>
    <w:rsid w:val="00B90665"/>
    <w:rsid w:val="00B91988"/>
    <w:rsid w:val="00B9245A"/>
    <w:rsid w:val="00B92C8D"/>
    <w:rsid w:val="00B93877"/>
    <w:rsid w:val="00B93B42"/>
    <w:rsid w:val="00B96377"/>
    <w:rsid w:val="00B96D3D"/>
    <w:rsid w:val="00BA2C8C"/>
    <w:rsid w:val="00BA2CB2"/>
    <w:rsid w:val="00BA3EB7"/>
    <w:rsid w:val="00BA6356"/>
    <w:rsid w:val="00BA6759"/>
    <w:rsid w:val="00BA6CE5"/>
    <w:rsid w:val="00BA6EE6"/>
    <w:rsid w:val="00BB04BC"/>
    <w:rsid w:val="00BB080C"/>
    <w:rsid w:val="00BB0828"/>
    <w:rsid w:val="00BB0B05"/>
    <w:rsid w:val="00BB2342"/>
    <w:rsid w:val="00BB2843"/>
    <w:rsid w:val="00BB29FE"/>
    <w:rsid w:val="00BB3F10"/>
    <w:rsid w:val="00BB4115"/>
    <w:rsid w:val="00BB46EE"/>
    <w:rsid w:val="00BB5221"/>
    <w:rsid w:val="00BB72C5"/>
    <w:rsid w:val="00BC2A20"/>
    <w:rsid w:val="00BC2C9F"/>
    <w:rsid w:val="00BC3FE2"/>
    <w:rsid w:val="00BC6AA3"/>
    <w:rsid w:val="00BC6FBC"/>
    <w:rsid w:val="00BC73C7"/>
    <w:rsid w:val="00BC79D0"/>
    <w:rsid w:val="00BD108A"/>
    <w:rsid w:val="00BD13AD"/>
    <w:rsid w:val="00BD5441"/>
    <w:rsid w:val="00BD66AF"/>
    <w:rsid w:val="00BD7C0C"/>
    <w:rsid w:val="00BE03B4"/>
    <w:rsid w:val="00BE0DE4"/>
    <w:rsid w:val="00BE1888"/>
    <w:rsid w:val="00BE1D1C"/>
    <w:rsid w:val="00BE2EF4"/>
    <w:rsid w:val="00BE3495"/>
    <w:rsid w:val="00BE3E66"/>
    <w:rsid w:val="00BE555E"/>
    <w:rsid w:val="00BE5938"/>
    <w:rsid w:val="00BE5C0A"/>
    <w:rsid w:val="00BE65AA"/>
    <w:rsid w:val="00BE67F7"/>
    <w:rsid w:val="00BE6BA7"/>
    <w:rsid w:val="00BF1D24"/>
    <w:rsid w:val="00BF459F"/>
    <w:rsid w:val="00BF7119"/>
    <w:rsid w:val="00BF792C"/>
    <w:rsid w:val="00C00632"/>
    <w:rsid w:val="00C03446"/>
    <w:rsid w:val="00C036AD"/>
    <w:rsid w:val="00C03766"/>
    <w:rsid w:val="00C041CA"/>
    <w:rsid w:val="00C047C6"/>
    <w:rsid w:val="00C05A7C"/>
    <w:rsid w:val="00C06228"/>
    <w:rsid w:val="00C10D22"/>
    <w:rsid w:val="00C11FEE"/>
    <w:rsid w:val="00C1290E"/>
    <w:rsid w:val="00C13B6D"/>
    <w:rsid w:val="00C14077"/>
    <w:rsid w:val="00C14095"/>
    <w:rsid w:val="00C14320"/>
    <w:rsid w:val="00C16EEF"/>
    <w:rsid w:val="00C23E36"/>
    <w:rsid w:val="00C24271"/>
    <w:rsid w:val="00C2461C"/>
    <w:rsid w:val="00C24760"/>
    <w:rsid w:val="00C24AF2"/>
    <w:rsid w:val="00C2556D"/>
    <w:rsid w:val="00C26926"/>
    <w:rsid w:val="00C27321"/>
    <w:rsid w:val="00C273D9"/>
    <w:rsid w:val="00C30734"/>
    <w:rsid w:val="00C30D4B"/>
    <w:rsid w:val="00C312D1"/>
    <w:rsid w:val="00C32EAF"/>
    <w:rsid w:val="00C337F6"/>
    <w:rsid w:val="00C34B58"/>
    <w:rsid w:val="00C34FAF"/>
    <w:rsid w:val="00C352FE"/>
    <w:rsid w:val="00C35ECA"/>
    <w:rsid w:val="00C360FD"/>
    <w:rsid w:val="00C36B5F"/>
    <w:rsid w:val="00C36C4F"/>
    <w:rsid w:val="00C375D7"/>
    <w:rsid w:val="00C41C66"/>
    <w:rsid w:val="00C422F3"/>
    <w:rsid w:val="00C42A68"/>
    <w:rsid w:val="00C42B4B"/>
    <w:rsid w:val="00C430B6"/>
    <w:rsid w:val="00C436C3"/>
    <w:rsid w:val="00C44921"/>
    <w:rsid w:val="00C44CF7"/>
    <w:rsid w:val="00C46D71"/>
    <w:rsid w:val="00C46E3D"/>
    <w:rsid w:val="00C47A28"/>
    <w:rsid w:val="00C52A92"/>
    <w:rsid w:val="00C53D5F"/>
    <w:rsid w:val="00C54181"/>
    <w:rsid w:val="00C545B9"/>
    <w:rsid w:val="00C55A0F"/>
    <w:rsid w:val="00C55B1C"/>
    <w:rsid w:val="00C61226"/>
    <w:rsid w:val="00C62C6B"/>
    <w:rsid w:val="00C630D7"/>
    <w:rsid w:val="00C641BD"/>
    <w:rsid w:val="00C64BCC"/>
    <w:rsid w:val="00C6506F"/>
    <w:rsid w:val="00C660C4"/>
    <w:rsid w:val="00C73E9D"/>
    <w:rsid w:val="00C74CC5"/>
    <w:rsid w:val="00C76028"/>
    <w:rsid w:val="00C7673A"/>
    <w:rsid w:val="00C7685B"/>
    <w:rsid w:val="00C80994"/>
    <w:rsid w:val="00C80C63"/>
    <w:rsid w:val="00C825DF"/>
    <w:rsid w:val="00C82BED"/>
    <w:rsid w:val="00C843CC"/>
    <w:rsid w:val="00C848D1"/>
    <w:rsid w:val="00C85167"/>
    <w:rsid w:val="00C85223"/>
    <w:rsid w:val="00C868A7"/>
    <w:rsid w:val="00C87C31"/>
    <w:rsid w:val="00C910EC"/>
    <w:rsid w:val="00C931AD"/>
    <w:rsid w:val="00C935D4"/>
    <w:rsid w:val="00C937FE"/>
    <w:rsid w:val="00C93955"/>
    <w:rsid w:val="00C93AC2"/>
    <w:rsid w:val="00C943A0"/>
    <w:rsid w:val="00C94D8F"/>
    <w:rsid w:val="00C94ED6"/>
    <w:rsid w:val="00C94EFC"/>
    <w:rsid w:val="00C9529C"/>
    <w:rsid w:val="00C9562D"/>
    <w:rsid w:val="00C961C5"/>
    <w:rsid w:val="00C9776D"/>
    <w:rsid w:val="00C979CD"/>
    <w:rsid w:val="00CA2022"/>
    <w:rsid w:val="00CA2D01"/>
    <w:rsid w:val="00CA2D6A"/>
    <w:rsid w:val="00CA54DC"/>
    <w:rsid w:val="00CA575D"/>
    <w:rsid w:val="00CA59F1"/>
    <w:rsid w:val="00CA5E79"/>
    <w:rsid w:val="00CA6EBB"/>
    <w:rsid w:val="00CA706F"/>
    <w:rsid w:val="00CB1C15"/>
    <w:rsid w:val="00CB3B98"/>
    <w:rsid w:val="00CB4B33"/>
    <w:rsid w:val="00CB4EA8"/>
    <w:rsid w:val="00CB63C2"/>
    <w:rsid w:val="00CB6DC8"/>
    <w:rsid w:val="00CB79DF"/>
    <w:rsid w:val="00CC0513"/>
    <w:rsid w:val="00CC0BC7"/>
    <w:rsid w:val="00CC3BB2"/>
    <w:rsid w:val="00CC485C"/>
    <w:rsid w:val="00CC4EDB"/>
    <w:rsid w:val="00CC5215"/>
    <w:rsid w:val="00CC5286"/>
    <w:rsid w:val="00CC5746"/>
    <w:rsid w:val="00CC634A"/>
    <w:rsid w:val="00CC6CDF"/>
    <w:rsid w:val="00CD0E43"/>
    <w:rsid w:val="00CD1966"/>
    <w:rsid w:val="00CD1CE9"/>
    <w:rsid w:val="00CD42A8"/>
    <w:rsid w:val="00CD479E"/>
    <w:rsid w:val="00CD4B23"/>
    <w:rsid w:val="00CD4C8C"/>
    <w:rsid w:val="00CD6F06"/>
    <w:rsid w:val="00CD7394"/>
    <w:rsid w:val="00CD7879"/>
    <w:rsid w:val="00CD7897"/>
    <w:rsid w:val="00CD78CA"/>
    <w:rsid w:val="00CE073B"/>
    <w:rsid w:val="00CE0C84"/>
    <w:rsid w:val="00CE4218"/>
    <w:rsid w:val="00CE4E91"/>
    <w:rsid w:val="00CE6EC4"/>
    <w:rsid w:val="00CE71CB"/>
    <w:rsid w:val="00CF006A"/>
    <w:rsid w:val="00CF076E"/>
    <w:rsid w:val="00CF1749"/>
    <w:rsid w:val="00CF46FA"/>
    <w:rsid w:val="00CF4912"/>
    <w:rsid w:val="00CF57FD"/>
    <w:rsid w:val="00CF7749"/>
    <w:rsid w:val="00CF7D54"/>
    <w:rsid w:val="00D009F5"/>
    <w:rsid w:val="00D00CD5"/>
    <w:rsid w:val="00D00F09"/>
    <w:rsid w:val="00D047E1"/>
    <w:rsid w:val="00D0521A"/>
    <w:rsid w:val="00D068DA"/>
    <w:rsid w:val="00D078A1"/>
    <w:rsid w:val="00D07CCB"/>
    <w:rsid w:val="00D10EBE"/>
    <w:rsid w:val="00D11CC6"/>
    <w:rsid w:val="00D131C5"/>
    <w:rsid w:val="00D14671"/>
    <w:rsid w:val="00D16F35"/>
    <w:rsid w:val="00D17DD9"/>
    <w:rsid w:val="00D223B0"/>
    <w:rsid w:val="00D22718"/>
    <w:rsid w:val="00D23E65"/>
    <w:rsid w:val="00D24A47"/>
    <w:rsid w:val="00D259BF"/>
    <w:rsid w:val="00D26ECB"/>
    <w:rsid w:val="00D27102"/>
    <w:rsid w:val="00D27DDC"/>
    <w:rsid w:val="00D30463"/>
    <w:rsid w:val="00D31103"/>
    <w:rsid w:val="00D312E5"/>
    <w:rsid w:val="00D32195"/>
    <w:rsid w:val="00D33279"/>
    <w:rsid w:val="00D33920"/>
    <w:rsid w:val="00D33DF3"/>
    <w:rsid w:val="00D33EE0"/>
    <w:rsid w:val="00D3424D"/>
    <w:rsid w:val="00D348E0"/>
    <w:rsid w:val="00D34A92"/>
    <w:rsid w:val="00D34E2F"/>
    <w:rsid w:val="00D37D9F"/>
    <w:rsid w:val="00D41693"/>
    <w:rsid w:val="00D41929"/>
    <w:rsid w:val="00D4317D"/>
    <w:rsid w:val="00D43401"/>
    <w:rsid w:val="00D45377"/>
    <w:rsid w:val="00D46932"/>
    <w:rsid w:val="00D50352"/>
    <w:rsid w:val="00D50824"/>
    <w:rsid w:val="00D50A5B"/>
    <w:rsid w:val="00D521EF"/>
    <w:rsid w:val="00D52755"/>
    <w:rsid w:val="00D52FE2"/>
    <w:rsid w:val="00D535CF"/>
    <w:rsid w:val="00D537A2"/>
    <w:rsid w:val="00D53A3C"/>
    <w:rsid w:val="00D56BB4"/>
    <w:rsid w:val="00D57E8A"/>
    <w:rsid w:val="00D6032C"/>
    <w:rsid w:val="00D60B64"/>
    <w:rsid w:val="00D61D76"/>
    <w:rsid w:val="00D62C0D"/>
    <w:rsid w:val="00D6314A"/>
    <w:rsid w:val="00D65650"/>
    <w:rsid w:val="00D67527"/>
    <w:rsid w:val="00D72036"/>
    <w:rsid w:val="00D722F7"/>
    <w:rsid w:val="00D72859"/>
    <w:rsid w:val="00D73520"/>
    <w:rsid w:val="00D73954"/>
    <w:rsid w:val="00D7644A"/>
    <w:rsid w:val="00D7664A"/>
    <w:rsid w:val="00D76A75"/>
    <w:rsid w:val="00D77038"/>
    <w:rsid w:val="00D809C8"/>
    <w:rsid w:val="00D825CF"/>
    <w:rsid w:val="00D82C86"/>
    <w:rsid w:val="00D84046"/>
    <w:rsid w:val="00D84826"/>
    <w:rsid w:val="00D84B69"/>
    <w:rsid w:val="00D866F2"/>
    <w:rsid w:val="00D86BFF"/>
    <w:rsid w:val="00D87B2C"/>
    <w:rsid w:val="00D90AD4"/>
    <w:rsid w:val="00D90C19"/>
    <w:rsid w:val="00D90FA4"/>
    <w:rsid w:val="00D91AF2"/>
    <w:rsid w:val="00D92F87"/>
    <w:rsid w:val="00D93D1E"/>
    <w:rsid w:val="00D94778"/>
    <w:rsid w:val="00D9483F"/>
    <w:rsid w:val="00D948E5"/>
    <w:rsid w:val="00D961BD"/>
    <w:rsid w:val="00D96FC2"/>
    <w:rsid w:val="00DA27BC"/>
    <w:rsid w:val="00DA5430"/>
    <w:rsid w:val="00DA56B6"/>
    <w:rsid w:val="00DA60EC"/>
    <w:rsid w:val="00DA74FE"/>
    <w:rsid w:val="00DB05B5"/>
    <w:rsid w:val="00DB20CF"/>
    <w:rsid w:val="00DB2215"/>
    <w:rsid w:val="00DB326A"/>
    <w:rsid w:val="00DB3901"/>
    <w:rsid w:val="00DB3AFE"/>
    <w:rsid w:val="00DB3C07"/>
    <w:rsid w:val="00DB432F"/>
    <w:rsid w:val="00DB5084"/>
    <w:rsid w:val="00DB582B"/>
    <w:rsid w:val="00DB6B8A"/>
    <w:rsid w:val="00DB7564"/>
    <w:rsid w:val="00DC1603"/>
    <w:rsid w:val="00DC16EA"/>
    <w:rsid w:val="00DC2402"/>
    <w:rsid w:val="00DC2C66"/>
    <w:rsid w:val="00DC2EB2"/>
    <w:rsid w:val="00DC3AFB"/>
    <w:rsid w:val="00DC42E4"/>
    <w:rsid w:val="00DC4E01"/>
    <w:rsid w:val="00DC4FD2"/>
    <w:rsid w:val="00DC50B9"/>
    <w:rsid w:val="00DC51B8"/>
    <w:rsid w:val="00DC52A4"/>
    <w:rsid w:val="00DC5E31"/>
    <w:rsid w:val="00DC6D42"/>
    <w:rsid w:val="00DD0438"/>
    <w:rsid w:val="00DD07E7"/>
    <w:rsid w:val="00DD2BAC"/>
    <w:rsid w:val="00DD31E2"/>
    <w:rsid w:val="00DD38AE"/>
    <w:rsid w:val="00DD438A"/>
    <w:rsid w:val="00DD7F22"/>
    <w:rsid w:val="00DE0F7A"/>
    <w:rsid w:val="00DE1C6B"/>
    <w:rsid w:val="00DE1DC6"/>
    <w:rsid w:val="00DE36C0"/>
    <w:rsid w:val="00DE57EF"/>
    <w:rsid w:val="00DE598C"/>
    <w:rsid w:val="00DE5A68"/>
    <w:rsid w:val="00DE5F71"/>
    <w:rsid w:val="00DF098D"/>
    <w:rsid w:val="00DF0A4C"/>
    <w:rsid w:val="00DF0CC0"/>
    <w:rsid w:val="00DF15D8"/>
    <w:rsid w:val="00DF263A"/>
    <w:rsid w:val="00DF298A"/>
    <w:rsid w:val="00DF3551"/>
    <w:rsid w:val="00DF35ED"/>
    <w:rsid w:val="00DF3903"/>
    <w:rsid w:val="00DF3FD1"/>
    <w:rsid w:val="00DF6328"/>
    <w:rsid w:val="00DF64E6"/>
    <w:rsid w:val="00DF7884"/>
    <w:rsid w:val="00E01A8F"/>
    <w:rsid w:val="00E01CD3"/>
    <w:rsid w:val="00E01D26"/>
    <w:rsid w:val="00E023C3"/>
    <w:rsid w:val="00E023D6"/>
    <w:rsid w:val="00E0250D"/>
    <w:rsid w:val="00E028D4"/>
    <w:rsid w:val="00E036AA"/>
    <w:rsid w:val="00E03AB0"/>
    <w:rsid w:val="00E04418"/>
    <w:rsid w:val="00E04760"/>
    <w:rsid w:val="00E0739C"/>
    <w:rsid w:val="00E07A8E"/>
    <w:rsid w:val="00E07C04"/>
    <w:rsid w:val="00E10723"/>
    <w:rsid w:val="00E10B4C"/>
    <w:rsid w:val="00E14148"/>
    <w:rsid w:val="00E16D06"/>
    <w:rsid w:val="00E16E99"/>
    <w:rsid w:val="00E16F1C"/>
    <w:rsid w:val="00E1754F"/>
    <w:rsid w:val="00E17EF2"/>
    <w:rsid w:val="00E17FDA"/>
    <w:rsid w:val="00E20281"/>
    <w:rsid w:val="00E20BB0"/>
    <w:rsid w:val="00E22350"/>
    <w:rsid w:val="00E22B4A"/>
    <w:rsid w:val="00E2322D"/>
    <w:rsid w:val="00E23FAC"/>
    <w:rsid w:val="00E24858"/>
    <w:rsid w:val="00E27364"/>
    <w:rsid w:val="00E27D20"/>
    <w:rsid w:val="00E30276"/>
    <w:rsid w:val="00E31954"/>
    <w:rsid w:val="00E320D2"/>
    <w:rsid w:val="00E32513"/>
    <w:rsid w:val="00E34430"/>
    <w:rsid w:val="00E34527"/>
    <w:rsid w:val="00E35911"/>
    <w:rsid w:val="00E364D1"/>
    <w:rsid w:val="00E36C71"/>
    <w:rsid w:val="00E40339"/>
    <w:rsid w:val="00E4061A"/>
    <w:rsid w:val="00E408E0"/>
    <w:rsid w:val="00E41FC9"/>
    <w:rsid w:val="00E42B8B"/>
    <w:rsid w:val="00E43271"/>
    <w:rsid w:val="00E440A2"/>
    <w:rsid w:val="00E443DE"/>
    <w:rsid w:val="00E44B17"/>
    <w:rsid w:val="00E44E50"/>
    <w:rsid w:val="00E45CD9"/>
    <w:rsid w:val="00E47471"/>
    <w:rsid w:val="00E478D6"/>
    <w:rsid w:val="00E47D3D"/>
    <w:rsid w:val="00E50C90"/>
    <w:rsid w:val="00E5283D"/>
    <w:rsid w:val="00E55389"/>
    <w:rsid w:val="00E55663"/>
    <w:rsid w:val="00E556D9"/>
    <w:rsid w:val="00E55A9C"/>
    <w:rsid w:val="00E564C1"/>
    <w:rsid w:val="00E568D7"/>
    <w:rsid w:val="00E56CF8"/>
    <w:rsid w:val="00E56D97"/>
    <w:rsid w:val="00E56E47"/>
    <w:rsid w:val="00E57FD7"/>
    <w:rsid w:val="00E57FF5"/>
    <w:rsid w:val="00E6288C"/>
    <w:rsid w:val="00E62943"/>
    <w:rsid w:val="00E62B99"/>
    <w:rsid w:val="00E63926"/>
    <w:rsid w:val="00E64F31"/>
    <w:rsid w:val="00E65F28"/>
    <w:rsid w:val="00E667C3"/>
    <w:rsid w:val="00E67D6D"/>
    <w:rsid w:val="00E700B5"/>
    <w:rsid w:val="00E70EF4"/>
    <w:rsid w:val="00E71CEB"/>
    <w:rsid w:val="00E740C3"/>
    <w:rsid w:val="00E7427E"/>
    <w:rsid w:val="00E74AD6"/>
    <w:rsid w:val="00E74E63"/>
    <w:rsid w:val="00E769F5"/>
    <w:rsid w:val="00E76AD7"/>
    <w:rsid w:val="00E77874"/>
    <w:rsid w:val="00E8000D"/>
    <w:rsid w:val="00E811A5"/>
    <w:rsid w:val="00E821BC"/>
    <w:rsid w:val="00E8386B"/>
    <w:rsid w:val="00E8400F"/>
    <w:rsid w:val="00E84C74"/>
    <w:rsid w:val="00E85DD8"/>
    <w:rsid w:val="00E86424"/>
    <w:rsid w:val="00E86512"/>
    <w:rsid w:val="00E90329"/>
    <w:rsid w:val="00E919F1"/>
    <w:rsid w:val="00E92D37"/>
    <w:rsid w:val="00E92F2C"/>
    <w:rsid w:val="00E93B3A"/>
    <w:rsid w:val="00E941ED"/>
    <w:rsid w:val="00E9472B"/>
    <w:rsid w:val="00E95A33"/>
    <w:rsid w:val="00EA01F5"/>
    <w:rsid w:val="00EA038E"/>
    <w:rsid w:val="00EA0DD8"/>
    <w:rsid w:val="00EA11A3"/>
    <w:rsid w:val="00EA372C"/>
    <w:rsid w:val="00EA3E2A"/>
    <w:rsid w:val="00EA457C"/>
    <w:rsid w:val="00EA4AFB"/>
    <w:rsid w:val="00EA5EF8"/>
    <w:rsid w:val="00EB078A"/>
    <w:rsid w:val="00EB0AE7"/>
    <w:rsid w:val="00EB1B04"/>
    <w:rsid w:val="00EB1DE9"/>
    <w:rsid w:val="00EB35EA"/>
    <w:rsid w:val="00EB3C11"/>
    <w:rsid w:val="00EB3D5D"/>
    <w:rsid w:val="00EB4179"/>
    <w:rsid w:val="00EB4721"/>
    <w:rsid w:val="00EB68C9"/>
    <w:rsid w:val="00EB699E"/>
    <w:rsid w:val="00EB6E90"/>
    <w:rsid w:val="00EC0114"/>
    <w:rsid w:val="00EC0315"/>
    <w:rsid w:val="00EC13A6"/>
    <w:rsid w:val="00EC1ED0"/>
    <w:rsid w:val="00EC24E4"/>
    <w:rsid w:val="00EC276F"/>
    <w:rsid w:val="00EC554C"/>
    <w:rsid w:val="00EC5817"/>
    <w:rsid w:val="00EC60D2"/>
    <w:rsid w:val="00EC6216"/>
    <w:rsid w:val="00EC6CD5"/>
    <w:rsid w:val="00EC7621"/>
    <w:rsid w:val="00EC7731"/>
    <w:rsid w:val="00EC78AC"/>
    <w:rsid w:val="00ED0195"/>
    <w:rsid w:val="00ED03C6"/>
    <w:rsid w:val="00ED1969"/>
    <w:rsid w:val="00ED2A0C"/>
    <w:rsid w:val="00ED2CAE"/>
    <w:rsid w:val="00ED3AC9"/>
    <w:rsid w:val="00ED4DB5"/>
    <w:rsid w:val="00ED4EB3"/>
    <w:rsid w:val="00ED5266"/>
    <w:rsid w:val="00ED71CF"/>
    <w:rsid w:val="00EE0204"/>
    <w:rsid w:val="00EE026F"/>
    <w:rsid w:val="00EE06D1"/>
    <w:rsid w:val="00EE1771"/>
    <w:rsid w:val="00EE522D"/>
    <w:rsid w:val="00EE6896"/>
    <w:rsid w:val="00EF2999"/>
    <w:rsid w:val="00EF3C59"/>
    <w:rsid w:val="00EF5EBD"/>
    <w:rsid w:val="00EF62FF"/>
    <w:rsid w:val="00EF6821"/>
    <w:rsid w:val="00EF6BEB"/>
    <w:rsid w:val="00F046A8"/>
    <w:rsid w:val="00F0538A"/>
    <w:rsid w:val="00F05FB8"/>
    <w:rsid w:val="00F07CC4"/>
    <w:rsid w:val="00F07CEC"/>
    <w:rsid w:val="00F104D2"/>
    <w:rsid w:val="00F111D1"/>
    <w:rsid w:val="00F112B3"/>
    <w:rsid w:val="00F11774"/>
    <w:rsid w:val="00F121C0"/>
    <w:rsid w:val="00F125C4"/>
    <w:rsid w:val="00F1433F"/>
    <w:rsid w:val="00F14A9A"/>
    <w:rsid w:val="00F1589A"/>
    <w:rsid w:val="00F16400"/>
    <w:rsid w:val="00F16746"/>
    <w:rsid w:val="00F16E26"/>
    <w:rsid w:val="00F20EB5"/>
    <w:rsid w:val="00F20FEF"/>
    <w:rsid w:val="00F213D0"/>
    <w:rsid w:val="00F2146A"/>
    <w:rsid w:val="00F23C06"/>
    <w:rsid w:val="00F24261"/>
    <w:rsid w:val="00F24406"/>
    <w:rsid w:val="00F248FB"/>
    <w:rsid w:val="00F259AF"/>
    <w:rsid w:val="00F25D6F"/>
    <w:rsid w:val="00F27D2A"/>
    <w:rsid w:val="00F306B8"/>
    <w:rsid w:val="00F30E94"/>
    <w:rsid w:val="00F325E8"/>
    <w:rsid w:val="00F3350F"/>
    <w:rsid w:val="00F33829"/>
    <w:rsid w:val="00F35307"/>
    <w:rsid w:val="00F363D1"/>
    <w:rsid w:val="00F36C15"/>
    <w:rsid w:val="00F40E68"/>
    <w:rsid w:val="00F41BB2"/>
    <w:rsid w:val="00F4472C"/>
    <w:rsid w:val="00F455CA"/>
    <w:rsid w:val="00F457B5"/>
    <w:rsid w:val="00F473DD"/>
    <w:rsid w:val="00F519BC"/>
    <w:rsid w:val="00F51EA7"/>
    <w:rsid w:val="00F5294D"/>
    <w:rsid w:val="00F52956"/>
    <w:rsid w:val="00F53255"/>
    <w:rsid w:val="00F53406"/>
    <w:rsid w:val="00F53413"/>
    <w:rsid w:val="00F53591"/>
    <w:rsid w:val="00F53CF8"/>
    <w:rsid w:val="00F55FC0"/>
    <w:rsid w:val="00F5612B"/>
    <w:rsid w:val="00F56CEA"/>
    <w:rsid w:val="00F57924"/>
    <w:rsid w:val="00F57DA6"/>
    <w:rsid w:val="00F60459"/>
    <w:rsid w:val="00F60F48"/>
    <w:rsid w:val="00F61672"/>
    <w:rsid w:val="00F6324B"/>
    <w:rsid w:val="00F63AF7"/>
    <w:rsid w:val="00F66217"/>
    <w:rsid w:val="00F66312"/>
    <w:rsid w:val="00F66CFF"/>
    <w:rsid w:val="00F672D2"/>
    <w:rsid w:val="00F7050B"/>
    <w:rsid w:val="00F70E27"/>
    <w:rsid w:val="00F7119C"/>
    <w:rsid w:val="00F72592"/>
    <w:rsid w:val="00F72BE2"/>
    <w:rsid w:val="00F735CD"/>
    <w:rsid w:val="00F74D85"/>
    <w:rsid w:val="00F766A7"/>
    <w:rsid w:val="00F766D5"/>
    <w:rsid w:val="00F8027A"/>
    <w:rsid w:val="00F80DA6"/>
    <w:rsid w:val="00F81055"/>
    <w:rsid w:val="00F814BC"/>
    <w:rsid w:val="00F85C18"/>
    <w:rsid w:val="00F86024"/>
    <w:rsid w:val="00F86C65"/>
    <w:rsid w:val="00F87341"/>
    <w:rsid w:val="00F92194"/>
    <w:rsid w:val="00F92292"/>
    <w:rsid w:val="00F92DA3"/>
    <w:rsid w:val="00F9380F"/>
    <w:rsid w:val="00F939FF"/>
    <w:rsid w:val="00F94B68"/>
    <w:rsid w:val="00F966A2"/>
    <w:rsid w:val="00F97F27"/>
    <w:rsid w:val="00FA0277"/>
    <w:rsid w:val="00FA090E"/>
    <w:rsid w:val="00FA36CA"/>
    <w:rsid w:val="00FA3D97"/>
    <w:rsid w:val="00FA49E2"/>
    <w:rsid w:val="00FA531F"/>
    <w:rsid w:val="00FA5F22"/>
    <w:rsid w:val="00FA6002"/>
    <w:rsid w:val="00FA70EA"/>
    <w:rsid w:val="00FB3E0A"/>
    <w:rsid w:val="00FB4107"/>
    <w:rsid w:val="00FB48C5"/>
    <w:rsid w:val="00FB4DF7"/>
    <w:rsid w:val="00FB5971"/>
    <w:rsid w:val="00FB5DFC"/>
    <w:rsid w:val="00FB5FBD"/>
    <w:rsid w:val="00FB6036"/>
    <w:rsid w:val="00FB62E4"/>
    <w:rsid w:val="00FB718D"/>
    <w:rsid w:val="00FB7E9E"/>
    <w:rsid w:val="00FC0BAC"/>
    <w:rsid w:val="00FC18C1"/>
    <w:rsid w:val="00FC20A1"/>
    <w:rsid w:val="00FC2C41"/>
    <w:rsid w:val="00FC55B8"/>
    <w:rsid w:val="00FC757C"/>
    <w:rsid w:val="00FD006A"/>
    <w:rsid w:val="00FD28F8"/>
    <w:rsid w:val="00FD3174"/>
    <w:rsid w:val="00FD317E"/>
    <w:rsid w:val="00FD44C7"/>
    <w:rsid w:val="00FD44DA"/>
    <w:rsid w:val="00FD6304"/>
    <w:rsid w:val="00FD67BA"/>
    <w:rsid w:val="00FD6D4E"/>
    <w:rsid w:val="00FE0667"/>
    <w:rsid w:val="00FE0DC8"/>
    <w:rsid w:val="00FE2869"/>
    <w:rsid w:val="00FE4A11"/>
    <w:rsid w:val="00FE4A21"/>
    <w:rsid w:val="00FE4E93"/>
    <w:rsid w:val="00FE561D"/>
    <w:rsid w:val="00FE586A"/>
    <w:rsid w:val="00FF0E89"/>
    <w:rsid w:val="00FF16AF"/>
    <w:rsid w:val="00FF1787"/>
    <w:rsid w:val="00FF263D"/>
    <w:rsid w:val="00FF3030"/>
    <w:rsid w:val="00FF3288"/>
    <w:rsid w:val="00FF4D98"/>
    <w:rsid w:val="00FF4E5D"/>
    <w:rsid w:val="00FF5053"/>
    <w:rsid w:val="00FF6A5B"/>
    <w:rsid w:val="00FF7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A16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Garamond"/>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1B7B"/>
    <w:rPr>
      <w:rFonts w:ascii="Times New Roman" w:eastAsia="Times New Roman" w:hAnsi="Times New Roman" w:cs="Times New Roman"/>
      <w:lang w:val="en-NZ"/>
    </w:rPr>
  </w:style>
  <w:style w:type="paragraph" w:styleId="Heading1">
    <w:name w:val="heading 1"/>
    <w:basedOn w:val="Normal"/>
    <w:next w:val="Normal"/>
    <w:link w:val="Heading1Char"/>
    <w:qFormat/>
    <w:rsid w:val="00B372BB"/>
    <w:pPr>
      <w:keepNext/>
      <w:outlineLvl w:val="0"/>
    </w:pPr>
    <w:rPr>
      <w:b/>
      <w:bCs/>
    </w:rPr>
  </w:style>
  <w:style w:type="paragraph" w:styleId="Heading2">
    <w:name w:val="heading 2"/>
    <w:basedOn w:val="Normal"/>
    <w:next w:val="Normal"/>
    <w:link w:val="Heading2Char"/>
    <w:uiPriority w:val="9"/>
    <w:semiHidden/>
    <w:unhideWhenUsed/>
    <w:qFormat/>
    <w:rsid w:val="00BC2C9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2C9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40837"/>
    <w:pPr>
      <w:ind w:left="720"/>
      <w:contextualSpacing/>
    </w:pPr>
  </w:style>
  <w:style w:type="paragraph" w:styleId="BalloonText">
    <w:name w:val="Balloon Text"/>
    <w:basedOn w:val="Normal"/>
    <w:link w:val="BalloonTextChar"/>
    <w:uiPriority w:val="99"/>
    <w:semiHidden/>
    <w:unhideWhenUsed/>
    <w:rsid w:val="00821399"/>
    <w:rPr>
      <w:sz w:val="18"/>
      <w:szCs w:val="18"/>
    </w:rPr>
  </w:style>
  <w:style w:type="character" w:customStyle="1" w:styleId="BalloonTextChar">
    <w:name w:val="Balloon Text Char"/>
    <w:basedOn w:val="DefaultParagraphFont"/>
    <w:link w:val="BalloonText"/>
    <w:uiPriority w:val="99"/>
    <w:semiHidden/>
    <w:rsid w:val="00821399"/>
    <w:rPr>
      <w:rFonts w:ascii="Times New Roman" w:hAnsi="Times New Roman" w:cs="Times New Roman"/>
      <w:sz w:val="18"/>
      <w:szCs w:val="18"/>
    </w:rPr>
  </w:style>
  <w:style w:type="paragraph" w:styleId="Revision">
    <w:name w:val="Revision"/>
    <w:hidden/>
    <w:uiPriority w:val="99"/>
    <w:semiHidden/>
    <w:rsid w:val="00A97583"/>
  </w:style>
  <w:style w:type="paragraph" w:styleId="Footer">
    <w:name w:val="footer"/>
    <w:basedOn w:val="Normal"/>
    <w:link w:val="FooterChar"/>
    <w:uiPriority w:val="99"/>
    <w:unhideWhenUsed/>
    <w:rsid w:val="008B3088"/>
    <w:pPr>
      <w:tabs>
        <w:tab w:val="center" w:pos="4513"/>
        <w:tab w:val="right" w:pos="9026"/>
      </w:tabs>
    </w:pPr>
  </w:style>
  <w:style w:type="character" w:customStyle="1" w:styleId="FooterChar">
    <w:name w:val="Footer Char"/>
    <w:basedOn w:val="DefaultParagraphFont"/>
    <w:link w:val="Footer"/>
    <w:rsid w:val="008B3088"/>
  </w:style>
  <w:style w:type="character" w:styleId="PageNumber">
    <w:name w:val="page number"/>
    <w:basedOn w:val="DefaultParagraphFont"/>
    <w:uiPriority w:val="99"/>
    <w:semiHidden/>
    <w:unhideWhenUsed/>
    <w:rsid w:val="008B3088"/>
  </w:style>
  <w:style w:type="paragraph" w:styleId="Header">
    <w:name w:val="header"/>
    <w:basedOn w:val="Normal"/>
    <w:link w:val="HeaderChar"/>
    <w:uiPriority w:val="99"/>
    <w:unhideWhenUsed/>
    <w:rsid w:val="008B3088"/>
    <w:pPr>
      <w:tabs>
        <w:tab w:val="center" w:pos="4513"/>
        <w:tab w:val="right" w:pos="9026"/>
      </w:tabs>
    </w:pPr>
  </w:style>
  <w:style w:type="character" w:customStyle="1" w:styleId="HeaderChar">
    <w:name w:val="Header Char"/>
    <w:basedOn w:val="DefaultParagraphFont"/>
    <w:link w:val="Header"/>
    <w:uiPriority w:val="99"/>
    <w:rsid w:val="008B3088"/>
  </w:style>
  <w:style w:type="character" w:styleId="Hyperlink">
    <w:name w:val="Hyperlink"/>
    <w:basedOn w:val="DefaultParagraphFont"/>
    <w:uiPriority w:val="99"/>
    <w:unhideWhenUsed/>
    <w:rsid w:val="00D67527"/>
    <w:rPr>
      <w:color w:val="0563C1" w:themeColor="hyperlink"/>
      <w:u w:val="single"/>
    </w:rPr>
  </w:style>
  <w:style w:type="paragraph" w:styleId="FootnoteText">
    <w:name w:val="footnote text"/>
    <w:basedOn w:val="Normal"/>
    <w:link w:val="FootnoteTextChar"/>
    <w:uiPriority w:val="99"/>
    <w:unhideWhenUsed/>
    <w:rsid w:val="005C769E"/>
    <w:rPr>
      <w:rFonts w:eastAsiaTheme="minorEastAsia"/>
      <w:lang w:eastAsia="ja-JP"/>
    </w:rPr>
  </w:style>
  <w:style w:type="character" w:customStyle="1" w:styleId="FootnoteTextChar">
    <w:name w:val="Footnote Text Char"/>
    <w:basedOn w:val="DefaultParagraphFont"/>
    <w:link w:val="FootnoteText"/>
    <w:uiPriority w:val="99"/>
    <w:rsid w:val="005C769E"/>
    <w:rPr>
      <w:rFonts w:ascii="Garamond" w:eastAsiaTheme="minorEastAsia" w:hAnsi="Garamond"/>
      <w:lang w:eastAsia="ja-JP"/>
    </w:rPr>
  </w:style>
  <w:style w:type="character" w:styleId="FootnoteReference">
    <w:name w:val="footnote reference"/>
    <w:basedOn w:val="DefaultParagraphFont"/>
    <w:unhideWhenUsed/>
    <w:rsid w:val="005C769E"/>
    <w:rPr>
      <w:vertAlign w:val="superscript"/>
    </w:rPr>
  </w:style>
  <w:style w:type="character" w:customStyle="1" w:styleId="apple-converted-space">
    <w:name w:val="apple-converted-space"/>
    <w:basedOn w:val="DefaultParagraphFont"/>
    <w:rsid w:val="007C2BE0"/>
  </w:style>
  <w:style w:type="paragraph" w:styleId="BodyText2">
    <w:name w:val="Body Text 2"/>
    <w:basedOn w:val="Normal"/>
    <w:link w:val="BodyText2Char"/>
    <w:uiPriority w:val="99"/>
    <w:unhideWhenUsed/>
    <w:rsid w:val="007C2BE0"/>
    <w:pPr>
      <w:spacing w:after="120" w:line="480" w:lineRule="auto"/>
    </w:pPr>
    <w:rPr>
      <w:lang w:val="en-AU"/>
    </w:rPr>
  </w:style>
  <w:style w:type="character" w:customStyle="1" w:styleId="BodyText2Char">
    <w:name w:val="Body Text 2 Char"/>
    <w:basedOn w:val="DefaultParagraphFont"/>
    <w:link w:val="BodyText2"/>
    <w:uiPriority w:val="99"/>
    <w:rsid w:val="007C2BE0"/>
    <w:rPr>
      <w:rFonts w:ascii="Times New Roman" w:eastAsia="Times New Roman" w:hAnsi="Times New Roman" w:cs="Times New Roman"/>
      <w:lang w:val="en-AU"/>
    </w:rPr>
  </w:style>
  <w:style w:type="paragraph" w:styleId="BodyText">
    <w:name w:val="Body Text"/>
    <w:basedOn w:val="Normal"/>
    <w:link w:val="BodyTextChar"/>
    <w:uiPriority w:val="99"/>
    <w:unhideWhenUsed/>
    <w:rsid w:val="00B372BB"/>
    <w:pPr>
      <w:spacing w:after="120"/>
    </w:pPr>
  </w:style>
  <w:style w:type="character" w:customStyle="1" w:styleId="BodyTextChar">
    <w:name w:val="Body Text Char"/>
    <w:basedOn w:val="DefaultParagraphFont"/>
    <w:link w:val="BodyText"/>
    <w:uiPriority w:val="99"/>
    <w:rsid w:val="00B372BB"/>
  </w:style>
  <w:style w:type="character" w:customStyle="1" w:styleId="Heading1Char">
    <w:name w:val="Heading 1 Char"/>
    <w:basedOn w:val="DefaultParagraphFont"/>
    <w:link w:val="Heading1"/>
    <w:rsid w:val="00B372BB"/>
    <w:rPr>
      <w:rFonts w:eastAsia="Times New Roman" w:cs="Times New Roman"/>
      <w:b/>
      <w:bCs/>
      <w:lang w:val="en-NZ"/>
    </w:rPr>
  </w:style>
  <w:style w:type="paragraph" w:styleId="BodyTextIndent2">
    <w:name w:val="Body Text Indent 2"/>
    <w:basedOn w:val="Normal"/>
    <w:link w:val="BodyTextIndent2Char"/>
    <w:uiPriority w:val="99"/>
    <w:semiHidden/>
    <w:unhideWhenUsed/>
    <w:rsid w:val="00B92C8D"/>
    <w:pPr>
      <w:spacing w:after="120" w:line="480" w:lineRule="auto"/>
      <w:ind w:left="283"/>
    </w:pPr>
  </w:style>
  <w:style w:type="character" w:customStyle="1" w:styleId="BodyTextIndent2Char">
    <w:name w:val="Body Text Indent 2 Char"/>
    <w:basedOn w:val="DefaultParagraphFont"/>
    <w:link w:val="BodyTextIndent2"/>
    <w:uiPriority w:val="99"/>
    <w:semiHidden/>
    <w:rsid w:val="00B92C8D"/>
  </w:style>
  <w:style w:type="character" w:styleId="FollowedHyperlink">
    <w:name w:val="FollowedHyperlink"/>
    <w:basedOn w:val="DefaultParagraphFont"/>
    <w:uiPriority w:val="99"/>
    <w:semiHidden/>
    <w:unhideWhenUsed/>
    <w:rsid w:val="009129F4"/>
    <w:rPr>
      <w:color w:val="954F72" w:themeColor="followedHyperlink"/>
      <w:u w:val="single"/>
    </w:rPr>
  </w:style>
  <w:style w:type="character" w:customStyle="1" w:styleId="Heading2Char">
    <w:name w:val="Heading 2 Char"/>
    <w:basedOn w:val="DefaultParagraphFont"/>
    <w:link w:val="Heading2"/>
    <w:uiPriority w:val="9"/>
    <w:semiHidden/>
    <w:rsid w:val="00BC2C9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C2C9F"/>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BC2C9F"/>
    <w:pPr>
      <w:spacing w:before="100" w:beforeAutospacing="1" w:after="100" w:afterAutospacing="1"/>
    </w:pPr>
  </w:style>
  <w:style w:type="character" w:styleId="Strong">
    <w:name w:val="Strong"/>
    <w:basedOn w:val="DefaultParagraphFont"/>
    <w:uiPriority w:val="22"/>
    <w:qFormat/>
    <w:rsid w:val="00BC2C9F"/>
    <w:rPr>
      <w:b/>
      <w:bCs/>
    </w:rPr>
  </w:style>
  <w:style w:type="paragraph" w:customStyle="1" w:styleId="p1">
    <w:name w:val="p1"/>
    <w:basedOn w:val="Normal"/>
    <w:rsid w:val="00A477A2"/>
    <w:pPr>
      <w:spacing w:line="210" w:lineRule="atLeast"/>
    </w:pPr>
    <w:rPr>
      <w:rFonts w:ascii="Times" w:hAnsi="Times"/>
      <w:color w:val="000000"/>
      <w:sz w:val="18"/>
      <w:szCs w:val="18"/>
    </w:rPr>
  </w:style>
  <w:style w:type="character" w:customStyle="1" w:styleId="s1">
    <w:name w:val="s1"/>
    <w:basedOn w:val="DefaultParagraphFont"/>
    <w:rsid w:val="00A477A2"/>
  </w:style>
  <w:style w:type="paragraph" w:styleId="BodyTextIndent">
    <w:name w:val="Body Text Indent"/>
    <w:basedOn w:val="Normal"/>
    <w:link w:val="BodyTextIndentChar"/>
    <w:uiPriority w:val="99"/>
    <w:semiHidden/>
    <w:unhideWhenUsed/>
    <w:rsid w:val="00ED71CF"/>
    <w:pPr>
      <w:spacing w:after="120"/>
      <w:ind w:left="283"/>
    </w:pPr>
  </w:style>
  <w:style w:type="character" w:customStyle="1" w:styleId="BodyTextIndentChar">
    <w:name w:val="Body Text Indent Char"/>
    <w:basedOn w:val="DefaultParagraphFont"/>
    <w:link w:val="BodyTextIndent"/>
    <w:uiPriority w:val="99"/>
    <w:semiHidden/>
    <w:rsid w:val="00ED71CF"/>
  </w:style>
  <w:style w:type="table" w:styleId="TableGrid">
    <w:name w:val="Table Grid"/>
    <w:basedOn w:val="TableNormal"/>
    <w:uiPriority w:val="39"/>
    <w:rsid w:val="00492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C24E4"/>
    <w:rPr>
      <w:i/>
      <w:iCs/>
    </w:rPr>
  </w:style>
  <w:style w:type="character" w:styleId="UnresolvedMention">
    <w:name w:val="Unresolved Mention"/>
    <w:basedOn w:val="DefaultParagraphFont"/>
    <w:uiPriority w:val="99"/>
    <w:rsid w:val="001271AE"/>
    <w:rPr>
      <w:color w:val="605E5C"/>
      <w:shd w:val="clear" w:color="auto" w:fill="E1DFDD"/>
    </w:rPr>
  </w:style>
  <w:style w:type="character" w:styleId="CommentReference">
    <w:name w:val="annotation reference"/>
    <w:basedOn w:val="DefaultParagraphFont"/>
    <w:uiPriority w:val="99"/>
    <w:semiHidden/>
    <w:unhideWhenUsed/>
    <w:rsid w:val="00891E0F"/>
    <w:rPr>
      <w:sz w:val="16"/>
      <w:szCs w:val="16"/>
    </w:rPr>
  </w:style>
  <w:style w:type="paragraph" w:styleId="CommentText">
    <w:name w:val="annotation text"/>
    <w:basedOn w:val="Normal"/>
    <w:link w:val="CommentTextChar"/>
    <w:uiPriority w:val="99"/>
    <w:semiHidden/>
    <w:unhideWhenUsed/>
    <w:rsid w:val="00891E0F"/>
    <w:rPr>
      <w:sz w:val="20"/>
      <w:szCs w:val="20"/>
    </w:rPr>
  </w:style>
  <w:style w:type="character" w:customStyle="1" w:styleId="CommentTextChar">
    <w:name w:val="Comment Text Char"/>
    <w:basedOn w:val="DefaultParagraphFont"/>
    <w:link w:val="CommentText"/>
    <w:uiPriority w:val="99"/>
    <w:semiHidden/>
    <w:rsid w:val="00891E0F"/>
    <w:rPr>
      <w:rFonts w:ascii="Times New Roman" w:eastAsia="Times New Roman" w:hAnsi="Times New Roman" w:cs="Times New Roman"/>
      <w:sz w:val="20"/>
      <w:szCs w:val="20"/>
      <w:lang w:val="en-NZ"/>
    </w:rPr>
  </w:style>
  <w:style w:type="paragraph" w:styleId="CommentSubject">
    <w:name w:val="annotation subject"/>
    <w:basedOn w:val="CommentText"/>
    <w:next w:val="CommentText"/>
    <w:link w:val="CommentSubjectChar"/>
    <w:uiPriority w:val="99"/>
    <w:semiHidden/>
    <w:unhideWhenUsed/>
    <w:rsid w:val="00891E0F"/>
    <w:rPr>
      <w:b/>
      <w:bCs/>
    </w:rPr>
  </w:style>
  <w:style w:type="character" w:customStyle="1" w:styleId="CommentSubjectChar">
    <w:name w:val="Comment Subject Char"/>
    <w:basedOn w:val="CommentTextChar"/>
    <w:link w:val="CommentSubject"/>
    <w:uiPriority w:val="99"/>
    <w:semiHidden/>
    <w:rsid w:val="00891E0F"/>
    <w:rPr>
      <w:rFonts w:ascii="Times New Roman" w:eastAsia="Times New Roman" w:hAnsi="Times New Roman" w:cs="Times New Roman"/>
      <w:b/>
      <w:bC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306">
      <w:bodyDiv w:val="1"/>
      <w:marLeft w:val="0"/>
      <w:marRight w:val="0"/>
      <w:marTop w:val="0"/>
      <w:marBottom w:val="0"/>
      <w:divBdr>
        <w:top w:val="none" w:sz="0" w:space="0" w:color="auto"/>
        <w:left w:val="none" w:sz="0" w:space="0" w:color="auto"/>
        <w:bottom w:val="none" w:sz="0" w:space="0" w:color="auto"/>
        <w:right w:val="none" w:sz="0" w:space="0" w:color="auto"/>
      </w:divBdr>
    </w:div>
    <w:div w:id="30422384">
      <w:bodyDiv w:val="1"/>
      <w:marLeft w:val="0"/>
      <w:marRight w:val="0"/>
      <w:marTop w:val="0"/>
      <w:marBottom w:val="0"/>
      <w:divBdr>
        <w:top w:val="none" w:sz="0" w:space="0" w:color="auto"/>
        <w:left w:val="none" w:sz="0" w:space="0" w:color="auto"/>
        <w:bottom w:val="none" w:sz="0" w:space="0" w:color="auto"/>
        <w:right w:val="none" w:sz="0" w:space="0" w:color="auto"/>
      </w:divBdr>
    </w:div>
    <w:div w:id="168449150">
      <w:bodyDiv w:val="1"/>
      <w:marLeft w:val="0"/>
      <w:marRight w:val="0"/>
      <w:marTop w:val="0"/>
      <w:marBottom w:val="0"/>
      <w:divBdr>
        <w:top w:val="none" w:sz="0" w:space="0" w:color="auto"/>
        <w:left w:val="none" w:sz="0" w:space="0" w:color="auto"/>
        <w:bottom w:val="none" w:sz="0" w:space="0" w:color="auto"/>
        <w:right w:val="none" w:sz="0" w:space="0" w:color="auto"/>
      </w:divBdr>
    </w:div>
    <w:div w:id="178280440">
      <w:bodyDiv w:val="1"/>
      <w:marLeft w:val="0"/>
      <w:marRight w:val="0"/>
      <w:marTop w:val="0"/>
      <w:marBottom w:val="0"/>
      <w:divBdr>
        <w:top w:val="none" w:sz="0" w:space="0" w:color="auto"/>
        <w:left w:val="none" w:sz="0" w:space="0" w:color="auto"/>
        <w:bottom w:val="none" w:sz="0" w:space="0" w:color="auto"/>
        <w:right w:val="none" w:sz="0" w:space="0" w:color="auto"/>
      </w:divBdr>
    </w:div>
    <w:div w:id="199166675">
      <w:bodyDiv w:val="1"/>
      <w:marLeft w:val="0"/>
      <w:marRight w:val="0"/>
      <w:marTop w:val="0"/>
      <w:marBottom w:val="0"/>
      <w:divBdr>
        <w:top w:val="none" w:sz="0" w:space="0" w:color="auto"/>
        <w:left w:val="none" w:sz="0" w:space="0" w:color="auto"/>
        <w:bottom w:val="none" w:sz="0" w:space="0" w:color="auto"/>
        <w:right w:val="none" w:sz="0" w:space="0" w:color="auto"/>
      </w:divBdr>
      <w:divsChild>
        <w:div w:id="287049543">
          <w:marLeft w:val="0"/>
          <w:marRight w:val="0"/>
          <w:marTop w:val="0"/>
          <w:marBottom w:val="0"/>
          <w:divBdr>
            <w:top w:val="none" w:sz="0" w:space="0" w:color="auto"/>
            <w:left w:val="none" w:sz="0" w:space="0" w:color="auto"/>
            <w:bottom w:val="none" w:sz="0" w:space="0" w:color="auto"/>
            <w:right w:val="none" w:sz="0" w:space="0" w:color="auto"/>
          </w:divBdr>
        </w:div>
        <w:div w:id="646663639">
          <w:marLeft w:val="0"/>
          <w:marRight w:val="0"/>
          <w:marTop w:val="0"/>
          <w:marBottom w:val="0"/>
          <w:divBdr>
            <w:top w:val="none" w:sz="0" w:space="0" w:color="auto"/>
            <w:left w:val="none" w:sz="0" w:space="0" w:color="auto"/>
            <w:bottom w:val="none" w:sz="0" w:space="0" w:color="auto"/>
            <w:right w:val="none" w:sz="0" w:space="0" w:color="auto"/>
          </w:divBdr>
        </w:div>
        <w:div w:id="1164706600">
          <w:marLeft w:val="0"/>
          <w:marRight w:val="0"/>
          <w:marTop w:val="0"/>
          <w:marBottom w:val="0"/>
          <w:divBdr>
            <w:top w:val="none" w:sz="0" w:space="0" w:color="auto"/>
            <w:left w:val="none" w:sz="0" w:space="0" w:color="auto"/>
            <w:bottom w:val="none" w:sz="0" w:space="0" w:color="auto"/>
            <w:right w:val="none" w:sz="0" w:space="0" w:color="auto"/>
          </w:divBdr>
        </w:div>
        <w:div w:id="371001199">
          <w:marLeft w:val="0"/>
          <w:marRight w:val="0"/>
          <w:marTop w:val="0"/>
          <w:marBottom w:val="0"/>
          <w:divBdr>
            <w:top w:val="none" w:sz="0" w:space="0" w:color="auto"/>
            <w:left w:val="none" w:sz="0" w:space="0" w:color="auto"/>
            <w:bottom w:val="none" w:sz="0" w:space="0" w:color="auto"/>
            <w:right w:val="none" w:sz="0" w:space="0" w:color="auto"/>
          </w:divBdr>
        </w:div>
        <w:div w:id="956328214">
          <w:marLeft w:val="0"/>
          <w:marRight w:val="0"/>
          <w:marTop w:val="0"/>
          <w:marBottom w:val="0"/>
          <w:divBdr>
            <w:top w:val="none" w:sz="0" w:space="0" w:color="auto"/>
            <w:left w:val="none" w:sz="0" w:space="0" w:color="auto"/>
            <w:bottom w:val="none" w:sz="0" w:space="0" w:color="auto"/>
            <w:right w:val="none" w:sz="0" w:space="0" w:color="auto"/>
          </w:divBdr>
        </w:div>
        <w:div w:id="204679198">
          <w:marLeft w:val="0"/>
          <w:marRight w:val="0"/>
          <w:marTop w:val="0"/>
          <w:marBottom w:val="0"/>
          <w:divBdr>
            <w:top w:val="none" w:sz="0" w:space="0" w:color="auto"/>
            <w:left w:val="none" w:sz="0" w:space="0" w:color="auto"/>
            <w:bottom w:val="none" w:sz="0" w:space="0" w:color="auto"/>
            <w:right w:val="none" w:sz="0" w:space="0" w:color="auto"/>
          </w:divBdr>
        </w:div>
        <w:div w:id="414403294">
          <w:marLeft w:val="0"/>
          <w:marRight w:val="0"/>
          <w:marTop w:val="0"/>
          <w:marBottom w:val="0"/>
          <w:divBdr>
            <w:top w:val="none" w:sz="0" w:space="0" w:color="auto"/>
            <w:left w:val="none" w:sz="0" w:space="0" w:color="auto"/>
            <w:bottom w:val="none" w:sz="0" w:space="0" w:color="auto"/>
            <w:right w:val="none" w:sz="0" w:space="0" w:color="auto"/>
          </w:divBdr>
        </w:div>
        <w:div w:id="608972743">
          <w:marLeft w:val="0"/>
          <w:marRight w:val="0"/>
          <w:marTop w:val="0"/>
          <w:marBottom w:val="0"/>
          <w:divBdr>
            <w:top w:val="none" w:sz="0" w:space="0" w:color="auto"/>
            <w:left w:val="none" w:sz="0" w:space="0" w:color="auto"/>
            <w:bottom w:val="none" w:sz="0" w:space="0" w:color="auto"/>
            <w:right w:val="none" w:sz="0" w:space="0" w:color="auto"/>
          </w:divBdr>
        </w:div>
      </w:divsChild>
    </w:div>
    <w:div w:id="202718457">
      <w:bodyDiv w:val="1"/>
      <w:marLeft w:val="0"/>
      <w:marRight w:val="0"/>
      <w:marTop w:val="0"/>
      <w:marBottom w:val="0"/>
      <w:divBdr>
        <w:top w:val="none" w:sz="0" w:space="0" w:color="auto"/>
        <w:left w:val="none" w:sz="0" w:space="0" w:color="auto"/>
        <w:bottom w:val="none" w:sz="0" w:space="0" w:color="auto"/>
        <w:right w:val="none" w:sz="0" w:space="0" w:color="auto"/>
      </w:divBdr>
    </w:div>
    <w:div w:id="219442781">
      <w:bodyDiv w:val="1"/>
      <w:marLeft w:val="0"/>
      <w:marRight w:val="0"/>
      <w:marTop w:val="0"/>
      <w:marBottom w:val="0"/>
      <w:divBdr>
        <w:top w:val="none" w:sz="0" w:space="0" w:color="auto"/>
        <w:left w:val="none" w:sz="0" w:space="0" w:color="auto"/>
        <w:bottom w:val="none" w:sz="0" w:space="0" w:color="auto"/>
        <w:right w:val="none" w:sz="0" w:space="0" w:color="auto"/>
      </w:divBdr>
    </w:div>
    <w:div w:id="224686120">
      <w:bodyDiv w:val="1"/>
      <w:marLeft w:val="0"/>
      <w:marRight w:val="0"/>
      <w:marTop w:val="0"/>
      <w:marBottom w:val="0"/>
      <w:divBdr>
        <w:top w:val="none" w:sz="0" w:space="0" w:color="auto"/>
        <w:left w:val="none" w:sz="0" w:space="0" w:color="auto"/>
        <w:bottom w:val="none" w:sz="0" w:space="0" w:color="auto"/>
        <w:right w:val="none" w:sz="0" w:space="0" w:color="auto"/>
      </w:divBdr>
    </w:div>
    <w:div w:id="246693893">
      <w:bodyDiv w:val="1"/>
      <w:marLeft w:val="0"/>
      <w:marRight w:val="0"/>
      <w:marTop w:val="0"/>
      <w:marBottom w:val="0"/>
      <w:divBdr>
        <w:top w:val="none" w:sz="0" w:space="0" w:color="auto"/>
        <w:left w:val="none" w:sz="0" w:space="0" w:color="auto"/>
        <w:bottom w:val="none" w:sz="0" w:space="0" w:color="auto"/>
        <w:right w:val="none" w:sz="0" w:space="0" w:color="auto"/>
      </w:divBdr>
    </w:div>
    <w:div w:id="260918892">
      <w:bodyDiv w:val="1"/>
      <w:marLeft w:val="0"/>
      <w:marRight w:val="0"/>
      <w:marTop w:val="0"/>
      <w:marBottom w:val="0"/>
      <w:divBdr>
        <w:top w:val="none" w:sz="0" w:space="0" w:color="auto"/>
        <w:left w:val="none" w:sz="0" w:space="0" w:color="auto"/>
        <w:bottom w:val="none" w:sz="0" w:space="0" w:color="auto"/>
        <w:right w:val="none" w:sz="0" w:space="0" w:color="auto"/>
      </w:divBdr>
    </w:div>
    <w:div w:id="272324347">
      <w:bodyDiv w:val="1"/>
      <w:marLeft w:val="0"/>
      <w:marRight w:val="0"/>
      <w:marTop w:val="0"/>
      <w:marBottom w:val="0"/>
      <w:divBdr>
        <w:top w:val="none" w:sz="0" w:space="0" w:color="auto"/>
        <w:left w:val="none" w:sz="0" w:space="0" w:color="auto"/>
        <w:bottom w:val="none" w:sz="0" w:space="0" w:color="auto"/>
        <w:right w:val="none" w:sz="0" w:space="0" w:color="auto"/>
      </w:divBdr>
    </w:div>
    <w:div w:id="319844358">
      <w:bodyDiv w:val="1"/>
      <w:marLeft w:val="0"/>
      <w:marRight w:val="0"/>
      <w:marTop w:val="0"/>
      <w:marBottom w:val="0"/>
      <w:divBdr>
        <w:top w:val="none" w:sz="0" w:space="0" w:color="auto"/>
        <w:left w:val="none" w:sz="0" w:space="0" w:color="auto"/>
        <w:bottom w:val="none" w:sz="0" w:space="0" w:color="auto"/>
        <w:right w:val="none" w:sz="0" w:space="0" w:color="auto"/>
      </w:divBdr>
    </w:div>
    <w:div w:id="325860875">
      <w:bodyDiv w:val="1"/>
      <w:marLeft w:val="0"/>
      <w:marRight w:val="0"/>
      <w:marTop w:val="0"/>
      <w:marBottom w:val="0"/>
      <w:divBdr>
        <w:top w:val="none" w:sz="0" w:space="0" w:color="auto"/>
        <w:left w:val="none" w:sz="0" w:space="0" w:color="auto"/>
        <w:bottom w:val="none" w:sz="0" w:space="0" w:color="auto"/>
        <w:right w:val="none" w:sz="0" w:space="0" w:color="auto"/>
      </w:divBdr>
    </w:div>
    <w:div w:id="334382253">
      <w:bodyDiv w:val="1"/>
      <w:marLeft w:val="0"/>
      <w:marRight w:val="0"/>
      <w:marTop w:val="0"/>
      <w:marBottom w:val="0"/>
      <w:divBdr>
        <w:top w:val="none" w:sz="0" w:space="0" w:color="auto"/>
        <w:left w:val="none" w:sz="0" w:space="0" w:color="auto"/>
        <w:bottom w:val="none" w:sz="0" w:space="0" w:color="auto"/>
        <w:right w:val="none" w:sz="0" w:space="0" w:color="auto"/>
      </w:divBdr>
    </w:div>
    <w:div w:id="365494302">
      <w:bodyDiv w:val="1"/>
      <w:marLeft w:val="0"/>
      <w:marRight w:val="0"/>
      <w:marTop w:val="0"/>
      <w:marBottom w:val="0"/>
      <w:divBdr>
        <w:top w:val="none" w:sz="0" w:space="0" w:color="auto"/>
        <w:left w:val="none" w:sz="0" w:space="0" w:color="auto"/>
        <w:bottom w:val="none" w:sz="0" w:space="0" w:color="auto"/>
        <w:right w:val="none" w:sz="0" w:space="0" w:color="auto"/>
      </w:divBdr>
    </w:div>
    <w:div w:id="399863503">
      <w:bodyDiv w:val="1"/>
      <w:marLeft w:val="0"/>
      <w:marRight w:val="0"/>
      <w:marTop w:val="0"/>
      <w:marBottom w:val="0"/>
      <w:divBdr>
        <w:top w:val="none" w:sz="0" w:space="0" w:color="auto"/>
        <w:left w:val="none" w:sz="0" w:space="0" w:color="auto"/>
        <w:bottom w:val="none" w:sz="0" w:space="0" w:color="auto"/>
        <w:right w:val="none" w:sz="0" w:space="0" w:color="auto"/>
      </w:divBdr>
    </w:div>
    <w:div w:id="407046056">
      <w:bodyDiv w:val="1"/>
      <w:marLeft w:val="0"/>
      <w:marRight w:val="0"/>
      <w:marTop w:val="0"/>
      <w:marBottom w:val="0"/>
      <w:divBdr>
        <w:top w:val="none" w:sz="0" w:space="0" w:color="auto"/>
        <w:left w:val="none" w:sz="0" w:space="0" w:color="auto"/>
        <w:bottom w:val="none" w:sz="0" w:space="0" w:color="auto"/>
        <w:right w:val="none" w:sz="0" w:space="0" w:color="auto"/>
      </w:divBdr>
    </w:div>
    <w:div w:id="417335413">
      <w:bodyDiv w:val="1"/>
      <w:marLeft w:val="0"/>
      <w:marRight w:val="0"/>
      <w:marTop w:val="0"/>
      <w:marBottom w:val="0"/>
      <w:divBdr>
        <w:top w:val="none" w:sz="0" w:space="0" w:color="auto"/>
        <w:left w:val="none" w:sz="0" w:space="0" w:color="auto"/>
        <w:bottom w:val="none" w:sz="0" w:space="0" w:color="auto"/>
        <w:right w:val="none" w:sz="0" w:space="0" w:color="auto"/>
      </w:divBdr>
    </w:div>
    <w:div w:id="455373771">
      <w:bodyDiv w:val="1"/>
      <w:marLeft w:val="0"/>
      <w:marRight w:val="0"/>
      <w:marTop w:val="0"/>
      <w:marBottom w:val="0"/>
      <w:divBdr>
        <w:top w:val="none" w:sz="0" w:space="0" w:color="auto"/>
        <w:left w:val="none" w:sz="0" w:space="0" w:color="auto"/>
        <w:bottom w:val="none" w:sz="0" w:space="0" w:color="auto"/>
        <w:right w:val="none" w:sz="0" w:space="0" w:color="auto"/>
      </w:divBdr>
    </w:div>
    <w:div w:id="474415186">
      <w:bodyDiv w:val="1"/>
      <w:marLeft w:val="0"/>
      <w:marRight w:val="0"/>
      <w:marTop w:val="0"/>
      <w:marBottom w:val="0"/>
      <w:divBdr>
        <w:top w:val="none" w:sz="0" w:space="0" w:color="auto"/>
        <w:left w:val="none" w:sz="0" w:space="0" w:color="auto"/>
        <w:bottom w:val="none" w:sz="0" w:space="0" w:color="auto"/>
        <w:right w:val="none" w:sz="0" w:space="0" w:color="auto"/>
      </w:divBdr>
    </w:div>
    <w:div w:id="696123921">
      <w:bodyDiv w:val="1"/>
      <w:marLeft w:val="0"/>
      <w:marRight w:val="0"/>
      <w:marTop w:val="0"/>
      <w:marBottom w:val="0"/>
      <w:divBdr>
        <w:top w:val="none" w:sz="0" w:space="0" w:color="auto"/>
        <w:left w:val="none" w:sz="0" w:space="0" w:color="auto"/>
        <w:bottom w:val="none" w:sz="0" w:space="0" w:color="auto"/>
        <w:right w:val="none" w:sz="0" w:space="0" w:color="auto"/>
      </w:divBdr>
    </w:div>
    <w:div w:id="709957823">
      <w:bodyDiv w:val="1"/>
      <w:marLeft w:val="0"/>
      <w:marRight w:val="0"/>
      <w:marTop w:val="0"/>
      <w:marBottom w:val="0"/>
      <w:divBdr>
        <w:top w:val="none" w:sz="0" w:space="0" w:color="auto"/>
        <w:left w:val="none" w:sz="0" w:space="0" w:color="auto"/>
        <w:bottom w:val="none" w:sz="0" w:space="0" w:color="auto"/>
        <w:right w:val="none" w:sz="0" w:space="0" w:color="auto"/>
      </w:divBdr>
      <w:divsChild>
        <w:div w:id="1215234688">
          <w:marLeft w:val="0"/>
          <w:marRight w:val="0"/>
          <w:marTop w:val="0"/>
          <w:marBottom w:val="0"/>
          <w:divBdr>
            <w:top w:val="none" w:sz="0" w:space="0" w:color="auto"/>
            <w:left w:val="none" w:sz="0" w:space="0" w:color="auto"/>
            <w:bottom w:val="none" w:sz="0" w:space="0" w:color="auto"/>
            <w:right w:val="none" w:sz="0" w:space="0" w:color="auto"/>
          </w:divBdr>
        </w:div>
        <w:div w:id="1808819527">
          <w:marLeft w:val="0"/>
          <w:marRight w:val="0"/>
          <w:marTop w:val="0"/>
          <w:marBottom w:val="0"/>
          <w:divBdr>
            <w:top w:val="none" w:sz="0" w:space="0" w:color="auto"/>
            <w:left w:val="none" w:sz="0" w:space="0" w:color="auto"/>
            <w:bottom w:val="none" w:sz="0" w:space="0" w:color="auto"/>
            <w:right w:val="none" w:sz="0" w:space="0" w:color="auto"/>
          </w:divBdr>
        </w:div>
        <w:div w:id="2035381962">
          <w:marLeft w:val="0"/>
          <w:marRight w:val="0"/>
          <w:marTop w:val="0"/>
          <w:marBottom w:val="0"/>
          <w:divBdr>
            <w:top w:val="none" w:sz="0" w:space="0" w:color="auto"/>
            <w:left w:val="none" w:sz="0" w:space="0" w:color="auto"/>
            <w:bottom w:val="none" w:sz="0" w:space="0" w:color="auto"/>
            <w:right w:val="none" w:sz="0" w:space="0" w:color="auto"/>
          </w:divBdr>
        </w:div>
        <w:div w:id="1076898686">
          <w:marLeft w:val="0"/>
          <w:marRight w:val="0"/>
          <w:marTop w:val="0"/>
          <w:marBottom w:val="0"/>
          <w:divBdr>
            <w:top w:val="none" w:sz="0" w:space="0" w:color="auto"/>
            <w:left w:val="none" w:sz="0" w:space="0" w:color="auto"/>
            <w:bottom w:val="none" w:sz="0" w:space="0" w:color="auto"/>
            <w:right w:val="none" w:sz="0" w:space="0" w:color="auto"/>
          </w:divBdr>
        </w:div>
        <w:div w:id="804354600">
          <w:marLeft w:val="0"/>
          <w:marRight w:val="0"/>
          <w:marTop w:val="0"/>
          <w:marBottom w:val="0"/>
          <w:divBdr>
            <w:top w:val="none" w:sz="0" w:space="0" w:color="auto"/>
            <w:left w:val="none" w:sz="0" w:space="0" w:color="auto"/>
            <w:bottom w:val="none" w:sz="0" w:space="0" w:color="auto"/>
            <w:right w:val="none" w:sz="0" w:space="0" w:color="auto"/>
          </w:divBdr>
          <w:divsChild>
            <w:div w:id="303586674">
              <w:marLeft w:val="0"/>
              <w:marRight w:val="0"/>
              <w:marTop w:val="0"/>
              <w:marBottom w:val="0"/>
              <w:divBdr>
                <w:top w:val="none" w:sz="0" w:space="0" w:color="auto"/>
                <w:left w:val="none" w:sz="0" w:space="0" w:color="auto"/>
                <w:bottom w:val="none" w:sz="0" w:space="0" w:color="auto"/>
                <w:right w:val="none" w:sz="0" w:space="0" w:color="auto"/>
              </w:divBdr>
            </w:div>
            <w:div w:id="62222521">
              <w:marLeft w:val="0"/>
              <w:marRight w:val="0"/>
              <w:marTop w:val="0"/>
              <w:marBottom w:val="0"/>
              <w:divBdr>
                <w:top w:val="none" w:sz="0" w:space="0" w:color="auto"/>
                <w:left w:val="none" w:sz="0" w:space="0" w:color="auto"/>
                <w:bottom w:val="none" w:sz="0" w:space="0" w:color="auto"/>
                <w:right w:val="none" w:sz="0" w:space="0" w:color="auto"/>
              </w:divBdr>
            </w:div>
            <w:div w:id="95296971">
              <w:marLeft w:val="0"/>
              <w:marRight w:val="0"/>
              <w:marTop w:val="0"/>
              <w:marBottom w:val="0"/>
              <w:divBdr>
                <w:top w:val="none" w:sz="0" w:space="0" w:color="auto"/>
                <w:left w:val="none" w:sz="0" w:space="0" w:color="auto"/>
                <w:bottom w:val="none" w:sz="0" w:space="0" w:color="auto"/>
                <w:right w:val="none" w:sz="0" w:space="0" w:color="auto"/>
              </w:divBdr>
            </w:div>
            <w:div w:id="330959399">
              <w:marLeft w:val="0"/>
              <w:marRight w:val="0"/>
              <w:marTop w:val="0"/>
              <w:marBottom w:val="0"/>
              <w:divBdr>
                <w:top w:val="none" w:sz="0" w:space="0" w:color="auto"/>
                <w:left w:val="none" w:sz="0" w:space="0" w:color="auto"/>
                <w:bottom w:val="none" w:sz="0" w:space="0" w:color="auto"/>
                <w:right w:val="none" w:sz="0" w:space="0" w:color="auto"/>
              </w:divBdr>
            </w:div>
            <w:div w:id="396586956">
              <w:marLeft w:val="0"/>
              <w:marRight w:val="0"/>
              <w:marTop w:val="0"/>
              <w:marBottom w:val="0"/>
              <w:divBdr>
                <w:top w:val="none" w:sz="0" w:space="0" w:color="auto"/>
                <w:left w:val="none" w:sz="0" w:space="0" w:color="auto"/>
                <w:bottom w:val="none" w:sz="0" w:space="0" w:color="auto"/>
                <w:right w:val="none" w:sz="0" w:space="0" w:color="auto"/>
              </w:divBdr>
            </w:div>
            <w:div w:id="23941136">
              <w:marLeft w:val="0"/>
              <w:marRight w:val="0"/>
              <w:marTop w:val="0"/>
              <w:marBottom w:val="0"/>
              <w:divBdr>
                <w:top w:val="none" w:sz="0" w:space="0" w:color="auto"/>
                <w:left w:val="none" w:sz="0" w:space="0" w:color="auto"/>
                <w:bottom w:val="none" w:sz="0" w:space="0" w:color="auto"/>
                <w:right w:val="none" w:sz="0" w:space="0" w:color="auto"/>
              </w:divBdr>
            </w:div>
            <w:div w:id="545030105">
              <w:marLeft w:val="0"/>
              <w:marRight w:val="0"/>
              <w:marTop w:val="0"/>
              <w:marBottom w:val="0"/>
              <w:divBdr>
                <w:top w:val="none" w:sz="0" w:space="0" w:color="auto"/>
                <w:left w:val="none" w:sz="0" w:space="0" w:color="auto"/>
                <w:bottom w:val="none" w:sz="0" w:space="0" w:color="auto"/>
                <w:right w:val="none" w:sz="0" w:space="0" w:color="auto"/>
              </w:divBdr>
            </w:div>
            <w:div w:id="1687750889">
              <w:marLeft w:val="0"/>
              <w:marRight w:val="0"/>
              <w:marTop w:val="0"/>
              <w:marBottom w:val="0"/>
              <w:divBdr>
                <w:top w:val="none" w:sz="0" w:space="0" w:color="auto"/>
                <w:left w:val="none" w:sz="0" w:space="0" w:color="auto"/>
                <w:bottom w:val="none" w:sz="0" w:space="0" w:color="auto"/>
                <w:right w:val="none" w:sz="0" w:space="0" w:color="auto"/>
              </w:divBdr>
            </w:div>
            <w:div w:id="1393458645">
              <w:marLeft w:val="0"/>
              <w:marRight w:val="0"/>
              <w:marTop w:val="0"/>
              <w:marBottom w:val="0"/>
              <w:divBdr>
                <w:top w:val="none" w:sz="0" w:space="0" w:color="auto"/>
                <w:left w:val="none" w:sz="0" w:space="0" w:color="auto"/>
                <w:bottom w:val="none" w:sz="0" w:space="0" w:color="auto"/>
                <w:right w:val="none" w:sz="0" w:space="0" w:color="auto"/>
              </w:divBdr>
            </w:div>
            <w:div w:id="2007777546">
              <w:marLeft w:val="0"/>
              <w:marRight w:val="0"/>
              <w:marTop w:val="0"/>
              <w:marBottom w:val="0"/>
              <w:divBdr>
                <w:top w:val="none" w:sz="0" w:space="0" w:color="auto"/>
                <w:left w:val="none" w:sz="0" w:space="0" w:color="auto"/>
                <w:bottom w:val="none" w:sz="0" w:space="0" w:color="auto"/>
                <w:right w:val="none" w:sz="0" w:space="0" w:color="auto"/>
              </w:divBdr>
            </w:div>
            <w:div w:id="770709096">
              <w:marLeft w:val="0"/>
              <w:marRight w:val="0"/>
              <w:marTop w:val="0"/>
              <w:marBottom w:val="0"/>
              <w:divBdr>
                <w:top w:val="none" w:sz="0" w:space="0" w:color="auto"/>
                <w:left w:val="none" w:sz="0" w:space="0" w:color="auto"/>
                <w:bottom w:val="none" w:sz="0" w:space="0" w:color="auto"/>
                <w:right w:val="none" w:sz="0" w:space="0" w:color="auto"/>
              </w:divBdr>
            </w:div>
          </w:divsChild>
        </w:div>
        <w:div w:id="1860003357">
          <w:marLeft w:val="0"/>
          <w:marRight w:val="0"/>
          <w:marTop w:val="0"/>
          <w:marBottom w:val="0"/>
          <w:divBdr>
            <w:top w:val="none" w:sz="0" w:space="0" w:color="auto"/>
            <w:left w:val="none" w:sz="0" w:space="0" w:color="auto"/>
            <w:bottom w:val="none" w:sz="0" w:space="0" w:color="auto"/>
            <w:right w:val="none" w:sz="0" w:space="0" w:color="auto"/>
          </w:divBdr>
        </w:div>
        <w:div w:id="1947154118">
          <w:marLeft w:val="0"/>
          <w:marRight w:val="0"/>
          <w:marTop w:val="0"/>
          <w:marBottom w:val="0"/>
          <w:divBdr>
            <w:top w:val="none" w:sz="0" w:space="0" w:color="auto"/>
            <w:left w:val="none" w:sz="0" w:space="0" w:color="auto"/>
            <w:bottom w:val="none" w:sz="0" w:space="0" w:color="auto"/>
            <w:right w:val="none" w:sz="0" w:space="0" w:color="auto"/>
          </w:divBdr>
          <w:divsChild>
            <w:div w:id="2053456326">
              <w:marLeft w:val="0"/>
              <w:marRight w:val="0"/>
              <w:marTop w:val="0"/>
              <w:marBottom w:val="0"/>
              <w:divBdr>
                <w:top w:val="none" w:sz="0" w:space="0" w:color="auto"/>
                <w:left w:val="none" w:sz="0" w:space="0" w:color="auto"/>
                <w:bottom w:val="none" w:sz="0" w:space="0" w:color="auto"/>
                <w:right w:val="none" w:sz="0" w:space="0" w:color="auto"/>
              </w:divBdr>
            </w:div>
          </w:divsChild>
        </w:div>
        <w:div w:id="1619684428">
          <w:marLeft w:val="0"/>
          <w:marRight w:val="0"/>
          <w:marTop w:val="0"/>
          <w:marBottom w:val="0"/>
          <w:divBdr>
            <w:top w:val="none" w:sz="0" w:space="0" w:color="auto"/>
            <w:left w:val="none" w:sz="0" w:space="0" w:color="auto"/>
            <w:bottom w:val="none" w:sz="0" w:space="0" w:color="auto"/>
            <w:right w:val="none" w:sz="0" w:space="0" w:color="auto"/>
          </w:divBdr>
        </w:div>
        <w:div w:id="1338077771">
          <w:marLeft w:val="0"/>
          <w:marRight w:val="0"/>
          <w:marTop w:val="0"/>
          <w:marBottom w:val="0"/>
          <w:divBdr>
            <w:top w:val="none" w:sz="0" w:space="0" w:color="auto"/>
            <w:left w:val="none" w:sz="0" w:space="0" w:color="auto"/>
            <w:bottom w:val="none" w:sz="0" w:space="0" w:color="auto"/>
            <w:right w:val="none" w:sz="0" w:space="0" w:color="auto"/>
          </w:divBdr>
        </w:div>
        <w:div w:id="1088573481">
          <w:marLeft w:val="0"/>
          <w:marRight w:val="0"/>
          <w:marTop w:val="0"/>
          <w:marBottom w:val="0"/>
          <w:divBdr>
            <w:top w:val="none" w:sz="0" w:space="0" w:color="auto"/>
            <w:left w:val="none" w:sz="0" w:space="0" w:color="auto"/>
            <w:bottom w:val="none" w:sz="0" w:space="0" w:color="auto"/>
            <w:right w:val="none" w:sz="0" w:space="0" w:color="auto"/>
          </w:divBdr>
        </w:div>
        <w:div w:id="1188719184">
          <w:marLeft w:val="0"/>
          <w:marRight w:val="0"/>
          <w:marTop w:val="0"/>
          <w:marBottom w:val="0"/>
          <w:divBdr>
            <w:top w:val="none" w:sz="0" w:space="0" w:color="auto"/>
            <w:left w:val="none" w:sz="0" w:space="0" w:color="auto"/>
            <w:bottom w:val="none" w:sz="0" w:space="0" w:color="auto"/>
            <w:right w:val="none" w:sz="0" w:space="0" w:color="auto"/>
          </w:divBdr>
        </w:div>
      </w:divsChild>
    </w:div>
    <w:div w:id="722799041">
      <w:bodyDiv w:val="1"/>
      <w:marLeft w:val="0"/>
      <w:marRight w:val="0"/>
      <w:marTop w:val="0"/>
      <w:marBottom w:val="0"/>
      <w:divBdr>
        <w:top w:val="none" w:sz="0" w:space="0" w:color="auto"/>
        <w:left w:val="none" w:sz="0" w:space="0" w:color="auto"/>
        <w:bottom w:val="none" w:sz="0" w:space="0" w:color="auto"/>
        <w:right w:val="none" w:sz="0" w:space="0" w:color="auto"/>
      </w:divBdr>
    </w:div>
    <w:div w:id="740717500">
      <w:bodyDiv w:val="1"/>
      <w:marLeft w:val="0"/>
      <w:marRight w:val="0"/>
      <w:marTop w:val="0"/>
      <w:marBottom w:val="0"/>
      <w:divBdr>
        <w:top w:val="none" w:sz="0" w:space="0" w:color="auto"/>
        <w:left w:val="none" w:sz="0" w:space="0" w:color="auto"/>
        <w:bottom w:val="none" w:sz="0" w:space="0" w:color="auto"/>
        <w:right w:val="none" w:sz="0" w:space="0" w:color="auto"/>
      </w:divBdr>
    </w:div>
    <w:div w:id="746540153">
      <w:bodyDiv w:val="1"/>
      <w:marLeft w:val="0"/>
      <w:marRight w:val="0"/>
      <w:marTop w:val="0"/>
      <w:marBottom w:val="0"/>
      <w:divBdr>
        <w:top w:val="none" w:sz="0" w:space="0" w:color="auto"/>
        <w:left w:val="none" w:sz="0" w:space="0" w:color="auto"/>
        <w:bottom w:val="none" w:sz="0" w:space="0" w:color="auto"/>
        <w:right w:val="none" w:sz="0" w:space="0" w:color="auto"/>
      </w:divBdr>
    </w:div>
    <w:div w:id="885944029">
      <w:bodyDiv w:val="1"/>
      <w:marLeft w:val="0"/>
      <w:marRight w:val="0"/>
      <w:marTop w:val="0"/>
      <w:marBottom w:val="0"/>
      <w:divBdr>
        <w:top w:val="none" w:sz="0" w:space="0" w:color="auto"/>
        <w:left w:val="none" w:sz="0" w:space="0" w:color="auto"/>
        <w:bottom w:val="none" w:sz="0" w:space="0" w:color="auto"/>
        <w:right w:val="none" w:sz="0" w:space="0" w:color="auto"/>
      </w:divBdr>
    </w:div>
    <w:div w:id="897008536">
      <w:bodyDiv w:val="1"/>
      <w:marLeft w:val="0"/>
      <w:marRight w:val="0"/>
      <w:marTop w:val="0"/>
      <w:marBottom w:val="0"/>
      <w:divBdr>
        <w:top w:val="none" w:sz="0" w:space="0" w:color="auto"/>
        <w:left w:val="none" w:sz="0" w:space="0" w:color="auto"/>
        <w:bottom w:val="none" w:sz="0" w:space="0" w:color="auto"/>
        <w:right w:val="none" w:sz="0" w:space="0" w:color="auto"/>
      </w:divBdr>
    </w:div>
    <w:div w:id="982395493">
      <w:bodyDiv w:val="1"/>
      <w:marLeft w:val="0"/>
      <w:marRight w:val="0"/>
      <w:marTop w:val="0"/>
      <w:marBottom w:val="0"/>
      <w:divBdr>
        <w:top w:val="none" w:sz="0" w:space="0" w:color="auto"/>
        <w:left w:val="none" w:sz="0" w:space="0" w:color="auto"/>
        <w:bottom w:val="none" w:sz="0" w:space="0" w:color="auto"/>
        <w:right w:val="none" w:sz="0" w:space="0" w:color="auto"/>
      </w:divBdr>
    </w:div>
    <w:div w:id="985357676">
      <w:bodyDiv w:val="1"/>
      <w:marLeft w:val="0"/>
      <w:marRight w:val="0"/>
      <w:marTop w:val="0"/>
      <w:marBottom w:val="0"/>
      <w:divBdr>
        <w:top w:val="none" w:sz="0" w:space="0" w:color="auto"/>
        <w:left w:val="none" w:sz="0" w:space="0" w:color="auto"/>
        <w:bottom w:val="none" w:sz="0" w:space="0" w:color="auto"/>
        <w:right w:val="none" w:sz="0" w:space="0" w:color="auto"/>
      </w:divBdr>
    </w:div>
    <w:div w:id="1033461181">
      <w:bodyDiv w:val="1"/>
      <w:marLeft w:val="0"/>
      <w:marRight w:val="0"/>
      <w:marTop w:val="0"/>
      <w:marBottom w:val="0"/>
      <w:divBdr>
        <w:top w:val="none" w:sz="0" w:space="0" w:color="auto"/>
        <w:left w:val="none" w:sz="0" w:space="0" w:color="auto"/>
        <w:bottom w:val="none" w:sz="0" w:space="0" w:color="auto"/>
        <w:right w:val="none" w:sz="0" w:space="0" w:color="auto"/>
      </w:divBdr>
    </w:div>
    <w:div w:id="1198157593">
      <w:bodyDiv w:val="1"/>
      <w:marLeft w:val="0"/>
      <w:marRight w:val="0"/>
      <w:marTop w:val="0"/>
      <w:marBottom w:val="0"/>
      <w:divBdr>
        <w:top w:val="none" w:sz="0" w:space="0" w:color="auto"/>
        <w:left w:val="none" w:sz="0" w:space="0" w:color="auto"/>
        <w:bottom w:val="none" w:sz="0" w:space="0" w:color="auto"/>
        <w:right w:val="none" w:sz="0" w:space="0" w:color="auto"/>
      </w:divBdr>
    </w:div>
    <w:div w:id="1231385380">
      <w:bodyDiv w:val="1"/>
      <w:marLeft w:val="0"/>
      <w:marRight w:val="0"/>
      <w:marTop w:val="0"/>
      <w:marBottom w:val="0"/>
      <w:divBdr>
        <w:top w:val="none" w:sz="0" w:space="0" w:color="auto"/>
        <w:left w:val="none" w:sz="0" w:space="0" w:color="auto"/>
        <w:bottom w:val="none" w:sz="0" w:space="0" w:color="auto"/>
        <w:right w:val="none" w:sz="0" w:space="0" w:color="auto"/>
      </w:divBdr>
    </w:div>
    <w:div w:id="1317027445">
      <w:bodyDiv w:val="1"/>
      <w:marLeft w:val="0"/>
      <w:marRight w:val="0"/>
      <w:marTop w:val="0"/>
      <w:marBottom w:val="0"/>
      <w:divBdr>
        <w:top w:val="none" w:sz="0" w:space="0" w:color="auto"/>
        <w:left w:val="none" w:sz="0" w:space="0" w:color="auto"/>
        <w:bottom w:val="none" w:sz="0" w:space="0" w:color="auto"/>
        <w:right w:val="none" w:sz="0" w:space="0" w:color="auto"/>
      </w:divBdr>
    </w:div>
    <w:div w:id="1324121766">
      <w:bodyDiv w:val="1"/>
      <w:marLeft w:val="0"/>
      <w:marRight w:val="0"/>
      <w:marTop w:val="0"/>
      <w:marBottom w:val="0"/>
      <w:divBdr>
        <w:top w:val="none" w:sz="0" w:space="0" w:color="auto"/>
        <w:left w:val="none" w:sz="0" w:space="0" w:color="auto"/>
        <w:bottom w:val="none" w:sz="0" w:space="0" w:color="auto"/>
        <w:right w:val="none" w:sz="0" w:space="0" w:color="auto"/>
      </w:divBdr>
    </w:div>
    <w:div w:id="1325008854">
      <w:bodyDiv w:val="1"/>
      <w:marLeft w:val="0"/>
      <w:marRight w:val="0"/>
      <w:marTop w:val="0"/>
      <w:marBottom w:val="0"/>
      <w:divBdr>
        <w:top w:val="none" w:sz="0" w:space="0" w:color="auto"/>
        <w:left w:val="none" w:sz="0" w:space="0" w:color="auto"/>
        <w:bottom w:val="none" w:sz="0" w:space="0" w:color="auto"/>
        <w:right w:val="none" w:sz="0" w:space="0" w:color="auto"/>
      </w:divBdr>
    </w:div>
    <w:div w:id="1341196408">
      <w:bodyDiv w:val="1"/>
      <w:marLeft w:val="0"/>
      <w:marRight w:val="0"/>
      <w:marTop w:val="0"/>
      <w:marBottom w:val="0"/>
      <w:divBdr>
        <w:top w:val="none" w:sz="0" w:space="0" w:color="auto"/>
        <w:left w:val="none" w:sz="0" w:space="0" w:color="auto"/>
        <w:bottom w:val="none" w:sz="0" w:space="0" w:color="auto"/>
        <w:right w:val="none" w:sz="0" w:space="0" w:color="auto"/>
      </w:divBdr>
    </w:div>
    <w:div w:id="1388140288">
      <w:bodyDiv w:val="1"/>
      <w:marLeft w:val="0"/>
      <w:marRight w:val="0"/>
      <w:marTop w:val="0"/>
      <w:marBottom w:val="0"/>
      <w:divBdr>
        <w:top w:val="none" w:sz="0" w:space="0" w:color="auto"/>
        <w:left w:val="none" w:sz="0" w:space="0" w:color="auto"/>
        <w:bottom w:val="none" w:sz="0" w:space="0" w:color="auto"/>
        <w:right w:val="none" w:sz="0" w:space="0" w:color="auto"/>
      </w:divBdr>
    </w:div>
    <w:div w:id="1547596968">
      <w:bodyDiv w:val="1"/>
      <w:marLeft w:val="0"/>
      <w:marRight w:val="0"/>
      <w:marTop w:val="0"/>
      <w:marBottom w:val="0"/>
      <w:divBdr>
        <w:top w:val="none" w:sz="0" w:space="0" w:color="auto"/>
        <w:left w:val="none" w:sz="0" w:space="0" w:color="auto"/>
        <w:bottom w:val="none" w:sz="0" w:space="0" w:color="auto"/>
        <w:right w:val="none" w:sz="0" w:space="0" w:color="auto"/>
      </w:divBdr>
    </w:div>
    <w:div w:id="1619146975">
      <w:bodyDiv w:val="1"/>
      <w:marLeft w:val="0"/>
      <w:marRight w:val="0"/>
      <w:marTop w:val="0"/>
      <w:marBottom w:val="0"/>
      <w:divBdr>
        <w:top w:val="none" w:sz="0" w:space="0" w:color="auto"/>
        <w:left w:val="none" w:sz="0" w:space="0" w:color="auto"/>
        <w:bottom w:val="none" w:sz="0" w:space="0" w:color="auto"/>
        <w:right w:val="none" w:sz="0" w:space="0" w:color="auto"/>
      </w:divBdr>
    </w:div>
    <w:div w:id="1623926785">
      <w:bodyDiv w:val="1"/>
      <w:marLeft w:val="0"/>
      <w:marRight w:val="0"/>
      <w:marTop w:val="0"/>
      <w:marBottom w:val="0"/>
      <w:divBdr>
        <w:top w:val="none" w:sz="0" w:space="0" w:color="auto"/>
        <w:left w:val="none" w:sz="0" w:space="0" w:color="auto"/>
        <w:bottom w:val="none" w:sz="0" w:space="0" w:color="auto"/>
        <w:right w:val="none" w:sz="0" w:space="0" w:color="auto"/>
      </w:divBdr>
    </w:div>
    <w:div w:id="1649355660">
      <w:bodyDiv w:val="1"/>
      <w:marLeft w:val="0"/>
      <w:marRight w:val="0"/>
      <w:marTop w:val="0"/>
      <w:marBottom w:val="0"/>
      <w:divBdr>
        <w:top w:val="none" w:sz="0" w:space="0" w:color="auto"/>
        <w:left w:val="none" w:sz="0" w:space="0" w:color="auto"/>
        <w:bottom w:val="none" w:sz="0" w:space="0" w:color="auto"/>
        <w:right w:val="none" w:sz="0" w:space="0" w:color="auto"/>
      </w:divBdr>
    </w:div>
    <w:div w:id="1702238622">
      <w:bodyDiv w:val="1"/>
      <w:marLeft w:val="0"/>
      <w:marRight w:val="0"/>
      <w:marTop w:val="0"/>
      <w:marBottom w:val="0"/>
      <w:divBdr>
        <w:top w:val="none" w:sz="0" w:space="0" w:color="auto"/>
        <w:left w:val="none" w:sz="0" w:space="0" w:color="auto"/>
        <w:bottom w:val="none" w:sz="0" w:space="0" w:color="auto"/>
        <w:right w:val="none" w:sz="0" w:space="0" w:color="auto"/>
      </w:divBdr>
    </w:div>
    <w:div w:id="1704673415">
      <w:bodyDiv w:val="1"/>
      <w:marLeft w:val="0"/>
      <w:marRight w:val="0"/>
      <w:marTop w:val="0"/>
      <w:marBottom w:val="0"/>
      <w:divBdr>
        <w:top w:val="none" w:sz="0" w:space="0" w:color="auto"/>
        <w:left w:val="none" w:sz="0" w:space="0" w:color="auto"/>
        <w:bottom w:val="none" w:sz="0" w:space="0" w:color="auto"/>
        <w:right w:val="none" w:sz="0" w:space="0" w:color="auto"/>
      </w:divBdr>
    </w:div>
    <w:div w:id="1762018863">
      <w:bodyDiv w:val="1"/>
      <w:marLeft w:val="0"/>
      <w:marRight w:val="0"/>
      <w:marTop w:val="0"/>
      <w:marBottom w:val="0"/>
      <w:divBdr>
        <w:top w:val="none" w:sz="0" w:space="0" w:color="auto"/>
        <w:left w:val="none" w:sz="0" w:space="0" w:color="auto"/>
        <w:bottom w:val="none" w:sz="0" w:space="0" w:color="auto"/>
        <w:right w:val="none" w:sz="0" w:space="0" w:color="auto"/>
      </w:divBdr>
    </w:div>
    <w:div w:id="1813860969">
      <w:bodyDiv w:val="1"/>
      <w:marLeft w:val="0"/>
      <w:marRight w:val="0"/>
      <w:marTop w:val="0"/>
      <w:marBottom w:val="0"/>
      <w:divBdr>
        <w:top w:val="none" w:sz="0" w:space="0" w:color="auto"/>
        <w:left w:val="none" w:sz="0" w:space="0" w:color="auto"/>
        <w:bottom w:val="none" w:sz="0" w:space="0" w:color="auto"/>
        <w:right w:val="none" w:sz="0" w:space="0" w:color="auto"/>
      </w:divBdr>
    </w:div>
    <w:div w:id="1814833381">
      <w:bodyDiv w:val="1"/>
      <w:marLeft w:val="0"/>
      <w:marRight w:val="0"/>
      <w:marTop w:val="0"/>
      <w:marBottom w:val="0"/>
      <w:divBdr>
        <w:top w:val="none" w:sz="0" w:space="0" w:color="auto"/>
        <w:left w:val="none" w:sz="0" w:space="0" w:color="auto"/>
        <w:bottom w:val="none" w:sz="0" w:space="0" w:color="auto"/>
        <w:right w:val="none" w:sz="0" w:space="0" w:color="auto"/>
      </w:divBdr>
      <w:divsChild>
        <w:div w:id="1470123471">
          <w:marLeft w:val="0"/>
          <w:marRight w:val="0"/>
          <w:marTop w:val="0"/>
          <w:marBottom w:val="180"/>
          <w:divBdr>
            <w:top w:val="none" w:sz="0" w:space="0" w:color="auto"/>
            <w:left w:val="none" w:sz="0" w:space="0" w:color="auto"/>
            <w:bottom w:val="none" w:sz="0" w:space="0" w:color="auto"/>
            <w:right w:val="none" w:sz="0" w:space="0" w:color="auto"/>
          </w:divBdr>
          <w:divsChild>
            <w:div w:id="179903452">
              <w:marLeft w:val="0"/>
              <w:marRight w:val="0"/>
              <w:marTop w:val="0"/>
              <w:marBottom w:val="0"/>
              <w:divBdr>
                <w:top w:val="none" w:sz="0" w:space="0" w:color="auto"/>
                <w:left w:val="none" w:sz="0" w:space="0" w:color="auto"/>
                <w:bottom w:val="none" w:sz="0" w:space="0" w:color="auto"/>
                <w:right w:val="none" w:sz="0" w:space="0" w:color="auto"/>
              </w:divBdr>
              <w:divsChild>
                <w:div w:id="1467161268">
                  <w:marLeft w:val="0"/>
                  <w:marRight w:val="0"/>
                  <w:marTop w:val="0"/>
                  <w:marBottom w:val="0"/>
                  <w:divBdr>
                    <w:top w:val="none" w:sz="0" w:space="0" w:color="auto"/>
                    <w:left w:val="none" w:sz="0" w:space="0" w:color="auto"/>
                    <w:bottom w:val="none" w:sz="0" w:space="0" w:color="auto"/>
                    <w:right w:val="none" w:sz="0" w:space="0" w:color="auto"/>
                  </w:divBdr>
                  <w:divsChild>
                    <w:div w:id="23680268">
                      <w:marLeft w:val="0"/>
                      <w:marRight w:val="0"/>
                      <w:marTop w:val="120"/>
                      <w:marBottom w:val="120"/>
                      <w:divBdr>
                        <w:top w:val="none" w:sz="0" w:space="0" w:color="auto"/>
                        <w:left w:val="none" w:sz="0" w:space="0" w:color="auto"/>
                        <w:bottom w:val="none" w:sz="0" w:space="0" w:color="auto"/>
                        <w:right w:val="none" w:sz="0" w:space="0" w:color="auto"/>
                      </w:divBdr>
                      <w:divsChild>
                        <w:div w:id="123695299">
                          <w:marLeft w:val="0"/>
                          <w:marRight w:val="0"/>
                          <w:marTop w:val="0"/>
                          <w:marBottom w:val="0"/>
                          <w:divBdr>
                            <w:top w:val="none" w:sz="0" w:space="0" w:color="auto"/>
                            <w:left w:val="none" w:sz="0" w:space="0" w:color="auto"/>
                            <w:bottom w:val="none" w:sz="0" w:space="0" w:color="auto"/>
                            <w:right w:val="none" w:sz="0" w:space="0" w:color="auto"/>
                          </w:divBdr>
                          <w:divsChild>
                            <w:div w:id="15182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942013">
          <w:marLeft w:val="0"/>
          <w:marRight w:val="0"/>
          <w:marTop w:val="0"/>
          <w:marBottom w:val="180"/>
          <w:divBdr>
            <w:top w:val="none" w:sz="0" w:space="0" w:color="auto"/>
            <w:left w:val="none" w:sz="0" w:space="0" w:color="auto"/>
            <w:bottom w:val="none" w:sz="0" w:space="0" w:color="auto"/>
            <w:right w:val="none" w:sz="0" w:space="0" w:color="auto"/>
          </w:divBdr>
          <w:divsChild>
            <w:div w:id="1890677855">
              <w:marLeft w:val="0"/>
              <w:marRight w:val="0"/>
              <w:marTop w:val="0"/>
              <w:marBottom w:val="0"/>
              <w:divBdr>
                <w:top w:val="none" w:sz="0" w:space="0" w:color="auto"/>
                <w:left w:val="none" w:sz="0" w:space="0" w:color="auto"/>
                <w:bottom w:val="none" w:sz="0" w:space="0" w:color="auto"/>
                <w:right w:val="none" w:sz="0" w:space="0" w:color="auto"/>
              </w:divBdr>
              <w:divsChild>
                <w:div w:id="1752198975">
                  <w:marLeft w:val="0"/>
                  <w:marRight w:val="0"/>
                  <w:marTop w:val="0"/>
                  <w:marBottom w:val="0"/>
                  <w:divBdr>
                    <w:top w:val="none" w:sz="0" w:space="0" w:color="auto"/>
                    <w:left w:val="none" w:sz="0" w:space="0" w:color="auto"/>
                    <w:bottom w:val="none" w:sz="0" w:space="0" w:color="auto"/>
                    <w:right w:val="none" w:sz="0" w:space="0" w:color="auto"/>
                  </w:divBdr>
                  <w:divsChild>
                    <w:div w:id="1121073902">
                      <w:marLeft w:val="0"/>
                      <w:marRight w:val="0"/>
                      <w:marTop w:val="120"/>
                      <w:marBottom w:val="120"/>
                      <w:divBdr>
                        <w:top w:val="none" w:sz="0" w:space="0" w:color="auto"/>
                        <w:left w:val="none" w:sz="0" w:space="0" w:color="auto"/>
                        <w:bottom w:val="none" w:sz="0" w:space="0" w:color="auto"/>
                        <w:right w:val="none" w:sz="0" w:space="0" w:color="auto"/>
                      </w:divBdr>
                      <w:divsChild>
                        <w:div w:id="960184950">
                          <w:marLeft w:val="0"/>
                          <w:marRight w:val="0"/>
                          <w:marTop w:val="0"/>
                          <w:marBottom w:val="0"/>
                          <w:divBdr>
                            <w:top w:val="none" w:sz="0" w:space="0" w:color="auto"/>
                            <w:left w:val="none" w:sz="0" w:space="0" w:color="auto"/>
                            <w:bottom w:val="none" w:sz="0" w:space="0" w:color="auto"/>
                            <w:right w:val="none" w:sz="0" w:space="0" w:color="auto"/>
                          </w:divBdr>
                          <w:divsChild>
                            <w:div w:id="12617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826879">
      <w:bodyDiv w:val="1"/>
      <w:marLeft w:val="0"/>
      <w:marRight w:val="0"/>
      <w:marTop w:val="0"/>
      <w:marBottom w:val="0"/>
      <w:divBdr>
        <w:top w:val="none" w:sz="0" w:space="0" w:color="auto"/>
        <w:left w:val="none" w:sz="0" w:space="0" w:color="auto"/>
        <w:bottom w:val="none" w:sz="0" w:space="0" w:color="auto"/>
        <w:right w:val="none" w:sz="0" w:space="0" w:color="auto"/>
      </w:divBdr>
    </w:div>
    <w:div w:id="1872526098">
      <w:bodyDiv w:val="1"/>
      <w:marLeft w:val="0"/>
      <w:marRight w:val="0"/>
      <w:marTop w:val="0"/>
      <w:marBottom w:val="0"/>
      <w:divBdr>
        <w:top w:val="none" w:sz="0" w:space="0" w:color="auto"/>
        <w:left w:val="none" w:sz="0" w:space="0" w:color="auto"/>
        <w:bottom w:val="none" w:sz="0" w:space="0" w:color="auto"/>
        <w:right w:val="none" w:sz="0" w:space="0" w:color="auto"/>
      </w:divBdr>
    </w:div>
    <w:div w:id="1900168238">
      <w:bodyDiv w:val="1"/>
      <w:marLeft w:val="0"/>
      <w:marRight w:val="0"/>
      <w:marTop w:val="0"/>
      <w:marBottom w:val="0"/>
      <w:divBdr>
        <w:top w:val="none" w:sz="0" w:space="0" w:color="auto"/>
        <w:left w:val="none" w:sz="0" w:space="0" w:color="auto"/>
        <w:bottom w:val="none" w:sz="0" w:space="0" w:color="auto"/>
        <w:right w:val="none" w:sz="0" w:space="0" w:color="auto"/>
      </w:divBdr>
    </w:div>
    <w:div w:id="1903636280">
      <w:bodyDiv w:val="1"/>
      <w:marLeft w:val="0"/>
      <w:marRight w:val="0"/>
      <w:marTop w:val="0"/>
      <w:marBottom w:val="0"/>
      <w:divBdr>
        <w:top w:val="none" w:sz="0" w:space="0" w:color="auto"/>
        <w:left w:val="none" w:sz="0" w:space="0" w:color="auto"/>
        <w:bottom w:val="none" w:sz="0" w:space="0" w:color="auto"/>
        <w:right w:val="none" w:sz="0" w:space="0" w:color="auto"/>
      </w:divBdr>
    </w:div>
    <w:div w:id="1911386638">
      <w:bodyDiv w:val="1"/>
      <w:marLeft w:val="0"/>
      <w:marRight w:val="0"/>
      <w:marTop w:val="0"/>
      <w:marBottom w:val="0"/>
      <w:divBdr>
        <w:top w:val="none" w:sz="0" w:space="0" w:color="auto"/>
        <w:left w:val="none" w:sz="0" w:space="0" w:color="auto"/>
        <w:bottom w:val="none" w:sz="0" w:space="0" w:color="auto"/>
        <w:right w:val="none" w:sz="0" w:space="0" w:color="auto"/>
      </w:divBdr>
    </w:div>
    <w:div w:id="1931045257">
      <w:bodyDiv w:val="1"/>
      <w:marLeft w:val="0"/>
      <w:marRight w:val="0"/>
      <w:marTop w:val="0"/>
      <w:marBottom w:val="0"/>
      <w:divBdr>
        <w:top w:val="none" w:sz="0" w:space="0" w:color="auto"/>
        <w:left w:val="none" w:sz="0" w:space="0" w:color="auto"/>
        <w:bottom w:val="none" w:sz="0" w:space="0" w:color="auto"/>
        <w:right w:val="none" w:sz="0" w:space="0" w:color="auto"/>
      </w:divBdr>
    </w:div>
    <w:div w:id="1936403776">
      <w:bodyDiv w:val="1"/>
      <w:marLeft w:val="0"/>
      <w:marRight w:val="0"/>
      <w:marTop w:val="0"/>
      <w:marBottom w:val="0"/>
      <w:divBdr>
        <w:top w:val="none" w:sz="0" w:space="0" w:color="auto"/>
        <w:left w:val="none" w:sz="0" w:space="0" w:color="auto"/>
        <w:bottom w:val="none" w:sz="0" w:space="0" w:color="auto"/>
        <w:right w:val="none" w:sz="0" w:space="0" w:color="auto"/>
      </w:divBdr>
    </w:div>
    <w:div w:id="1939366254">
      <w:bodyDiv w:val="1"/>
      <w:marLeft w:val="0"/>
      <w:marRight w:val="0"/>
      <w:marTop w:val="0"/>
      <w:marBottom w:val="0"/>
      <w:divBdr>
        <w:top w:val="none" w:sz="0" w:space="0" w:color="auto"/>
        <w:left w:val="none" w:sz="0" w:space="0" w:color="auto"/>
        <w:bottom w:val="none" w:sz="0" w:space="0" w:color="auto"/>
        <w:right w:val="none" w:sz="0" w:space="0" w:color="auto"/>
      </w:divBdr>
    </w:div>
    <w:div w:id="2003466343">
      <w:bodyDiv w:val="1"/>
      <w:marLeft w:val="0"/>
      <w:marRight w:val="0"/>
      <w:marTop w:val="0"/>
      <w:marBottom w:val="0"/>
      <w:divBdr>
        <w:top w:val="none" w:sz="0" w:space="0" w:color="auto"/>
        <w:left w:val="none" w:sz="0" w:space="0" w:color="auto"/>
        <w:bottom w:val="none" w:sz="0" w:space="0" w:color="auto"/>
        <w:right w:val="none" w:sz="0" w:space="0" w:color="auto"/>
      </w:divBdr>
    </w:div>
    <w:div w:id="2038265910">
      <w:bodyDiv w:val="1"/>
      <w:marLeft w:val="0"/>
      <w:marRight w:val="0"/>
      <w:marTop w:val="0"/>
      <w:marBottom w:val="0"/>
      <w:divBdr>
        <w:top w:val="none" w:sz="0" w:space="0" w:color="auto"/>
        <w:left w:val="none" w:sz="0" w:space="0" w:color="auto"/>
        <w:bottom w:val="none" w:sz="0" w:space="0" w:color="auto"/>
        <w:right w:val="none" w:sz="0" w:space="0" w:color="auto"/>
      </w:divBdr>
    </w:div>
    <w:div w:id="2046367086">
      <w:bodyDiv w:val="1"/>
      <w:marLeft w:val="0"/>
      <w:marRight w:val="0"/>
      <w:marTop w:val="0"/>
      <w:marBottom w:val="0"/>
      <w:divBdr>
        <w:top w:val="none" w:sz="0" w:space="0" w:color="auto"/>
        <w:left w:val="none" w:sz="0" w:space="0" w:color="auto"/>
        <w:bottom w:val="none" w:sz="0" w:space="0" w:color="auto"/>
        <w:right w:val="none" w:sz="0" w:space="0" w:color="auto"/>
      </w:divBdr>
    </w:div>
    <w:div w:id="2053116602">
      <w:bodyDiv w:val="1"/>
      <w:marLeft w:val="0"/>
      <w:marRight w:val="0"/>
      <w:marTop w:val="0"/>
      <w:marBottom w:val="0"/>
      <w:divBdr>
        <w:top w:val="none" w:sz="0" w:space="0" w:color="auto"/>
        <w:left w:val="none" w:sz="0" w:space="0" w:color="auto"/>
        <w:bottom w:val="none" w:sz="0" w:space="0" w:color="auto"/>
        <w:right w:val="none" w:sz="0" w:space="0" w:color="auto"/>
      </w:divBdr>
    </w:div>
    <w:div w:id="2078474893">
      <w:bodyDiv w:val="1"/>
      <w:marLeft w:val="0"/>
      <w:marRight w:val="0"/>
      <w:marTop w:val="0"/>
      <w:marBottom w:val="0"/>
      <w:divBdr>
        <w:top w:val="none" w:sz="0" w:space="0" w:color="auto"/>
        <w:left w:val="none" w:sz="0" w:space="0" w:color="auto"/>
        <w:bottom w:val="none" w:sz="0" w:space="0" w:color="auto"/>
        <w:right w:val="none" w:sz="0" w:space="0" w:color="auto"/>
      </w:divBdr>
    </w:div>
    <w:div w:id="2086802612">
      <w:bodyDiv w:val="1"/>
      <w:marLeft w:val="0"/>
      <w:marRight w:val="0"/>
      <w:marTop w:val="0"/>
      <w:marBottom w:val="0"/>
      <w:divBdr>
        <w:top w:val="none" w:sz="0" w:space="0" w:color="auto"/>
        <w:left w:val="none" w:sz="0" w:space="0" w:color="auto"/>
        <w:bottom w:val="none" w:sz="0" w:space="0" w:color="auto"/>
        <w:right w:val="none" w:sz="0" w:space="0" w:color="auto"/>
      </w:divBdr>
    </w:div>
    <w:div w:id="2097510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t.nz/act/public/2001/0084/latest/DLM114207.html" TargetMode="External"/><Relationship Id="rId21" Type="http://schemas.openxmlformats.org/officeDocument/2006/relationships/hyperlink" Target="http://www.legislation.govt.nz/act/public/2001/0084/latest/DLM114216.html" TargetMode="External"/><Relationship Id="rId42" Type="http://schemas.openxmlformats.org/officeDocument/2006/relationships/hyperlink" Target="https://taxworkinggroup.govt.nz/resources/terms-reference-tax-working-group" TargetMode="External"/><Relationship Id="rId47" Type="http://schemas.openxmlformats.org/officeDocument/2006/relationships/hyperlink" Target="http://archive.stats.govt.nz/browse_for_stats/people_and_communities/Households/HouseholdEconomicSurvey_HOTPYeJun15.aspx" TargetMode="External"/><Relationship Id="rId63" Type="http://schemas.openxmlformats.org/officeDocument/2006/relationships/image" Target="media/image60.png"/><Relationship Id="rId68" Type="http://schemas.openxmlformats.org/officeDocument/2006/relationships/hyperlink" Target="https://www.superlife.co.nz/files/LegalDocs/PDS/SuperLife%20KiwiSaver%20scheme%20-%20Product%20Disclosure%20Statement.pdf" TargetMode="External"/><Relationship Id="rId84" Type="http://schemas.openxmlformats.org/officeDocument/2006/relationships/hyperlink" Target="http://www.cffc.org.nz/assets/Documents/National-Strategy-for-Financial-Literacy-Annual-Report-2012.pdf" TargetMode="External"/><Relationship Id="rId89" Type="http://schemas.openxmlformats.org/officeDocument/2006/relationships/footer" Target="footer1.xml"/><Relationship Id="rId16" Type="http://schemas.openxmlformats.org/officeDocument/2006/relationships/image" Target="media/image3.png"/><Relationship Id="rId11" Type="http://schemas.openxmlformats.org/officeDocument/2006/relationships/hyperlink" Target="https://www.cffc.org.nz/reviews-and-reports/retirement-income-policy-review/" TargetMode="External"/><Relationship Id="rId32" Type="http://schemas.openxmlformats.org/officeDocument/2006/relationships/hyperlink" Target="http://www.legislation.govt.nz/act/public/2001/0084/latest/DLM2686310.html" TargetMode="External"/><Relationship Id="rId37" Type="http://schemas.openxmlformats.org/officeDocument/2006/relationships/hyperlink" Target="https://www.cffc.org.nz/assets/Uploads/2016-Review-of-Retirement-Income-Policies-Tabled-Report-19.12.06.pdf" TargetMode="External"/><Relationship Id="rId53" Type="http://schemas.openxmlformats.org/officeDocument/2006/relationships/hyperlink" Target="https://cdn.auckland.ac.nz/assets/business/about/our-research/research-institutes-and-centres/RPRC/PensionBriefing/2010-5%20Household%20wealth%20in%20Australia%20and%20New%20Zealand.pdf" TargetMode="External"/><Relationship Id="rId58" Type="http://schemas.openxmlformats.org/officeDocument/2006/relationships/hyperlink" Target="https://www.elsa-project.ac.uk/" TargetMode="External"/><Relationship Id="rId74" Type="http://schemas.openxmlformats.org/officeDocument/2006/relationships/hyperlink" Target="https://fma.govt.nz/about-us/what-we-do/our-role/" TargetMode="External"/><Relationship Id="rId79" Type="http://schemas.openxmlformats.org/officeDocument/2006/relationships/hyperlink" Target="https://www.cffc.org.nz/assets/Uploads/2016-Review-of-Retirement-Income-Policies-Tabled-Report-19.12.06.pdf" TargetMode="External"/><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image" Target="media/image1.tiff"/><Relationship Id="rId22" Type="http://schemas.openxmlformats.org/officeDocument/2006/relationships/hyperlink" Target="http://www.legislation.govt.nz/act/public/2001/0084/latest/DLM113987.html" TargetMode="External"/><Relationship Id="rId27" Type="http://schemas.openxmlformats.org/officeDocument/2006/relationships/hyperlink" Target="http://www.legislation.govt.nz/act/public/2001/0084/latest/DLM114237.html" TargetMode="External"/><Relationship Id="rId30" Type="http://schemas.openxmlformats.org/officeDocument/2006/relationships/hyperlink" Target="http://www.legislation.govt.nz/act/public/2001/0084/latest/DLM114259.html" TargetMode="External"/><Relationship Id="rId35" Type="http://schemas.openxmlformats.org/officeDocument/2006/relationships/hyperlink" Target="http://www.legislation.govt.nz/act/public/2001/0084/latest/DLM114271.html" TargetMode="External"/><Relationship Id="rId43" Type="http://schemas.openxmlformats.org/officeDocument/2006/relationships/hyperlink" Target="https://taxworkinggroup.govt.nz/sites/default/files/2019-03/twg-final-report-voli-feb19-v1.pdf" TargetMode="External"/><Relationship Id="rId48" Type="http://schemas.openxmlformats.org/officeDocument/2006/relationships/hyperlink" Target="https://www.mbie.govt.nz/dmsdocument/997-financial-markets-conduct-regulations-2013-discussion-paper-pdf" TargetMode="External"/><Relationship Id="rId56" Type="http://schemas.openxmlformats.org/officeDocument/2006/relationships/hyperlink" Target="http://www.stats.govt.nz/SOFIE" TargetMode="External"/><Relationship Id="rId64" Type="http://schemas.openxmlformats.org/officeDocument/2006/relationships/hyperlink" Target="http://www.stats.govt.nz/browse_for_stats/snapshots-of-nz/nz-social-indicators/Home/Labour%20market/lab-force-particip.aspx" TargetMode="External"/><Relationship Id="rId69" Type="http://schemas.openxmlformats.org/officeDocument/2006/relationships/hyperlink" Target="https://www.bnz.co.nz/assets/personal-banking-help-support/kiwisaver/pdf/kiwisaver-product-disclosure-statement.pdf" TargetMode="External"/><Relationship Id="rId77" Type="http://schemas.openxmlformats.org/officeDocument/2006/relationships/hyperlink" Target="http://fundfinder.sorted.org.nz/" TargetMode="External"/><Relationship Id="rId8" Type="http://schemas.openxmlformats.org/officeDocument/2006/relationships/hyperlink" Target="http://www.PensionReforms.com" TargetMode="External"/><Relationship Id="rId51" Type="http://schemas.openxmlformats.org/officeDocument/2006/relationships/hyperlink" Target="http://www.legislation.govt.nz/act/public/2006/0040/latest/DLM1233471.html" TargetMode="External"/><Relationship Id="rId72" Type="http://schemas.openxmlformats.org/officeDocument/2006/relationships/hyperlink" Target="https://fma.govt.nz/consumers/getting-financial-advice/types-of-advice/" TargetMode="External"/><Relationship Id="rId80" Type="http://schemas.openxmlformats.org/officeDocument/2006/relationships/hyperlink" Target="https://fma.govt.nz/assets/Consultations/170610-Draft-guidiance-note-Fee-disclosure-by-managed-funds.pdf" TargetMode="External"/><Relationship Id="rId85" Type="http://schemas.openxmlformats.org/officeDocument/2006/relationships/hyperlink" Target="http://www.cffc.org.nz/assets/Uploads/2016-Review-of-Retirement-Income-Policies-Tabled-Report-19.12.06.pdf" TargetMode="External"/><Relationship Id="rId3" Type="http://schemas.openxmlformats.org/officeDocument/2006/relationships/styles" Target="styles.xml"/><Relationship Id="rId12" Type="http://schemas.openxmlformats.org/officeDocument/2006/relationships/hyperlink" Target="https://cdn.auckland.ac.nz/assets/business/about/our-research/research-institutes-and-centres/RPRC/PensionBriefing/PC%202015-3%20Making%20responsible%20investment%20the%20new%20standard%20in%20KiwiSaver.pdf" TargetMode="External"/><Relationship Id="rId17" Type="http://schemas.openxmlformats.org/officeDocument/2006/relationships/hyperlink" Target="https://treasury.govt.nz/publications/information-release/periodic-report-group-2003-retirement-income" TargetMode="External"/><Relationship Id="rId25" Type="http://schemas.openxmlformats.org/officeDocument/2006/relationships/hyperlink" Target="http://www.legislation.govt.nz/act/public/2001/0084/latest/DLM114255.html" TargetMode="External"/><Relationship Id="rId33" Type="http://schemas.openxmlformats.org/officeDocument/2006/relationships/hyperlink" Target="http://www.legislation.govt.nz/act/public/2001/0084/latest/DLM114270.html" TargetMode="External"/><Relationship Id="rId38" Type="http://schemas.openxmlformats.org/officeDocument/2006/relationships/hyperlink" Target="https://treasury.govt.nz/publications/month-end/financial-statements-8-months-ended-28-feb-19" TargetMode="External"/><Relationship Id="rId46" Type="http://schemas.openxmlformats.org/officeDocument/2006/relationships/image" Target="media/image5.tiff"/><Relationship Id="rId59" Type="http://schemas.openxmlformats.org/officeDocument/2006/relationships/hyperlink" Target="https://hrs.isr.umich.edu/about" TargetMode="External"/><Relationship Id="rId67" Type="http://schemas.openxmlformats.org/officeDocument/2006/relationships/hyperlink" Target="https://simplicity.kiwi/assets/Uploads/pds.pdf" TargetMode="External"/><Relationship Id="rId20" Type="http://schemas.openxmlformats.org/officeDocument/2006/relationships/hyperlink" Target="http://www.nzlii.org/nz/legis/hist_act/opa189862v1898n14239/" TargetMode="External"/><Relationship Id="rId41" Type="http://schemas.openxmlformats.org/officeDocument/2006/relationships/hyperlink" Target="https://taxworkinggroup.govt.nz/what-is-the-tax-working-group" TargetMode="External"/><Relationship Id="rId54" Type="http://schemas.openxmlformats.org/officeDocument/2006/relationships/hyperlink" Target="http://www.diw.de/documents/dokumentenarchiv/17/diw_01.c.86653.de/soep08_full_frick_headey.pdf" TargetMode="External"/><Relationship Id="rId62" Type="http://schemas.openxmlformats.org/officeDocument/2006/relationships/image" Target="media/image6.png"/><Relationship Id="rId70" Type="http://schemas.openxmlformats.org/officeDocument/2006/relationships/hyperlink" Target="https://www.fma.govt.nz/assets/Reports/171128-Investor-Capability-Strategy-2017-2020.pdf" TargetMode="External"/><Relationship Id="rId75" Type="http://schemas.openxmlformats.org/officeDocument/2006/relationships/hyperlink" Target="http://www.nzlii.org/nz/legis/hist_act/ssa19891989n10287/" TargetMode="External"/><Relationship Id="rId83" Type="http://schemas.openxmlformats.org/officeDocument/2006/relationships/hyperlink" Target="http://www.cffc.org.nz/assets/Uploads/National-Strategy-for-Financial-Capability-June-2015.pdf" TargetMode="External"/><Relationship Id="rId88" Type="http://schemas.openxmlformats.org/officeDocument/2006/relationships/hyperlink" Target="http://www.legislation.govt.nz/act/public/2001/0084/latest/DLM114888.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hyperlink" Target="http://www.legislation.govt.nz/act/public/2001/0084/latest/DLM113990.html" TargetMode="External"/><Relationship Id="rId28" Type="http://schemas.openxmlformats.org/officeDocument/2006/relationships/hyperlink" Target="http://www.legislation.govt.nz/act/public/2001/0084/latest/DLM114252.html" TargetMode="External"/><Relationship Id="rId36" Type="http://schemas.openxmlformats.org/officeDocument/2006/relationships/hyperlink" Target="https://www.workandincome.govt.nz/products/a-z-benefits/accommodation-supplement.html" TargetMode="External"/><Relationship Id="rId49" Type="http://schemas.openxmlformats.org/officeDocument/2006/relationships/hyperlink" Target="http://www.nzlii.org/nz/legis/hist_act/ssa19891989n10287/" TargetMode="External"/><Relationship Id="rId57" Type="http://schemas.openxmlformats.org/officeDocument/2006/relationships/hyperlink" Target="http://melbourneinstitute.unimelb.edu.au/hilda" TargetMode="External"/><Relationship Id="rId10" Type="http://schemas.openxmlformats.org/officeDocument/2006/relationships/hyperlink" Target="http://v.wirewax.com/cffcreview2016" TargetMode="External"/><Relationship Id="rId31" Type="http://schemas.openxmlformats.org/officeDocument/2006/relationships/hyperlink" Target="http://www.legislation.govt.nz/act/public/2001/0084/latest/DLM2686309.html" TargetMode="External"/><Relationship Id="rId44" Type="http://schemas.openxmlformats.org/officeDocument/2006/relationships/image" Target="media/image4.tiff"/><Relationship Id="rId52" Type="http://schemas.openxmlformats.org/officeDocument/2006/relationships/hyperlink" Target="https://cdn.auckland.ac.nz/assets/business/about/our-research/research-institutes-and-centres/RPRC/PensionBriefing/2010-2%20What%20do%20New%20Zealanders%20own%20and%20owe%20-%20News%20from%20SoFIE%202004-2006.pdf" TargetMode="External"/><Relationship Id="rId60" Type="http://schemas.openxmlformats.org/officeDocument/2006/relationships/hyperlink" Target="http://docs.business.auckland.ac.nz/Doc/PC-2012-4-A-commentary-on-older-workers-and-some-HR-issues-facing-employers.pdf" TargetMode="External"/><Relationship Id="rId65" Type="http://schemas.openxmlformats.org/officeDocument/2006/relationships/hyperlink" Target="https://www.cffc.org.nz/assets/Uploads/2016-Review-of-Retirement-Income-Policies-Tabled-Report-19.12.06.pdf" TargetMode="External"/><Relationship Id="rId73" Type="http://schemas.openxmlformats.org/officeDocument/2006/relationships/hyperlink" Target="https://fma.govt.nz/about-us/what-we-do/" TargetMode="External"/><Relationship Id="rId78" Type="http://schemas.openxmlformats.org/officeDocument/2006/relationships/hyperlink" Target="http://fundfinder.sorted.org.nz/" TargetMode="External"/><Relationship Id="rId81" Type="http://schemas.openxmlformats.org/officeDocument/2006/relationships/image" Target="media/image7.tiff"/><Relationship Id="rId86" Type="http://schemas.openxmlformats.org/officeDocument/2006/relationships/hyperlink" Target="http://www.Sorted.org.nz" TargetMode="External"/><Relationship Id="rId4" Type="http://schemas.openxmlformats.org/officeDocument/2006/relationships/settings" Target="settings.xml"/><Relationship Id="rId9" Type="http://schemas.openxmlformats.org/officeDocument/2006/relationships/hyperlink" Target="https://static1.squarespace.com/static/5968678cd2b857f0062888e5/t/5973efbb03596e0d29991c56/1500770246847/The+Missing+2016+Review+-+building+trust+for+life+beyond+work+V1.pdf" TargetMode="External"/><Relationship Id="rId13" Type="http://schemas.openxmlformats.org/officeDocument/2006/relationships/hyperlink" Target="https://cdn.auckland.ac.nz/assets/business/about/our-research/research-institutes-and-centres/RPRC/PensionBriefing/pc-default-responsible-investment-for-kiwisaver.pdf" TargetMode="External"/><Relationship Id="rId18" Type="http://schemas.openxmlformats.org/officeDocument/2006/relationships/hyperlink" Target="https://www.cffc.org.nz/assets/Documents/RI-Review-Report-to-Govt-Dec-2013.pdf" TargetMode="External"/><Relationship Id="rId39" Type="http://schemas.openxmlformats.org/officeDocument/2006/relationships/hyperlink" Target="http://www.nzsuperfund.co.nz/sites/default/files/documents-sys/Annual%20Report%202018.pdf" TargetMode="External"/><Relationship Id="rId34" Type="http://schemas.openxmlformats.org/officeDocument/2006/relationships/hyperlink" Target="http://www.legislation.govt.nz/act/public/2001/0084/latest/DLM115022.html" TargetMode="External"/><Relationship Id="rId50" Type="http://schemas.openxmlformats.org/officeDocument/2006/relationships/hyperlink" Target="http://www.legislation.govt.nz/act/public/2013/0069/latest/DLM5155251.html" TargetMode="External"/><Relationship Id="rId55" Type="http://schemas.openxmlformats.org/officeDocument/2006/relationships/hyperlink" Target="http://www.share-project.org/home0.html" TargetMode="External"/><Relationship Id="rId76" Type="http://schemas.openxmlformats.org/officeDocument/2006/relationships/hyperlink" Target="http://www.legislation.govt.nz/act/public/2013/0069/latest/DLM4091106.html" TargetMode="External"/><Relationship Id="rId7" Type="http://schemas.openxmlformats.org/officeDocument/2006/relationships/endnotes" Target="endnotes.xml"/><Relationship Id="rId71" Type="http://schemas.openxmlformats.org/officeDocument/2006/relationships/hyperlink" Target="https://www.companiesoffice.govt.nz/disclose"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legislation.govt.nz/act/public/2001/0084/latest/DLM114255.html" TargetMode="External"/><Relationship Id="rId24" Type="http://schemas.openxmlformats.org/officeDocument/2006/relationships/hyperlink" Target="http://www.legislation.govt.nz/act/public/2001/0084/latest/DLM113991.html" TargetMode="External"/><Relationship Id="rId40" Type="http://schemas.openxmlformats.org/officeDocument/2006/relationships/hyperlink" Target="http://www.business.auckland.ac.nz/en/about/our-research/bs-research-institutes-and-centres/retirement-policy-and-research-centre-rprc/our-research-12.html" TargetMode="External"/><Relationship Id="rId45" Type="http://schemas.openxmlformats.org/officeDocument/2006/relationships/image" Target="media/image40.tiff"/><Relationship Id="rId66" Type="http://schemas.openxmlformats.org/officeDocument/2006/relationships/hyperlink" Target="https://www.cffc.org.nz/assets/Uploads/2016-Review-of-Retirement-Income-Policies-Tabled-Report-19.12.06.pdf" TargetMode="External"/><Relationship Id="rId87" Type="http://schemas.openxmlformats.org/officeDocument/2006/relationships/hyperlink" Target="https://www.cffc.org.nz/reviews-and-reports/2016-review-of-retirement-income-policies/" TargetMode="External"/><Relationship Id="rId61" Type="http://schemas.openxmlformats.org/officeDocument/2006/relationships/hyperlink" Target="https://cdn.auckland.ac.nz/assets/business/about/our-research/research-institutes-and-centres/RPRC/PensionBriefing/2014-4%20Updating%20data%20on%20older%20workers.pdf" TargetMode="External"/><Relationship Id="rId82" Type="http://schemas.openxmlformats.org/officeDocument/2006/relationships/hyperlink" Target="http://www.cffc.org.nz/financial-capability/" TargetMode="External"/><Relationship Id="rId19" Type="http://schemas.openxmlformats.org/officeDocument/2006/relationships/hyperlink" Target="https://cffc-assets-prod.s3.ap-southeast-2.amazonaws.com/public/Uploads/Retirement-Income-Policy-Review/Policy-Position/e6dac4f49c/2016-Review-of-Retirement-Income-Policies-Tabled-Report-19.12.16.pdf"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documents.worldbank.org/curated/en/973571468174557899/Averting-the-old-age-crisis-policies-to-protect-the-old-and-promote-growth" TargetMode="External"/><Relationship Id="rId21" Type="http://schemas.openxmlformats.org/officeDocument/2006/relationships/hyperlink" Target="http://www.cffc.org.nz/assets/Uploads/2016-Review-of-Retirement-Income-Policies-Tabled-Report-19.12.06.pdf" TargetMode="External"/><Relationship Id="rId42" Type="http://schemas.openxmlformats.org/officeDocument/2006/relationships/hyperlink" Target="https://www.brookings.edu/research/retirement-trends-and-policies-to-encourage-work-among-older-americans/" TargetMode="External"/><Relationship Id="rId63" Type="http://schemas.openxmlformats.org/officeDocument/2006/relationships/hyperlink" Target="https://treasury.govt.nz/publications/information-release/new-zealand-superannuation-fund-contribution-rate-model" TargetMode="External"/><Relationship Id="rId84" Type="http://schemas.openxmlformats.org/officeDocument/2006/relationships/hyperlink" Target="https://cdn.auckland.ac.nz/assets/business/about/our-research/research-institutes-and-centres/RPRC/OtherPapers/RPRC%20CFFC%20overseas%20pensions%2030%20September%202016%20Final.pdf" TargetMode="External"/><Relationship Id="rId138" Type="http://schemas.openxmlformats.org/officeDocument/2006/relationships/hyperlink" Target="https://blog.grattan.edu.au/2019/04/why-australias-old-age-poverty-rates-are-far-lower-than-you-might-think/" TargetMode="External"/><Relationship Id="rId159" Type="http://schemas.openxmlformats.org/officeDocument/2006/relationships/hyperlink" Target="https://www.cffc.org.nz/assets/Uploads/2016-Review-of-Retirement-Income-Policies-Tabled-Report-19.12.06.pdf" TargetMode="External"/><Relationship Id="rId170" Type="http://schemas.openxmlformats.org/officeDocument/2006/relationships/hyperlink" Target="http://docs.business.auckland.ac.nz/Doc/PensionBriefing-2009-1-International-comparison-of-poverty-amongst-the-elderly.pdf" TargetMode="External"/><Relationship Id="rId191" Type="http://schemas.openxmlformats.org/officeDocument/2006/relationships/hyperlink" Target="http://au.milliman.com/insight/2017/Big-data-finally-reveals-how-retirees-really-live/" TargetMode="External"/><Relationship Id="rId205" Type="http://schemas.openxmlformats.org/officeDocument/2006/relationships/hyperlink" Target="https://treasury.govt.nz/sites/default/files/2008-02/lfpw-guest.pdf" TargetMode="External"/><Relationship Id="rId226" Type="http://schemas.openxmlformats.org/officeDocument/2006/relationships/hyperlink" Target="https://www.fsc.org.nz/site/fsc1/Shaping%20Futures%20Closing%20the%20KiwiSaver%20Gap%20-%20Financial%20Services%20Council%20-%20September%202018.pdf" TargetMode="External"/><Relationship Id="rId247" Type="http://schemas.openxmlformats.org/officeDocument/2006/relationships/hyperlink" Target="https://www.msd.govt.nz/about-msd-and-our-work/publications-resources/monitoring/household-incomes/" TargetMode="External"/><Relationship Id="rId107" Type="http://schemas.openxmlformats.org/officeDocument/2006/relationships/hyperlink" Target="https://papers.ssrn.com/sol3/papers.cfm?abstract_id=998219" TargetMode="External"/><Relationship Id="rId11" Type="http://schemas.openxmlformats.org/officeDocument/2006/relationships/hyperlink" Target="http://www.treasury.govt.nz/government/longterm/fiscalposition/2016/he-tirohanga-mokopuna/ltfs-16-htm.pdf" TargetMode="External"/><Relationship Id="rId32" Type="http://schemas.openxmlformats.org/officeDocument/2006/relationships/hyperlink" Target="https://cdn.auckland.ac.nz/assets/business/about/our-research/research-institutes-and-centres/RPRC/PensionBriefing/pc-2015-1-redesigning-new-zealand-superannuation.pdf" TargetMode="External"/><Relationship Id="rId53" Type="http://schemas.openxmlformats.org/officeDocument/2006/relationships/hyperlink" Target="https://www.workandincome.govt.nz/map/deskfile/nz-superannuation-and-veterans-pension-tables/new-zealand-superannuation-and-veterans-pension-ra.html" TargetMode="External"/><Relationship Id="rId74" Type="http://schemas.openxmlformats.org/officeDocument/2006/relationships/hyperlink" Target="https://acfr.aut.ac.nz/research/equity-risk-premium" TargetMode="External"/><Relationship Id="rId128" Type="http://schemas.openxmlformats.org/officeDocument/2006/relationships/hyperlink" Target="http://wwwdocs.fce.unsw.edu.au/fce/Research/ResearchMicrosites/AIPAR/publications/2007_09.pdf" TargetMode="External"/><Relationship Id="rId149" Type="http://schemas.openxmlformats.org/officeDocument/2006/relationships/hyperlink" Target="https://www.stuff.co.nz/national/107763519/2018-census--what-happened" TargetMode="External"/><Relationship Id="rId5" Type="http://schemas.openxmlformats.org/officeDocument/2006/relationships/hyperlink" Target="http://www.cffc.org.nz/assets/Retirement-Income-Review-2016-submissions/Michael-Littlewood-Ageing-populations-retirement-incomes-and-public-policy-what-really-matters.pdf" TargetMode="External"/><Relationship Id="rId95" Type="http://schemas.openxmlformats.org/officeDocument/2006/relationships/hyperlink" Target="https://www.cffc.org.nz/assets/Uploads/2016-Review-of-Retirement-Income-Policies-Tabled-Report-19.12.06.pdf" TargetMode="External"/><Relationship Id="rId160" Type="http://schemas.openxmlformats.org/officeDocument/2006/relationships/hyperlink" Target="http://www.treasury.govt.nz/publications/research-policy/wp/2004/04-12" TargetMode="External"/><Relationship Id="rId181" Type="http://schemas.openxmlformats.org/officeDocument/2006/relationships/hyperlink" Target="https://fma.govt.nz/assets/Reports/161004-FMA-KiwiSaver-Report-2016.pdf" TargetMode="External"/><Relationship Id="rId216" Type="http://schemas.openxmlformats.org/officeDocument/2006/relationships/hyperlink" Target="https://fma.govt.nz/compliance/lists-and-registers/" TargetMode="External"/><Relationship Id="rId237" Type="http://schemas.openxmlformats.org/officeDocument/2006/relationships/hyperlink" Target="https://www.beehive.govt.nz/release/kiwisaver-default-providers-announced" TargetMode="External"/><Relationship Id="rId22" Type="http://schemas.openxmlformats.org/officeDocument/2006/relationships/hyperlink" Target="http://www.stats.govt.nz/browse_for_stats/population/estimates_and_projections/NationalPopulationProjections_HOTP2016.aspx" TargetMode="External"/><Relationship Id="rId43" Type="http://schemas.openxmlformats.org/officeDocument/2006/relationships/hyperlink" Target="http://research.upjohn.org/up_press/81/" TargetMode="External"/><Relationship Id="rId64" Type="http://schemas.openxmlformats.org/officeDocument/2006/relationships/hyperlink" Target="http://www.cffc.org.nz/assets/Uploads/2016-Review-of-Retirement-Income-Policies-Tabled-Report-19.12.06.pdf" TargetMode="External"/><Relationship Id="rId118" Type="http://schemas.openxmlformats.org/officeDocument/2006/relationships/hyperlink" Target="https://openknowledge.worldbank.org/bitstream/handle/10986/2651/493180PUB0REPL10Box338947B01PUBLIC1.pdf?sequence=1" TargetMode="External"/><Relationship Id="rId139" Type="http://schemas.openxmlformats.org/officeDocument/2006/relationships/hyperlink" Target="http://www.aph.gov.au/Parliamentary_Business/Bills_Legislation/Bills_Search_Results/Result?bId=r5762" TargetMode="External"/><Relationship Id="rId85" Type="http://schemas.openxmlformats.org/officeDocument/2006/relationships/hyperlink" Target="https://treasury.govt.nz/publications/year-end/financial-statements-2018" TargetMode="External"/><Relationship Id="rId150" Type="http://schemas.openxmlformats.org/officeDocument/2006/relationships/hyperlink" Target="https://www.stuff.co.nz/national/109245089/statistics-nz-pushes-census-2018-deadline-further-as-issues-continue" TargetMode="External"/><Relationship Id="rId171" Type="http://schemas.openxmlformats.org/officeDocument/2006/relationships/hyperlink" Target="https://www.researchgate.net/publication/308915561_The_material_wellbeing_of_New_Zealand_households_Trends_and_relativities_using_non-income_measures_with_international_comparisons" TargetMode="External"/><Relationship Id="rId192" Type="http://schemas.openxmlformats.org/officeDocument/2006/relationships/hyperlink" Target="https://www.ifs.org.uk/comms/r67.pdf" TargetMode="External"/><Relationship Id="rId206" Type="http://schemas.openxmlformats.org/officeDocument/2006/relationships/hyperlink" Target="https://cdn.auckland.ac.nz/assets/business/about/our-research/research-institutes-and-centres/RPRC/WorkingPaper/Towards%20a%20more%20rational%20tax%20treatment%20of%20collective%20investment%20vehicles%20and%20their%20investors.pdf" TargetMode="External"/><Relationship Id="rId227" Type="http://schemas.openxmlformats.org/officeDocument/2006/relationships/hyperlink" Target="https://treasury.govt.nz/sites/default/files/2007-11/prg-esrc-t2rs.pdf" TargetMode="External"/><Relationship Id="rId248" Type="http://schemas.openxmlformats.org/officeDocument/2006/relationships/hyperlink" Target="http://docs.business.auckland.ac.nz/Doc/Paper-PensionMonograph-Superannuation-task-forces-in-the-1990s-and-the-political-accord.pdf" TargetMode="External"/><Relationship Id="rId12" Type="http://schemas.openxmlformats.org/officeDocument/2006/relationships/hyperlink" Target="https://www.stuff.co.nz/national/politics/opinion/112328830/wellbeing-budget-might-need-more-not-less-focus-on-gdp" TargetMode="External"/><Relationship Id="rId33" Type="http://schemas.openxmlformats.org/officeDocument/2006/relationships/hyperlink" Target="https://www.cffc.org.nz/assets/Documents/RI-Review-2010-Full-Report.pdf" TargetMode="External"/><Relationship Id="rId108" Type="http://schemas.openxmlformats.org/officeDocument/2006/relationships/hyperlink" Target="http://ideas.repec.org/a/fip/fedbne/y1992imarp12-25.html" TargetMode="External"/><Relationship Id="rId129" Type="http://schemas.openxmlformats.org/officeDocument/2006/relationships/hyperlink" Target="http://www.stats.govt.nz/browse_for_stats/snapshots-of-nz/nz-social-indicators/Home/Labour%20market/lab-force-particip.aspx" TargetMode="External"/><Relationship Id="rId54" Type="http://schemas.openxmlformats.org/officeDocument/2006/relationships/hyperlink" Target="http://www.legislation.govt.nz/act/public/2001/0084/latest/DLM114216.html" TargetMode="External"/><Relationship Id="rId75" Type="http://schemas.openxmlformats.org/officeDocument/2006/relationships/hyperlink" Target="https://treasury.govt.nz/publications/tp/market-equity-risk-premium" TargetMode="External"/><Relationship Id="rId96" Type="http://schemas.openxmlformats.org/officeDocument/2006/relationships/hyperlink" Target="https://www.cffc.org.nz/assets/Uploads/2016-Review-of-Retirement-Income-Policies-Tabled-Report-19.12.06.pdf" TargetMode="External"/><Relationship Id="rId140" Type="http://schemas.openxmlformats.org/officeDocument/2006/relationships/hyperlink" Target="http://workplacesavings.org.nz/assets/2016-Conference/Speaker-presentations/Dr-Michael-Cullen-WPS-2016-speech-.pdf" TargetMode="External"/><Relationship Id="rId161" Type="http://schemas.openxmlformats.org/officeDocument/2006/relationships/hyperlink" Target="https://treasury.govt.nz/sites/default/files/2007-11/retirementsofie.pdf" TargetMode="External"/><Relationship Id="rId182" Type="http://schemas.openxmlformats.org/officeDocument/2006/relationships/hyperlink" Target="http://www.fma.govt.nz/assets/Reports/KiwiSaver-Report-2018.pdf" TargetMode="External"/><Relationship Id="rId217" Type="http://schemas.openxmlformats.org/officeDocument/2006/relationships/hyperlink" Target="https://fma.govt.nz/assets/Reports/170628-SPE.pdf" TargetMode="External"/><Relationship Id="rId6" Type="http://schemas.openxmlformats.org/officeDocument/2006/relationships/hyperlink" Target="https://nzier.org.nz/static/media/filer_public/9d/94/9d94d87a-6ebf-4ec8-89b9-2db6922fba0c/wp2007-01_does_new_zealand_have_a_household_saving_crisis.pdf" TargetMode="External"/><Relationship Id="rId238" Type="http://schemas.openxmlformats.org/officeDocument/2006/relationships/hyperlink" Target="http://www.mbie.govt.nz/info-services/business/business-law/agencies-we-monitor/commission-for-financial-capability/folder-pdf-library/govt-response-2016-review.pdf" TargetMode="External"/><Relationship Id="rId23" Type="http://schemas.openxmlformats.org/officeDocument/2006/relationships/hyperlink" Target="https://treasury.govt.nz/publications/strategies-and-plans/long-term-fiscal-position/long-term-fiscal-model" TargetMode="External"/><Relationship Id="rId119" Type="http://schemas.openxmlformats.org/officeDocument/2006/relationships/hyperlink" Target="http://www.pc.gov.au/inquiries/current/superannuation/assessment/issues" TargetMode="External"/><Relationship Id="rId44" Type="http://schemas.openxmlformats.org/officeDocument/2006/relationships/hyperlink" Target="https://cffc.org.nz/assets/Documents/RI-Review-2013-Comparison-NZ-Aus-Retirement-Income-Systems.pdf" TargetMode="External"/><Relationship Id="rId65" Type="http://schemas.openxmlformats.org/officeDocument/2006/relationships/hyperlink" Target="https://www.cffc.org.nz/assets/Documents/RI-Review-Report-to-Govt-Dec-2013.pdf" TargetMode="External"/><Relationship Id="rId86" Type="http://schemas.openxmlformats.org/officeDocument/2006/relationships/hyperlink" Target="https://www.workandincome.govt.nz/about-work-and-income/news/2019/wellbeing-budget-2019.html" TargetMode="External"/><Relationship Id="rId130" Type="http://schemas.openxmlformats.org/officeDocument/2006/relationships/hyperlink" Target="https://cffc.org.nz/assets/Documents/RI-Review-2013-Comparison-NZ-Aus-Retirement-Income-Systems.pdf" TargetMode="External"/><Relationship Id="rId151" Type="http://schemas.openxmlformats.org/officeDocument/2006/relationships/hyperlink" Target="http://www.societies.govt.nz/cms/registered-unions/annual-return-membership-reports/2017" TargetMode="External"/><Relationship Id="rId172" Type="http://schemas.openxmlformats.org/officeDocument/2006/relationships/hyperlink" Target="http://www.oecd.org/publications/oecd-pensions-at-a-glance-19991363.htm" TargetMode="External"/><Relationship Id="rId193" Type="http://schemas.openxmlformats.org/officeDocument/2006/relationships/hyperlink" Target="https://taxworkinggroup.govt.nz/sites/default/files/2019-03/twg-final-report-voli-feb19-v1.pdf" TargetMode="External"/><Relationship Id="rId207" Type="http://schemas.openxmlformats.org/officeDocument/2006/relationships/hyperlink" Target="https://www.beehive.govt.nz/release/govt-responds-tax-working-group-report" TargetMode="External"/><Relationship Id="rId228" Type="http://schemas.openxmlformats.org/officeDocument/2006/relationships/hyperlink" Target="http://www.cffc.org.nz/assets/Uploads/2016-Review-of-Retirement-Income-Policies-Tabled-Report-19.12.06.pdf" TargetMode="External"/><Relationship Id="rId249" Type="http://schemas.openxmlformats.org/officeDocument/2006/relationships/hyperlink" Target="https://www.parliament.nz/media/4004/07-ch-7-officers-of-parliament-and-other-officers-and-bodies-associated-with-parliament.pdf" TargetMode="External"/><Relationship Id="rId13" Type="http://schemas.openxmlformats.org/officeDocument/2006/relationships/hyperlink" Target="https://www.socialprogress.org/" TargetMode="External"/><Relationship Id="rId109" Type="http://schemas.openxmlformats.org/officeDocument/2006/relationships/hyperlink" Target="https://www.researchgate.net/profile/Tullio_Jappelli/publication/228265929_Tax_Incentives_to_Saving_and_Borrowing/links/0fcfd5089b52d410b2000000/Tax-Incentives-to-Saving-and-Borrowing.pdf?origin=publication_detail" TargetMode="External"/><Relationship Id="rId34" Type="http://schemas.openxmlformats.org/officeDocument/2006/relationships/hyperlink" Target="https://www.newshub.co.nz/home/election/2017/09/jacinda-ardern-would-resign-before-raising-retirement-age.html" TargetMode="External"/><Relationship Id="rId55" Type="http://schemas.openxmlformats.org/officeDocument/2006/relationships/hyperlink" Target="https://treasury.govt.nz/sites/default/files/2018-10/fsgnz-year-jun18.pdf" TargetMode="External"/><Relationship Id="rId76" Type="http://schemas.openxmlformats.org/officeDocument/2006/relationships/hyperlink" Target="https://www.nzsuperfund.co.nz/sites/default/files/documents-sys/2015%20Reference%20Portfolio%20Review.pdf" TargetMode="External"/><Relationship Id="rId97" Type="http://schemas.openxmlformats.org/officeDocument/2006/relationships/hyperlink" Target="https://cffc-assets-prod.s3.ap-southeast-2.amazonaws.com/public/Uploads/Retirement-Income-Policy-Review/1f13753559/Government-Response-to-the-Review2016-review-of-retirement-income-policies.pdf" TargetMode="External"/><Relationship Id="rId120" Type="http://schemas.openxmlformats.org/officeDocument/2006/relationships/hyperlink" Target="https://www.pc.gov.au/inquiries/completed/superannuation/assessment/report" TargetMode="External"/><Relationship Id="rId141" Type="http://schemas.openxmlformats.org/officeDocument/2006/relationships/hyperlink" Target="http://www.cffc.org.nz/assets/Retirement-Income-Review-2016-submissions/Michael-Littlewood-Ageing-populations-retirement-incomes-and-public-policy-what-really-matters.pdf" TargetMode="External"/><Relationship Id="rId7" Type="http://schemas.openxmlformats.org/officeDocument/2006/relationships/hyperlink" Target="https://treasury.govt.nz/sites/default/files/2017-12/t2007-654v2.pdf" TargetMode="External"/><Relationship Id="rId162" Type="http://schemas.openxmlformats.org/officeDocument/2006/relationships/hyperlink" Target="https://treasury.govt.nz/publications/wp/saving-rates-new-zealanders-net-wealth-approach-html" TargetMode="External"/><Relationship Id="rId183" Type="http://schemas.openxmlformats.org/officeDocument/2006/relationships/hyperlink" Target="http://www.rbnz.govt.nz/statistics/c22" TargetMode="External"/><Relationship Id="rId218" Type="http://schemas.openxmlformats.org/officeDocument/2006/relationships/hyperlink" Target="https://fma.govt.nz/assets/Statement-of-intent/150618-Statement-of-Performance-Expectations-2015-2016.pdf" TargetMode="External"/><Relationship Id="rId239" Type="http://schemas.openxmlformats.org/officeDocument/2006/relationships/hyperlink" Target="https://www.cffc.org.nz/assets/Documents/RI-Review-Report-to-Govt-Dec-2013.pdf" TargetMode="External"/><Relationship Id="rId24" Type="http://schemas.openxmlformats.org/officeDocument/2006/relationships/hyperlink" Target="https://treasury.govt.nz/publications/ltfp/affording-our-future-statement-new-zealands-long-term-fiscal-position" TargetMode="External"/><Relationship Id="rId45" Type="http://schemas.openxmlformats.org/officeDocument/2006/relationships/hyperlink" Target="https://unitedincome.com/documents/papers/United_Income_Older_Americans_in_the_Workforce.pdf" TargetMode="External"/><Relationship Id="rId66" Type="http://schemas.openxmlformats.org/officeDocument/2006/relationships/hyperlink" Target="http://www.mbie.govt.nz/info-services/business/business-law/agencies-we-monitor/commission-for-financial-capability/folder-pdf-library/govt-response-2016-review.pdf" TargetMode="External"/><Relationship Id="rId87" Type="http://schemas.openxmlformats.org/officeDocument/2006/relationships/hyperlink" Target="http://www.legislation.govt.nz/act/public/1964/0136/latest/DLM363550.html" TargetMode="External"/><Relationship Id="rId110" Type="http://schemas.openxmlformats.org/officeDocument/2006/relationships/hyperlink" Target="http://www.nber.org/papers/w8032" TargetMode="External"/><Relationship Id="rId131" Type="http://schemas.openxmlformats.org/officeDocument/2006/relationships/hyperlink" Target="http://archive.stats.govt.nz/browse_for_stats/snapshots-of-nz/nz-social-indicators/Home/Labour%20market/lab-force-particip.aspx" TargetMode="External"/><Relationship Id="rId152" Type="http://schemas.openxmlformats.org/officeDocument/2006/relationships/hyperlink" Target="http://www.stats.govt.nz/browse_for_stats/income-and-work/employment_and_unemployment/improving-labour-market-statistics/union-memship-emplymt-agmt.aspx" TargetMode="External"/><Relationship Id="rId173" Type="http://schemas.openxmlformats.org/officeDocument/2006/relationships/hyperlink" Target="https://static.treasury.gov.au/uploads/sites/1/2018/01/2017-TES.pdf" TargetMode="External"/><Relationship Id="rId194" Type="http://schemas.openxmlformats.org/officeDocument/2006/relationships/hyperlink" Target="https://www.ssa.gov/policy/docs/progdesc/ssptw/2014-2015/americas/united-states.html" TargetMode="External"/><Relationship Id="rId208" Type="http://schemas.openxmlformats.org/officeDocument/2006/relationships/hyperlink" Target="https://taxworkinggroup.govt.nz/resources/future-tax-final-report-vol-i-html" TargetMode="External"/><Relationship Id="rId229" Type="http://schemas.openxmlformats.org/officeDocument/2006/relationships/hyperlink" Target="http://www.dartmouth.edu/~alusardi/Papers/American_Life_Panel.pdf" TargetMode="External"/><Relationship Id="rId240" Type="http://schemas.openxmlformats.org/officeDocument/2006/relationships/hyperlink" Target="http://www.cio.co.nz/article/566605/bill-english-data-analytics-get-top-seat-government-table/" TargetMode="External"/><Relationship Id="rId14" Type="http://schemas.openxmlformats.org/officeDocument/2006/relationships/hyperlink" Target="http://www.cffc.org.nz/assets/Retirement-Income-Review-2016-submissions/Michael-Littlewood-Ageing-populations-retirement-incomes-and-public-policy-what-really-matters.pdf" TargetMode="External"/><Relationship Id="rId35" Type="http://schemas.openxmlformats.org/officeDocument/2006/relationships/hyperlink" Target="https://www.beehive.govt.nz/release/lifting-nz-super-age-right-thing-do" TargetMode="External"/><Relationship Id="rId56" Type="http://schemas.openxmlformats.org/officeDocument/2006/relationships/hyperlink" Target="https://www.cffc.org.nz/assets/Documents/RI-Review-Report-to-Govt-Dec-2013.pdf" TargetMode="External"/><Relationship Id="rId77" Type="http://schemas.openxmlformats.org/officeDocument/2006/relationships/hyperlink" Target="https://treasury.govt.nz/sites/default/files/2017-03/cab-17-sub-0074.pdf" TargetMode="External"/><Relationship Id="rId100" Type="http://schemas.openxmlformats.org/officeDocument/2006/relationships/hyperlink" Target="http://www.cffc.org.nz/assets/Documents/RI-Review-2013-Comparison-NZ-Aus-Retirement-Income-Systems.pdf" TargetMode="External"/><Relationship Id="rId8" Type="http://schemas.openxmlformats.org/officeDocument/2006/relationships/hyperlink" Target="http://evonomics.com/saving-cause-lending-cause-investment-no/" TargetMode="External"/><Relationship Id="rId98" Type="http://schemas.openxmlformats.org/officeDocument/2006/relationships/hyperlink" Target="http://www.cffc.org.nz/assets/Retirement-Income-Review-2016-submissions/Michael-Littlewood-Ageing-populations-retirement-incomes-and-public-policy-what-really-matters.pdf" TargetMode="External"/><Relationship Id="rId121" Type="http://schemas.openxmlformats.org/officeDocument/2006/relationships/hyperlink" Target="http://www.humanservices.gov.au/customer/enablers/assets" TargetMode="External"/><Relationship Id="rId142" Type="http://schemas.openxmlformats.org/officeDocument/2006/relationships/hyperlink" Target="http://www.dartmouth.edu/~alusardi/Papers/American_Life_Panel.pdf" TargetMode="External"/><Relationship Id="rId163" Type="http://schemas.openxmlformats.org/officeDocument/2006/relationships/hyperlink" Target="https://treasury.govt.nz/publications/wp/kiwisaver-initial-evaluation-impact-retirement-saving-html" TargetMode="External"/><Relationship Id="rId184" Type="http://schemas.openxmlformats.org/officeDocument/2006/relationships/hyperlink" Target="https://www.victoria.ac.nz/__data/assets/pdf_file/0008/1175246/WP17-02-Wealth-Disparities-in-NZ-Final-2017.pdf" TargetMode="External"/><Relationship Id="rId219" Type="http://schemas.openxmlformats.org/officeDocument/2006/relationships/hyperlink" Target="https://fma.govt.nz/assets/Guidance/_versions/9210/170202-A-guide-to-the-FMAs-view-of-conduct.1.pdf" TargetMode="External"/><Relationship Id="rId230" Type="http://schemas.openxmlformats.org/officeDocument/2006/relationships/hyperlink" Target="https://www.hbs.edu/faculty/Publication%20Files/13-064_c7b52fa0-1242-4420-b9b6-73d32c639826.pdf" TargetMode="External"/><Relationship Id="rId25" Type="http://schemas.openxmlformats.org/officeDocument/2006/relationships/hyperlink" Target="http://www.stats.govt.nz/browse_for_stats/population/estimates_and_projections/NationalPopulationProjections_HOTP2016.aspx" TargetMode="External"/><Relationship Id="rId46" Type="http://schemas.openxmlformats.org/officeDocument/2006/relationships/hyperlink" Target="https://www.stats.govt.nz/information-releases/national-labour-force-projections-2017base2068" TargetMode="External"/><Relationship Id="rId67" Type="http://schemas.openxmlformats.org/officeDocument/2006/relationships/hyperlink" Target="https://taxworkinggroup.govt.nz/sites/default/files/2019-03/twg-final-report-voli-feb19-v1.pdf" TargetMode="External"/><Relationship Id="rId88" Type="http://schemas.openxmlformats.org/officeDocument/2006/relationships/hyperlink" Target="http://www.legislation.govt.nz/regulation/public/2017/0086/latest/DLM7241739.html?search=qs_act%40bill%40regulation%40deemedreg_social+welfare_resel_25_h&amp;p=1" TargetMode="External"/><Relationship Id="rId111" Type="http://schemas.openxmlformats.org/officeDocument/2006/relationships/hyperlink" Target="https://www.beehive.govt.nz/release/govt-responds-tax-working-group-report" TargetMode="External"/><Relationship Id="rId132" Type="http://schemas.openxmlformats.org/officeDocument/2006/relationships/hyperlink" Target="http://docs.business.auckland.ac.nz/Doc/PensionBriefing-2010-5-Household-wealth-in-Australia-and-New-Zealand-revised.pdf" TargetMode="External"/><Relationship Id="rId153" Type="http://schemas.openxmlformats.org/officeDocument/2006/relationships/hyperlink" Target="https://www.parliament.nz/resource/0000054538" TargetMode="External"/><Relationship Id="rId174" Type="http://schemas.openxmlformats.org/officeDocument/2006/relationships/hyperlink" Target="http://archive.stats.govt.nz/browse_for_stats/people_and_communities/Households/WellbeingStatistics_HOTP16/Tables.aspx" TargetMode="External"/><Relationship Id="rId195" Type="http://schemas.openxmlformats.org/officeDocument/2006/relationships/hyperlink" Target="http://ec.europa.eu/social/BlobServlet?docId=7341&amp;langId=en" TargetMode="External"/><Relationship Id="rId209" Type="http://schemas.openxmlformats.org/officeDocument/2006/relationships/hyperlink" Target="https://taxpolicy.ird.govt.nz/sites/default/files/2005-dd-investment-income.pdf" TargetMode="External"/><Relationship Id="rId220" Type="http://schemas.openxmlformats.org/officeDocument/2006/relationships/hyperlink" Target="http://www.nzlii.org/nz/journals/WkoLawRw/1998/6.html" TargetMode="External"/><Relationship Id="rId241" Type="http://schemas.openxmlformats.org/officeDocument/2006/relationships/hyperlink" Target="https://siu.govt.nz/" TargetMode="External"/><Relationship Id="rId15" Type="http://schemas.openxmlformats.org/officeDocument/2006/relationships/hyperlink" Target="http://news.xinhuanet.com/english/2017-06/02/c_136335477.htm" TargetMode="External"/><Relationship Id="rId36" Type="http://schemas.openxmlformats.org/officeDocument/2006/relationships/hyperlink" Target="http://www.legislation.govt.nz/act/public/2001/0084/latest/DLM113924.html" TargetMode="External"/><Relationship Id="rId57" Type="http://schemas.openxmlformats.org/officeDocument/2006/relationships/hyperlink" Target="http://archive.stats.govt.nz/browse_for_stats/economic_indicators/prices_indexes/hlpi-backgrd-paper-oct-16.aspx" TargetMode="External"/><Relationship Id="rId78" Type="http://schemas.openxmlformats.org/officeDocument/2006/relationships/hyperlink" Target="https://treasury.govt.nz/sites/default/files/2015-07/cba-guide-jul15.pdf" TargetMode="External"/><Relationship Id="rId99" Type="http://schemas.openxmlformats.org/officeDocument/2006/relationships/hyperlink" Target="https://www.ird.govt.nz/resources/f/1/f18ca5a5-94c2-4a19-9f83-7a025d355d35/BIM+-+Final_Redacted.pdf" TargetMode="External"/><Relationship Id="rId101" Type="http://schemas.openxmlformats.org/officeDocument/2006/relationships/hyperlink" Target="https://www.superguide.com.au/smsfs/super-tax-easy-1-2-3" TargetMode="External"/><Relationship Id="rId122" Type="http://schemas.openxmlformats.org/officeDocument/2006/relationships/hyperlink" Target="http://www.humanservices.gov.au/customer/enablers/income-test-pensions" TargetMode="External"/><Relationship Id="rId143" Type="http://schemas.openxmlformats.org/officeDocument/2006/relationships/hyperlink" Target="https://treasury.govt.nz/sites/default/files/2011-01/swg-b-m-be-11nov10.pdf" TargetMode="External"/><Relationship Id="rId164" Type="http://schemas.openxmlformats.org/officeDocument/2006/relationships/hyperlink" Target="https://treasury.govt.nz/publications/wp/kiwisaver-comparing-survey-and-administrative-data-wp-14-06-html" TargetMode="External"/><Relationship Id="rId185" Type="http://schemas.openxmlformats.org/officeDocument/2006/relationships/hyperlink" Target="http://www.rbnz.govt.nz/statistics/c22" TargetMode="External"/><Relationship Id="rId4" Type="http://schemas.openxmlformats.org/officeDocument/2006/relationships/hyperlink" Target="http://www.mbie.govt.nz/info-services/business/business-law/agencies-we-monitor/commission-for-financial-capability/folder-pdf-library/govt-response-2016-review.pdf" TargetMode="External"/><Relationship Id="rId9" Type="http://schemas.openxmlformats.org/officeDocument/2006/relationships/hyperlink" Target="http://www.productivity.govt.nz/sites/default/files/Achieving%20NZ%27s%20productivity%20potential%20November%202016_0.pdf" TargetMode="External"/><Relationship Id="rId180" Type="http://schemas.openxmlformats.org/officeDocument/2006/relationships/hyperlink" Target="https://public.tableau.com/views/KiwiSaverTrendsReport2016/KiwiSaverTrends?:showVizHome=no" TargetMode="External"/><Relationship Id="rId210" Type="http://schemas.openxmlformats.org/officeDocument/2006/relationships/hyperlink" Target="http://www.legislation.govt.nz/act/public/1964/0136/latest/DLM359124.html" TargetMode="External"/><Relationship Id="rId215" Type="http://schemas.openxmlformats.org/officeDocument/2006/relationships/hyperlink" Target="https://www.anz.co.nz/personal/investing-kiwisaver/anz-kiwisaver/" TargetMode="External"/><Relationship Id="rId236" Type="http://schemas.openxmlformats.org/officeDocument/2006/relationships/hyperlink" Target="https://papers.ssrn.com/sol3/papers.cfm?abstract_id=957796" TargetMode="External"/><Relationship Id="rId26" Type="http://schemas.openxmlformats.org/officeDocument/2006/relationships/hyperlink" Target="http://docs.business.auckland.ac.nz/Doc/PC-2012-3-We-all-have-to-talk-about-New-Zealand-Superannuation.pdf" TargetMode="External"/><Relationship Id="rId231" Type="http://schemas.openxmlformats.org/officeDocument/2006/relationships/hyperlink" Target="https://papers.ssrn.com/sol3/papers.cfm?abstract_id=2333898" TargetMode="External"/><Relationship Id="rId47" Type="http://schemas.openxmlformats.org/officeDocument/2006/relationships/hyperlink" Target="https://treasury.govt.nz/sites/default/files/2017-03/cab-17-sub-0074.pdf" TargetMode="External"/><Relationship Id="rId68" Type="http://schemas.openxmlformats.org/officeDocument/2006/relationships/hyperlink" Target="https://www.beehive.govt.nz/speech/cullen-1st-reading-nz-superannuation-bill" TargetMode="External"/><Relationship Id="rId89" Type="http://schemas.openxmlformats.org/officeDocument/2006/relationships/hyperlink" Target="https://www.workandincome.govt.nz/pensions/travelling-or-moving/social-security-agreements/index.html" TargetMode="External"/><Relationship Id="rId112" Type="http://schemas.openxmlformats.org/officeDocument/2006/relationships/hyperlink" Target="http://www.cffc.org.nz/assets/Retirement-Income-Review-2016-submissions/Michael-Littlewood-Ageing-populations-retirement-incomes-and-public-policy-what-really-matters.pdf" TargetMode="External"/><Relationship Id="rId133" Type="http://schemas.openxmlformats.org/officeDocument/2006/relationships/hyperlink" Target="https://ideas.repec.org/p/lap/wpaper/061.html" TargetMode="External"/><Relationship Id="rId154" Type="http://schemas.openxmlformats.org/officeDocument/2006/relationships/hyperlink" Target="http://www.stats.govt.nz/browse_for_stats/businesses/business_characteristics/BusinessDemographyStatistics_HOTPFeb16/Tables.aspx" TargetMode="External"/><Relationship Id="rId175" Type="http://schemas.openxmlformats.org/officeDocument/2006/relationships/hyperlink" Target="https://treasury.govt.nz/publications/tp/review-kiwisaver-fund-manager-market-dynamics-and-allocation-assets-html" TargetMode="External"/><Relationship Id="rId196" Type="http://schemas.openxmlformats.org/officeDocument/2006/relationships/hyperlink" Target="https://cffc.org.nz/assets/Documents/RI-Review-2013-Comparison-NZ-Aus-Retirement-Income-Systems.pdf" TargetMode="External"/><Relationship Id="rId200" Type="http://schemas.openxmlformats.org/officeDocument/2006/relationships/hyperlink" Target="https://www.nzae.org.nz/wp-content/uploads/2012/06/Gorman.pdf" TargetMode="External"/><Relationship Id="rId16" Type="http://schemas.openxmlformats.org/officeDocument/2006/relationships/hyperlink" Target="http://www.stats.govt.nz/browse_for_stats/population/estimates_and_projections/NationalPopulationProjections_HOTP2016.aspx" TargetMode="External"/><Relationship Id="rId221" Type="http://schemas.openxmlformats.org/officeDocument/2006/relationships/hyperlink" Target="https://www.royalcommission.gov.au/sites/default/files/2019-02/fsrc-volume-1-final-report.pdf" TargetMode="External"/><Relationship Id="rId242" Type="http://schemas.openxmlformats.org/officeDocument/2006/relationships/hyperlink" Target="http://www.treasury.govt.nz/publications/research-policy/wp/2002/02-02" TargetMode="External"/><Relationship Id="rId37" Type="http://schemas.openxmlformats.org/officeDocument/2006/relationships/hyperlink" Target="http://www.cffc.org.nz/assets/Documents/RI-Review-BP-Retirement-Income-History-2008.pdf" TargetMode="External"/><Relationship Id="rId58" Type="http://schemas.openxmlformats.org/officeDocument/2006/relationships/hyperlink" Target="https://treasury.govt.nz/publications/information-release/new-zealand-superannuation-fund-contribution-rate-model" TargetMode="External"/><Relationship Id="rId79" Type="http://schemas.openxmlformats.org/officeDocument/2006/relationships/hyperlink" Target="https://cdn.auckland.ac.nz/assets/business/about/our-research/research-institutes-and-centres/RPRC/Commentary/Why%20does%20the%20Accident%20Compensation%20Corporation%20have%20a%20fund%20(2009-1).pdf" TargetMode="External"/><Relationship Id="rId102" Type="http://schemas.openxmlformats.org/officeDocument/2006/relationships/hyperlink" Target="http://www.taxreview.treasury.gov.au/content/submissions/retirement/Australia_Institute_20090227.pdf" TargetMode="External"/><Relationship Id="rId123" Type="http://schemas.openxmlformats.org/officeDocument/2006/relationships/hyperlink" Target="https://www.humanservices.gov.au/customer/enablers/deeming" TargetMode="External"/><Relationship Id="rId144" Type="http://schemas.openxmlformats.org/officeDocument/2006/relationships/hyperlink" Target="https://www.beehive.govt.nz/sites/default/files/WorkplaceSavings.pdf" TargetMode="External"/><Relationship Id="rId90" Type="http://schemas.openxmlformats.org/officeDocument/2006/relationships/hyperlink" Target="https://www.google.com.au/search?q=Australia+%22pension+age%22&amp;oq=Australia+%22pension+age%22&amp;aqs=chrome..69i57j69i65l3.9692j0j1&amp;sourceid=chrome&amp;ie=UTF-8" TargetMode="External"/><Relationship Id="rId165" Type="http://schemas.openxmlformats.org/officeDocument/2006/relationships/hyperlink" Target="https://treasury.govt.nz/publications/wp/kiwisaver-and-accumulation-net-wealth-wp-14-22-html" TargetMode="External"/><Relationship Id="rId186" Type="http://schemas.openxmlformats.org/officeDocument/2006/relationships/hyperlink" Target="http://www.voced.edu.au/content/ngv%3A48727" TargetMode="External"/><Relationship Id="rId211" Type="http://schemas.openxmlformats.org/officeDocument/2006/relationships/hyperlink" Target="http://www.victoria.ac.nz/sacl/centres-and-institutes/cagtr/pdf/tax-report-website.pdf" TargetMode="External"/><Relationship Id="rId232" Type="http://schemas.openxmlformats.org/officeDocument/2006/relationships/hyperlink" Target="https://www.ncbi.nlm.nih.gov/pmc/articles/PMC5445906/" TargetMode="External"/><Relationship Id="rId27" Type="http://schemas.openxmlformats.org/officeDocument/2006/relationships/hyperlink" Target="http://www.acoss.org.au/images/uploads/Reform_of_taxation_of_super_contributions_ACOSS.pdf" TargetMode="External"/><Relationship Id="rId48" Type="http://schemas.openxmlformats.org/officeDocument/2006/relationships/hyperlink" Target="http://archive.stats.govt.nz/browse_for_stats/health/life_expectancy/NZCohortLifeTables_HOTPMar16.aspx" TargetMode="External"/><Relationship Id="rId69" Type="http://schemas.openxmlformats.org/officeDocument/2006/relationships/hyperlink" Target="https://www.beehive.govt.nz/release/lifting-nz-super-age-right-thing-do" TargetMode="External"/><Relationship Id="rId113" Type="http://schemas.openxmlformats.org/officeDocument/2006/relationships/hyperlink" Target="https://researchspace.auckland.ac.nz/handle/2292/31890" TargetMode="External"/><Relationship Id="rId134" Type="http://schemas.openxmlformats.org/officeDocument/2006/relationships/hyperlink" Target="https://www.cis.org.au/app/uploads/2016/08/32-3-potter-michael.pdf" TargetMode="External"/><Relationship Id="rId80" Type="http://schemas.openxmlformats.org/officeDocument/2006/relationships/hyperlink" Target="https://cdn.auckland.ac.nz/assets/business/about/our-research/research-institutes-and-centres/RPRC/Commentary/Why%20does%20the%20Earthquake%20Commission%20have%20a%20fund%20(2011-1).pdf" TargetMode="External"/><Relationship Id="rId155" Type="http://schemas.openxmlformats.org/officeDocument/2006/relationships/hyperlink" Target="https://cdn.auckland.ac.nz/assets/business/about/our-research/research-institutes-and-centres/RPRC/Submissions/Financial-Markets-Conduct-Regulations.pdf" TargetMode="External"/><Relationship Id="rId176" Type="http://schemas.openxmlformats.org/officeDocument/2006/relationships/hyperlink" Target="http://www.fma.govt.nz/assets/Reports/KiwiSaver-Report-2018.pdf" TargetMode="External"/><Relationship Id="rId197" Type="http://schemas.openxmlformats.org/officeDocument/2006/relationships/hyperlink" Target="http://ec.europa.eu/eurostat/statistics-explained/index.php/Employment_statistics" TargetMode="External"/><Relationship Id="rId201" Type="http://schemas.openxmlformats.org/officeDocument/2006/relationships/hyperlink" Target="http://www.population.org.nz/wp-content/uploads/2011/02/nzpr-vol-35_khawaja-and-boddington.pdf" TargetMode="External"/><Relationship Id="rId222" Type="http://schemas.openxmlformats.org/officeDocument/2006/relationships/hyperlink" Target="https://fma.govt.nz/compliance/consultation/consultation-papers/consultation-paper-kiwisaver-annual-statements-calculation-of-total-fees-in-dollars/" TargetMode="External"/><Relationship Id="rId243" Type="http://schemas.openxmlformats.org/officeDocument/2006/relationships/hyperlink" Target="http://www.legislation.govt.nz/act/public/2001/0084/latest/DLM114879.html" TargetMode="External"/><Relationship Id="rId17" Type="http://schemas.openxmlformats.org/officeDocument/2006/relationships/hyperlink" Target="https://cdn.auckland.ac.nz/assets/business/about/our-research/research-institutes-and-centres/RPRC/PensionBriefing/2013-6%20New%20Zealand%20Superannuation's%20real%20costs%20-%20looking%20to%202060.pdf" TargetMode="External"/><Relationship Id="rId38" Type="http://schemas.openxmlformats.org/officeDocument/2006/relationships/hyperlink" Target="https://cdn.auckland.ac.nz/assets/business/about/our-research/research-institutes-and-centres/RPRC/WorkingPaper/WP%202014-2%20LTC%20costs%20FINAL.pdf" TargetMode="External"/><Relationship Id="rId59" Type="http://schemas.openxmlformats.org/officeDocument/2006/relationships/hyperlink" Target="http://www.treasury.govt.nz/publications/research-policy/wp/2014/14-02/twp14-02.pdf" TargetMode="External"/><Relationship Id="rId103" Type="http://schemas.openxmlformats.org/officeDocument/2006/relationships/hyperlink" Target="http://www.americanprogress.org/issues/2011/01/te_011911.html" TargetMode="External"/><Relationship Id="rId124" Type="http://schemas.openxmlformats.org/officeDocument/2006/relationships/hyperlink" Target="https://papers.ssrn.com/sol3/papers.cfm?abstract_id=1027372" TargetMode="External"/><Relationship Id="rId70" Type="http://schemas.openxmlformats.org/officeDocument/2006/relationships/hyperlink" Target="http://www.treasury.govt.nz/government/assets/nzsf/contributionratemodel" TargetMode="External"/><Relationship Id="rId91" Type="http://schemas.openxmlformats.org/officeDocument/2006/relationships/hyperlink" Target="https://www.humanservices.gov.au/corporate/budget/budget-2014-15/budget-measures/older-australians/increase-age-pension-qualifying-age-70-years" TargetMode="External"/><Relationship Id="rId145" Type="http://schemas.openxmlformats.org/officeDocument/2006/relationships/hyperlink" Target="https://www.scribd.com/document/39333292/Behavioural-Economics" TargetMode="External"/><Relationship Id="rId166" Type="http://schemas.openxmlformats.org/officeDocument/2006/relationships/hyperlink" Target="http://www.msd.govt.nz/about-msd-and-our-work/publications-resources/monitoring/household-incomes/household-incomes-1982-2004.html" TargetMode="External"/><Relationship Id="rId187" Type="http://schemas.openxmlformats.org/officeDocument/2006/relationships/hyperlink" Target="http://motu-www.motu.org.nz/wpapers/10_06.pdf" TargetMode="External"/><Relationship Id="rId1" Type="http://schemas.openxmlformats.org/officeDocument/2006/relationships/hyperlink" Target="http://www.cffc.org.nz/assets/Uploads/2016-Review-of-Retirement-Income-Policies-Tabled-Report-19.12.06.pdf" TargetMode="External"/><Relationship Id="rId212" Type="http://schemas.openxmlformats.org/officeDocument/2006/relationships/hyperlink" Target="http://www.ird.govt.nz/technical-tax/binding-rulings/what-is-br/what-is-br-index.html" TargetMode="External"/><Relationship Id="rId233" Type="http://schemas.openxmlformats.org/officeDocument/2006/relationships/hyperlink" Target="http://www.keepeek.com/Digital-Asset-Management/oecd/economics/oecd-economic-surveys-new-zealand-2017_eco_surveys-nzl-2017-en" TargetMode="External"/><Relationship Id="rId28" Type="http://schemas.openxmlformats.org/officeDocument/2006/relationships/hyperlink" Target="https://treasury.govt.nz/publications/information-release/new-zealand-superannuation-fund-contribution-rate-model" TargetMode="External"/><Relationship Id="rId49" Type="http://schemas.openxmlformats.org/officeDocument/2006/relationships/hyperlink" Target="http://www.stats.govt.nz/browse_for_stats/health/life_expectancy/period-life-tables.aspx" TargetMode="External"/><Relationship Id="rId114" Type="http://schemas.openxmlformats.org/officeDocument/2006/relationships/hyperlink" Target="https://www.superguide.com.au/retirement-planning/accessing-super-preservation-age" TargetMode="External"/><Relationship Id="rId60" Type="http://schemas.openxmlformats.org/officeDocument/2006/relationships/hyperlink" Target="https://nzinitiative.org.nz/reports-and-media/reports/embracing-a-super-model-the-superannuation-sky-is-not-falling/" TargetMode="External"/><Relationship Id="rId81" Type="http://schemas.openxmlformats.org/officeDocument/2006/relationships/hyperlink" Target="https://treasury.govt.nz/publications/wp/practical-approach-well-being-based-policy-development-what-do-new-zealanders-want-their-retirement-income-policies-wp-15-14-html" TargetMode="External"/><Relationship Id="rId135" Type="http://schemas.openxmlformats.org/officeDocument/2006/relationships/hyperlink" Target="https://grattan.edu.au/wp-content/uploads/2018/11/912-Money-in-retirement.pdf" TargetMode="External"/><Relationship Id="rId156" Type="http://schemas.openxmlformats.org/officeDocument/2006/relationships/hyperlink" Target="https://treasury.govt.nz/publications/information-release/background-papers-periodic-report-group-retirement-income-report-2003" TargetMode="External"/><Relationship Id="rId177" Type="http://schemas.openxmlformats.org/officeDocument/2006/relationships/hyperlink" Target="https://treasury.govt.nz/publications/wp/kiwisaver-and-accumulation-net-wealth-wp-14-22-html" TargetMode="External"/><Relationship Id="rId198" Type="http://schemas.openxmlformats.org/officeDocument/2006/relationships/hyperlink" Target="http://archive.stats.govt.nz/Census/2013-census/profile-and-summary-reports/quickstats-65-plus.aspx" TargetMode="External"/><Relationship Id="rId202" Type="http://schemas.openxmlformats.org/officeDocument/2006/relationships/hyperlink" Target="http://papers.ssrn.com/sol3/papers.cfm?abstract_id=1549672" TargetMode="External"/><Relationship Id="rId223" Type="http://schemas.openxmlformats.org/officeDocument/2006/relationships/hyperlink" Target="https://fma.govt.nz/assets/Annual-reports/121203-fma-annual-report-2012.pdf" TargetMode="External"/><Relationship Id="rId244" Type="http://schemas.openxmlformats.org/officeDocument/2006/relationships/hyperlink" Target="http://www.legislation.govt.nz/act/public/2001/0084/latest/DLM114891.html" TargetMode="External"/><Relationship Id="rId18" Type="http://schemas.openxmlformats.org/officeDocument/2006/relationships/hyperlink" Target="https://treasury.govt.nz/publications/information-release/new-zealand-superannuation-fund-contribution-rate-model" TargetMode="External"/><Relationship Id="rId39" Type="http://schemas.openxmlformats.org/officeDocument/2006/relationships/hyperlink" Target="https://www.labour.org.nz/100_days" TargetMode="External"/><Relationship Id="rId50" Type="http://schemas.openxmlformats.org/officeDocument/2006/relationships/hyperlink" Target="http://www.legislation.govt.nz/bill/member/2018/0107/latest/LMS106828.html" TargetMode="External"/><Relationship Id="rId104" Type="http://schemas.openxmlformats.org/officeDocument/2006/relationships/hyperlink" Target="https://www.cbo.gov/sites/default/files/113th-congress-2013-2014/reports/TaxExpenditures_One-Column.pdf" TargetMode="External"/><Relationship Id="rId125" Type="http://schemas.openxmlformats.org/officeDocument/2006/relationships/hyperlink" Target="http://flosse.dss.gov.au/fahcsiajspui18/handle/10620/3909" TargetMode="External"/><Relationship Id="rId146" Type="http://schemas.openxmlformats.org/officeDocument/2006/relationships/hyperlink" Target="http://archive.stats.govt.nz/Census/2013-census/profile-and-summary-reports/quickstats-65-plus.aspx" TargetMode="External"/><Relationship Id="rId167" Type="http://schemas.openxmlformats.org/officeDocument/2006/relationships/hyperlink" Target="http://www.msd.govt.nz/about-msd-and-our-work/publications-resources/monitoring/household-incomes/household-incomes-1982-2009.html" TargetMode="External"/><Relationship Id="rId188" Type="http://schemas.openxmlformats.org/officeDocument/2006/relationships/hyperlink" Target="https://treasury.govt.nz/publications/wp/saving-rates-new-zealanders-net-wealth-approach-wp-09-04" TargetMode="External"/><Relationship Id="rId71" Type="http://schemas.openxmlformats.org/officeDocument/2006/relationships/hyperlink" Target="http://www.treasury.govt.nz/government/longterm/fiscalposition/2016/he-tirohanga-mokopuna/ltfs-16-htm.pdf" TargetMode="External"/><Relationship Id="rId92" Type="http://schemas.openxmlformats.org/officeDocument/2006/relationships/hyperlink" Target="https://www.msd.govt.nz/about-msd-and-our-work/newsroom/media-releases/2017/social-security-agreement-between-new-zealand-and-australia.html" TargetMode="External"/><Relationship Id="rId213" Type="http://schemas.openxmlformats.org/officeDocument/2006/relationships/hyperlink" Target="http://www.fma.govt.nz/investors/deciding-how-to-invest-2/product-disclosure-statements/" TargetMode="External"/><Relationship Id="rId234" Type="http://schemas.openxmlformats.org/officeDocument/2006/relationships/hyperlink" Target="https://papers.ssrn.com/sol3/papers.cfm?abstract_id=957796" TargetMode="External"/><Relationship Id="rId2" Type="http://schemas.openxmlformats.org/officeDocument/2006/relationships/hyperlink" Target="http://www.legislation.govt.nz/act/public/2001/0084/latest/DLM114891.html" TargetMode="External"/><Relationship Id="rId29" Type="http://schemas.openxmlformats.org/officeDocument/2006/relationships/hyperlink" Target="http://www.oecd.org/publications/oecd-pensions-at-a-glance-19991363.htm" TargetMode="External"/><Relationship Id="rId40" Type="http://schemas.openxmlformats.org/officeDocument/2006/relationships/hyperlink" Target="https://www.cffc.org.nz/assets/Uploads/2016-Review-of-Retirement-Income-Policies-Tabled-Report-19.12.06.pdf" TargetMode="External"/><Relationship Id="rId115" Type="http://schemas.openxmlformats.org/officeDocument/2006/relationships/hyperlink" Target="http://www.budget.gov.au/2014-15/content/speech/html/speech.htm" TargetMode="External"/><Relationship Id="rId136" Type="http://schemas.openxmlformats.org/officeDocument/2006/relationships/hyperlink" Target="https://ideas.repec.org/p/ilo/ilowps/995005393302676.html" TargetMode="External"/><Relationship Id="rId157" Type="http://schemas.openxmlformats.org/officeDocument/2006/relationships/hyperlink" Target="https://cdn.auckland.ac.nz/assets/business/about/our-research/research-institutes-and-centres/RPRC/WorkingPaper/2014-1%20Now%20we%20are%20six%20-%20Lessons%20from%20New%20Zealand's%20KiwiSaver.pdf" TargetMode="External"/><Relationship Id="rId178" Type="http://schemas.openxmlformats.org/officeDocument/2006/relationships/hyperlink" Target="http://www.cffc.org.nz/assets/Uploads/2016-Review-of-Retirement-Income-Policies-Tabled-Report-19.12.06.pdf" TargetMode="External"/><Relationship Id="rId61" Type="http://schemas.openxmlformats.org/officeDocument/2006/relationships/hyperlink" Target="https://www.workandincome.govt.nz/about-work-and-income/news/2019/wellbeing-budget-2019.html" TargetMode="External"/><Relationship Id="rId82" Type="http://schemas.openxmlformats.org/officeDocument/2006/relationships/hyperlink" Target="http://www.nzsuperfund.co.nz/publications/annual-reports" TargetMode="External"/><Relationship Id="rId199" Type="http://schemas.openxmlformats.org/officeDocument/2006/relationships/hyperlink" Target="http://www.legislation.govt.nz/act/public/1993/0082/latest/DLM304482.html" TargetMode="External"/><Relationship Id="rId203" Type="http://schemas.openxmlformats.org/officeDocument/2006/relationships/hyperlink" Target="http://www.treasury.govt.nz/publications/research-policy/wp/2005/05-09" TargetMode="External"/><Relationship Id="rId19" Type="http://schemas.openxmlformats.org/officeDocument/2006/relationships/hyperlink" Target="https://cdn.auckland.ac.nz/assets/business/about/our-research/research-institutes-and-centres/RPRC/PensionBriefing/2008-5%20A%20condensed%20history%20of%20public%20and%20private%20provision%20for%20retirement%20income%20in%20New%20Zealand%201975-2008.pdf" TargetMode="External"/><Relationship Id="rId224" Type="http://schemas.openxmlformats.org/officeDocument/2006/relationships/hyperlink" Target="http://www.fma.govt.nz/about-us/corporate-publications/" TargetMode="External"/><Relationship Id="rId245" Type="http://schemas.openxmlformats.org/officeDocument/2006/relationships/hyperlink" Target="http://www.mbie.govt.nz/info-services/business/business-law/agencies-we-monitor/commission-for-financial-capability/folder-pdf-library/govt-response-2016-review.pdf" TargetMode="External"/><Relationship Id="rId30" Type="http://schemas.openxmlformats.org/officeDocument/2006/relationships/hyperlink" Target="http://www.treasury.govt.nz/government/longterm/fiscalposition/2016" TargetMode="External"/><Relationship Id="rId105" Type="http://schemas.openxmlformats.org/officeDocument/2006/relationships/hyperlink" Target="http://fsi.gov.au/files/2014/04/Treasury.pdf" TargetMode="External"/><Relationship Id="rId126" Type="http://schemas.openxmlformats.org/officeDocument/2006/relationships/hyperlink" Target="http://www.oecd.org/els/emp/ageingandemploymentpolicies-statisticsonaverageeffectiveageofretirement.htm" TargetMode="External"/><Relationship Id="rId147" Type="http://schemas.openxmlformats.org/officeDocument/2006/relationships/hyperlink" Target="http://www.stats.govt.nz/Census/2013-census/profile-and-summary-reports/century-censuses-dwellings.aspx" TargetMode="External"/><Relationship Id="rId168" Type="http://schemas.openxmlformats.org/officeDocument/2006/relationships/hyperlink" Target="http://www.msd.govt.nz/about-msd-and-our-work/publications-resources/monitoring/household-incomes/index.html" TargetMode="External"/><Relationship Id="rId51" Type="http://schemas.openxmlformats.org/officeDocument/2006/relationships/hyperlink" Target="http://www.nzlii.org/nz/legis/hist_act/paa19372gv1937n32284/" TargetMode="External"/><Relationship Id="rId72" Type="http://schemas.openxmlformats.org/officeDocument/2006/relationships/hyperlink" Target="https://www.nzsuperfund.co.nz/performance" TargetMode="External"/><Relationship Id="rId93" Type="http://schemas.openxmlformats.org/officeDocument/2006/relationships/hyperlink" Target="https://www.workandincome.govt.nz/pensions/travelling-or-moving/social-security-agreements/australia.html" TargetMode="External"/><Relationship Id="rId189" Type="http://schemas.openxmlformats.org/officeDocument/2006/relationships/hyperlink" Target="http://www.rbnz.govt.nz/statistics/c22" TargetMode="External"/><Relationship Id="rId3" Type="http://schemas.openxmlformats.org/officeDocument/2006/relationships/hyperlink" Target="https://cffc-assets-prod.s3.ap-southeast-2.amazonaws.com/public/Uploads/Retirement-Income-Policy-Review/b8a7a407b4/TOR-2016-Review-of-Retirement-Income-Policies.pdf" TargetMode="External"/><Relationship Id="rId214" Type="http://schemas.openxmlformats.org/officeDocument/2006/relationships/hyperlink" Target="https://www.bnz.co.nz/personal-banking/kiwisaver" TargetMode="External"/><Relationship Id="rId235" Type="http://schemas.openxmlformats.org/officeDocument/2006/relationships/hyperlink" Target="https://deepblue.lib.umich.edu/bitstream/handle/2027.42/64475/wp216.pdf?sequence=1&amp;isAllowed=y" TargetMode="External"/><Relationship Id="rId116" Type="http://schemas.openxmlformats.org/officeDocument/2006/relationships/hyperlink" Target="http://www.challenger.com.au/retire/AgePensionChanges.asp?cid=sem_google&amp;gclid=CjwKEAjwpdnJBRC4hcTFtc6fwEkSJABwupNiwiwW3ivh-YG4ALXM9v6SJ_WeIsd90XvlNUxGaGLO8hoCfQjw_wcB" TargetMode="External"/><Relationship Id="rId137" Type="http://schemas.openxmlformats.org/officeDocument/2006/relationships/hyperlink" Target="http://www.bis.org/publ/work381.pdf" TargetMode="External"/><Relationship Id="rId158" Type="http://schemas.openxmlformats.org/officeDocument/2006/relationships/hyperlink" Target="https://www.govt.nz/browse/tax-benefits-and-finance/kiwisaver/who-can-join-kiwisaver/" TargetMode="External"/><Relationship Id="rId20" Type="http://schemas.openxmlformats.org/officeDocument/2006/relationships/hyperlink" Target="http://www.legislation.govt.nz/bill/member/2018/0107/latest/LMS106828.html" TargetMode="External"/><Relationship Id="rId41" Type="http://schemas.openxmlformats.org/officeDocument/2006/relationships/hyperlink" Target="https://www.workandincome.govt.nz/about-work-and-income/news/2019/wellbeing-budget-2019.html" TargetMode="External"/><Relationship Id="rId62" Type="http://schemas.openxmlformats.org/officeDocument/2006/relationships/hyperlink" Target="https://www.researchgate.net/publication/308915561_The_material_wellbeing_of_New_Zealand_households_Trends_and_relativities_using_non-income_measures_with_international_comparisons" TargetMode="External"/><Relationship Id="rId83" Type="http://schemas.openxmlformats.org/officeDocument/2006/relationships/hyperlink" Target="http://www.legislation.govt.nz/act/public/1964/0136/latest/DLM363550.html" TargetMode="External"/><Relationship Id="rId179" Type="http://schemas.openxmlformats.org/officeDocument/2006/relationships/hyperlink" Target="http://www.mbie.govt.nz/info-services/business/business-law/agencies-we-monitor/commission-for-financial-capability/folder-pdf-library/govt-response-2016-review.pdf" TargetMode="External"/><Relationship Id="rId190" Type="http://schemas.openxmlformats.org/officeDocument/2006/relationships/hyperlink" Target="http://igps.victoria.ac.nz/publications/files/5327cc2a82f.pdf" TargetMode="External"/><Relationship Id="rId204" Type="http://schemas.openxmlformats.org/officeDocument/2006/relationships/hyperlink" Target="http://archive.stats.govt.nz/browse_for_stats/snapshots-of-nz/nz-social-indicators/Home/Labour%20market/lab-force-particip.aspx" TargetMode="External"/><Relationship Id="rId225" Type="http://schemas.openxmlformats.org/officeDocument/2006/relationships/hyperlink" Target="http://dunedinstudy.otago.ac.nz/studies/assessment-phases/the-birth-of-the-dunedin-study" TargetMode="External"/><Relationship Id="rId246" Type="http://schemas.openxmlformats.org/officeDocument/2006/relationships/hyperlink" Target="https://cdn.auckland.ac.nz/assets/business/about/our-research/research-institutes-and-centres/RPRC/PensionBriefing/PC%202015-2%20The%20coming%20debate%20on%20New%20Zealand%20Superannuation%20-%20the%20review%20process.pdf" TargetMode="External"/><Relationship Id="rId106" Type="http://schemas.openxmlformats.org/officeDocument/2006/relationships/hyperlink" Target="https://ourarchive.otago.ac.nz/bitstream/handle/10523/7292/DP_1709.pdf?sequence=1&amp;isAllowed=y" TargetMode="External"/><Relationship Id="rId127" Type="http://schemas.openxmlformats.org/officeDocument/2006/relationships/hyperlink" Target="http://www.abs.gov.au/AUSSTATS/abs@.Nsf/7d12b0f6763c78caca257061001cc588/6b14ab4c54c99ff7ca2581f7001549ff!OpenDocument" TargetMode="External"/><Relationship Id="rId10" Type="http://schemas.openxmlformats.org/officeDocument/2006/relationships/hyperlink" Target="https://treasury.govt.nz/publications/ltfp/affording-our-future-statement-new-zealands-long-term-fiscal-position" TargetMode="External"/><Relationship Id="rId31" Type="http://schemas.openxmlformats.org/officeDocument/2006/relationships/hyperlink" Target="https://treasury.govt.nz/publications/information-release/new-zealand-superannuation-fund-contribution-rate-model" TargetMode="External"/><Relationship Id="rId52" Type="http://schemas.openxmlformats.org/officeDocument/2006/relationships/hyperlink" Target="https://cdn.auckland.ac.nz/assets/business/about/our-research/research-institutes-and-centres/RPRC/PensionBriefing/2012-1%20Part%20of%20our%20pensions%20past%20-%20the%201898%20Old%20Age%20Pension.pdf" TargetMode="External"/><Relationship Id="rId73" Type="http://schemas.openxmlformats.org/officeDocument/2006/relationships/hyperlink" Target="https://www.nzsuperfund.co.nz/performance-investment/monthly-returns" TargetMode="External"/><Relationship Id="rId94" Type="http://schemas.openxmlformats.org/officeDocument/2006/relationships/hyperlink" Target="https://www.ssa.gov/policy/docs/progdesc/ssptw/2016-2017/asia/china.html" TargetMode="External"/><Relationship Id="rId148" Type="http://schemas.openxmlformats.org/officeDocument/2006/relationships/hyperlink" Target="http://archive.stats.govt.nz/Census/2013-census/profile-and-summary-reports/century-censuses-dwellings/tables.aspx" TargetMode="External"/><Relationship Id="rId169" Type="http://schemas.openxmlformats.org/officeDocument/2006/relationships/hyperlink" Target="https://www.msd.govt.nz/about-msd-and-our-work/publications-resources/monitoring/household-inco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F189E9-8AD4-314E-A19E-1DE9F63AB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43</Pages>
  <Words>45011</Words>
  <Characters>256565</Characters>
  <Application>Microsoft Office Word</Application>
  <DocSecurity>0</DocSecurity>
  <Lines>2138</Lines>
  <Paragraphs>601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Littlewood</dc:creator>
  <cp:keywords/>
  <dc:description/>
  <cp:lastModifiedBy>Michael Littlewood</cp:lastModifiedBy>
  <cp:revision>6</cp:revision>
  <cp:lastPrinted>2017-07-17T00:43:00Z</cp:lastPrinted>
  <dcterms:created xsi:type="dcterms:W3CDTF">2019-06-05T02:16:00Z</dcterms:created>
  <dcterms:modified xsi:type="dcterms:W3CDTF">2019-06-28T02:52:00Z</dcterms:modified>
  <cp:category/>
</cp:coreProperties>
</file>